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1" w:name="_Toc15377425"/>
      <w:bookmarkStart w:id="2" w:name="_Toc15377193"/>
      <w:bookmarkStart w:id="3" w:name="_Toc15396597"/>
      <w:bookmarkStart w:id="4" w:name="_Toc15396475"/>
      <w:bookmarkStart w:id="5" w:name="_Toc15378441"/>
      <w:r>
        <w:rPr>
          <w:rFonts w:hint="eastAsia" w:ascii="方正小标宋简体" w:hAnsi="方正小标宋简体" w:eastAsia="方正小标宋简体" w:cs="方正小标宋简体"/>
          <w:sz w:val="52"/>
          <w:szCs w:val="52"/>
        </w:rPr>
        <w:t>2022年度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77426"/>
      <w:bookmarkStart w:id="7" w:name="_Toc15396476"/>
      <w:bookmarkStart w:id="8" w:name="_Toc15377194"/>
      <w:bookmarkStart w:id="9" w:name="_Toc15396598"/>
      <w:bookmarkStart w:id="10" w:name="_Toc15378442"/>
      <w:bookmarkStart w:id="11" w:name="_Toc15306268"/>
      <w:r>
        <w:rPr>
          <w:rFonts w:hint="eastAsia" w:ascii="方正小标宋简体" w:hAnsi="方正小标宋简体" w:eastAsia="方正小标宋简体" w:cs="方正小标宋简体"/>
          <w:sz w:val="52"/>
          <w:szCs w:val="52"/>
        </w:rPr>
        <w:t>遂宁市公安局森林警察支队</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公开时间：2023年8月23日</w:t>
      </w:r>
    </w:p>
    <w:p/>
    <w:p>
      <w:pPr>
        <w:pStyle w:val="11"/>
        <w:adjustRightInd w:val="0"/>
        <w:snapToGrid w:val="0"/>
        <w:spacing w:before="0" w:line="440" w:lineRule="exact"/>
        <w:jc w:val="left"/>
        <w:rPr>
          <w:rFonts w:cstheme="minorBidi"/>
          <w:sz w:val="24"/>
          <w:szCs w:val="24"/>
        </w:rPr>
      </w:pPr>
      <w:r>
        <w:rPr>
          <w:rFonts w:hint="eastAsia"/>
          <w:sz w:val="24"/>
        </w:rPr>
        <w:t>第一部分单位概况</w:t>
      </w:r>
    </w:p>
    <w:p>
      <w:pPr>
        <w:pStyle w:val="12"/>
        <w:adjustRightInd w:val="0"/>
        <w:snapToGrid w:val="0"/>
        <w:spacing w:line="440" w:lineRule="exact"/>
        <w:jc w:val="left"/>
        <w:rPr>
          <w:sz w:val="24"/>
        </w:rPr>
      </w:pPr>
      <w:r>
        <w:rPr>
          <w:rFonts w:hint="eastAsia"/>
          <w:sz w:val="24"/>
        </w:rPr>
        <w:t>一、主要职责</w:t>
      </w:r>
    </w:p>
    <w:p>
      <w:pPr>
        <w:pStyle w:val="12"/>
        <w:adjustRightInd w:val="0"/>
        <w:snapToGrid w:val="0"/>
        <w:spacing w:line="440" w:lineRule="exact"/>
        <w:jc w:val="left"/>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 2022年度单位决算情况说明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jc w:val="left"/>
        <w:rPr>
          <w:sz w:val="24"/>
        </w:rPr>
      </w:pPr>
      <w:r>
        <w:rPr>
          <w:rFonts w:hint="eastAsia"/>
          <w:sz w:val="24"/>
        </w:rPr>
        <w:t>九、国有资本经营预算支出决算情况说明</w:t>
      </w:r>
    </w:p>
    <w:p>
      <w:pPr>
        <w:pStyle w:val="12"/>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sz w:val="24"/>
          <w:szCs w:val="24"/>
        </w:rPr>
      </w:pPr>
      <w:r>
        <w:rPr>
          <w:rFonts w:hint="eastAsia"/>
          <w:sz w:val="24"/>
        </w:rPr>
        <w:t>第三部分名词解释</w:t>
      </w:r>
    </w:p>
    <w:p>
      <w:pPr>
        <w:pStyle w:val="11"/>
        <w:adjustRightInd w:val="0"/>
        <w:snapToGrid w:val="0"/>
        <w:spacing w:before="0" w:line="440" w:lineRule="exact"/>
        <w:jc w:val="left"/>
        <w:rPr>
          <w:rFonts w:cstheme="minorBidi"/>
          <w:sz w:val="24"/>
          <w:szCs w:val="24"/>
        </w:rPr>
      </w:pPr>
      <w:r>
        <w:rPr>
          <w:rFonts w:hint="eastAsia"/>
          <w:sz w:val="24"/>
        </w:rPr>
        <w:t>第四部分附件</w:t>
      </w:r>
    </w:p>
    <w:p>
      <w:pPr>
        <w:pStyle w:val="11"/>
        <w:adjustRightInd w:val="0"/>
        <w:snapToGrid w:val="0"/>
        <w:spacing w:before="0" w:line="440" w:lineRule="exact"/>
        <w:jc w:val="left"/>
        <w:rPr>
          <w:rFonts w:cstheme="minorBidi"/>
          <w:sz w:val="24"/>
          <w:szCs w:val="24"/>
        </w:rPr>
      </w:pPr>
      <w:r>
        <w:rPr>
          <w:rFonts w:hint="eastAsia"/>
          <w:sz w:val="24"/>
        </w:rPr>
        <w:t>第五部分附表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p>
    <w:p>
      <w:pPr>
        <w:pStyle w:val="4"/>
        <w:numPr>
          <w:ilvl w:val="0"/>
          <w:numId w:val="1"/>
        </w:numPr>
        <w:rPr>
          <w:rStyle w:val="29"/>
          <w:rFonts w:ascii="黑体" w:hAnsi="黑体" w:eastAsia="黑体"/>
          <w:b w:val="0"/>
          <w:bCs w:val="0"/>
        </w:rPr>
      </w:pPr>
      <w:bookmarkStart w:id="14" w:name="_Toc15396600"/>
      <w:bookmarkStart w:id="15" w:name="_Toc15377197"/>
      <w:r>
        <w:rPr>
          <w:rStyle w:val="29"/>
          <w:rFonts w:hint="eastAsia" w:ascii="黑体" w:hAnsi="黑体" w:eastAsia="黑体"/>
          <w:b w:val="0"/>
          <w:bCs w:val="0"/>
        </w:rPr>
        <w:t>主要职责</w:t>
      </w:r>
    </w:p>
    <w:p>
      <w:pPr>
        <w:jc w:val="left"/>
        <w:rPr>
          <w:rFonts w:ascii="仿宋" w:hAnsi="仿宋" w:eastAsia="仿宋" w:cs="仿宋_GB2312"/>
          <w:sz w:val="32"/>
          <w:szCs w:val="32"/>
        </w:rPr>
      </w:pPr>
      <w:r>
        <w:rPr>
          <w:rFonts w:hint="eastAsia" w:ascii="仿宋" w:hAnsi="仿宋" w:eastAsia="仿宋" w:cs="仿宋"/>
          <w:sz w:val="32"/>
          <w:szCs w:val="32"/>
        </w:rPr>
        <w:t>主</w:t>
      </w:r>
      <w:r>
        <w:rPr>
          <w:rFonts w:hint="eastAsia" w:ascii="仿宋" w:hAnsi="仿宋" w:eastAsia="仿宋" w:cs="仿宋_GB2312"/>
          <w:sz w:val="32"/>
          <w:szCs w:val="32"/>
        </w:rPr>
        <w:t>要职责为掌握全市森林及野生动植物资源领域犯罪动态，拟定预防、打击对策；指导、督导、协调全市公安机关开展对森林及野生动植物资源领域犯罪案件的侦查工作，组织侦办跨区域以及在全市有重大影响的森林及野生动植物资源领域的犯罪案件，负责侦办遂宁经开区、市河东新区、遂宁高新区森林及野生动植物资源领域的犯罪案件。打击食药环类犯罪。</w:t>
      </w:r>
    </w:p>
    <w:p/>
    <w:p>
      <w:pPr>
        <w:jc w:val="left"/>
        <w:rPr>
          <w:rFonts w:ascii="仿宋" w:hAnsi="仿宋" w:eastAsia="仿宋" w:cs="仿宋_GB2312"/>
          <w:sz w:val="32"/>
          <w:szCs w:val="32"/>
        </w:rPr>
      </w:pPr>
      <w:r>
        <w:rPr>
          <w:rStyle w:val="29"/>
          <w:rFonts w:hint="eastAsia" w:ascii="黑体" w:hAnsi="黑体" w:eastAsia="黑体"/>
          <w:b w:val="0"/>
          <w:bCs w:val="0"/>
        </w:rPr>
        <w:t>二、机构设置</w:t>
      </w:r>
      <w:bookmarkEnd w:id="14"/>
      <w:bookmarkEnd w:id="15"/>
      <w:r>
        <w:rPr>
          <w:rFonts w:ascii="仿宋" w:hAnsi="仿宋" w:eastAsia="仿宋"/>
          <w:sz w:val="32"/>
          <w:szCs w:val="32"/>
        </w:rPr>
        <w:br w:type="page"/>
      </w:r>
      <w:r>
        <w:rPr>
          <w:rFonts w:hint="eastAsia" w:ascii="仿宋" w:hAnsi="仿宋" w:eastAsia="仿宋"/>
          <w:sz w:val="32"/>
          <w:szCs w:val="32"/>
          <w:lang w:val="en-US" w:eastAsia="zh-CN"/>
        </w:rPr>
        <w:t xml:space="preserve">    </w:t>
      </w:r>
      <w:bookmarkStart w:id="67" w:name="_GoBack"/>
      <w:bookmarkEnd w:id="67"/>
      <w:r>
        <w:rPr>
          <w:rFonts w:hint="eastAsia" w:ascii="仿宋" w:hAnsi="仿宋" w:eastAsia="仿宋" w:cs="仿宋_GB2312"/>
          <w:sz w:val="32"/>
          <w:szCs w:val="32"/>
        </w:rPr>
        <w:t>本单位为独立编制机构，原下设机构遂宁市森林公安局办公室、案件侦查大队、西山派出所分别调整为遂宁市公安局森林警察支队办公室、案件侦查一大队、案件侦查二大队。</w:t>
      </w:r>
    </w:p>
    <w:p>
      <w:pPr>
        <w:jc w:val="left"/>
        <w:rPr>
          <w:rFonts w:ascii="仿宋" w:hAnsi="仿宋" w:eastAsia="仿宋" w:cs="仿宋_GB2312"/>
          <w:sz w:val="32"/>
          <w:szCs w:val="32"/>
        </w:rPr>
      </w:pPr>
      <w:r>
        <w:rPr>
          <w:rFonts w:hint="eastAsia" w:ascii="仿宋" w:hAnsi="仿宋" w:eastAsia="仿宋" w:cs="仿宋_GB2312"/>
          <w:sz w:val="32"/>
          <w:szCs w:val="32"/>
        </w:rPr>
        <w:t>遂宁市公安局森林警察支队原为遂宁市森林公安局，更名后调整为遂宁市公安局的内设机构，实行队建制。</w:t>
      </w:r>
    </w:p>
    <w:p>
      <w:pPr>
        <w:pStyle w:val="3"/>
        <w:ind w:right="440"/>
        <w:jc w:val="center"/>
      </w:pPr>
      <w:bookmarkStart w:id="16" w:name="_Toc15377204"/>
      <w:bookmarkStart w:id="17" w:name="_Toc15396602"/>
      <w:r>
        <w:rPr>
          <w:rFonts w:hint="eastAsia" w:ascii="黑体" w:hAnsi="黑体" w:eastAsia="黑体"/>
          <w:b w:val="0"/>
        </w:rPr>
        <w:t>第二部分 2022年度</w:t>
      </w:r>
      <w:r>
        <w:rPr>
          <w:rStyle w:val="28"/>
          <w:rFonts w:hint="eastAsia" w:ascii="黑体" w:hAnsi="黑体" w:eastAsia="黑体"/>
          <w:b w:val="0"/>
          <w:bCs/>
        </w:rPr>
        <w:t>单位决算情况说明</w:t>
      </w:r>
      <w:bookmarkEnd w:id="16"/>
      <w:bookmarkEnd w:id="17"/>
    </w:p>
    <w:p>
      <w:pPr>
        <w:pStyle w:val="27"/>
        <w:numPr>
          <w:ilvl w:val="0"/>
          <w:numId w:val="2"/>
        </w:numPr>
        <w:spacing w:line="600" w:lineRule="exact"/>
        <w:ind w:firstLineChars="0"/>
        <w:outlineLvl w:val="1"/>
        <w:rPr>
          <w:rStyle w:val="29"/>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2022年度收、支总计519.19万元。与2021年相比，收、支总计各增加108.01万元，增长26.27</w:t>
      </w:r>
      <w:r>
        <w:rPr>
          <w:rFonts w:ascii="仿宋" w:hAnsi="仿宋" w:eastAsia="仿宋"/>
          <w:sz w:val="32"/>
          <w:szCs w:val="32"/>
        </w:rPr>
        <w:t>%</w:t>
      </w:r>
      <w:r>
        <w:rPr>
          <w:rFonts w:hint="eastAsia" w:ascii="仿宋" w:hAnsi="仿宋" w:eastAsia="仿宋"/>
          <w:sz w:val="32"/>
          <w:szCs w:val="32"/>
        </w:rPr>
        <w:t>。主要变动原因是增加项目政法转移资金支出。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pPr>
      <w:r>
        <w:rPr>
          <w:color w:val="000000"/>
          <w:sz w:val="32"/>
          <w:szCs w:val="32"/>
        </w:rPr>
        <w:pict>
          <v:shape id="_x0000_s1033" o:spid="_x0000_s1033" o:spt="75" type="#_x0000_t75" style="position:absolute;left:0pt;margin-left:-32.5pt;margin-top:16.45pt;height:211.15pt;width:537.4pt;z-index:251666432;mso-width-relative:page;mso-height-relative:page;" o:ole="t" filled="f" o:preferrelative="t" stroked="f" coordsize="21600,21600">
            <v:path/>
            <v:fill on="f" focussize="0,0"/>
            <v:stroke on="f" joinstyle="miter"/>
            <v:imagedata r:id="rId8" o:title=""/>
            <o:lock v:ext="edit" aspectratio="t"/>
          </v:shape>
          <o:OLEObject Type="Embed" ProgID="Excel.Sheet.12" ShapeID="_x0000_s1033" DrawAspect="Content" ObjectID="_1468075725" r:id="rId7">
            <o:LockedField>false</o:LockedField>
          </o:OLEObject>
        </w:pict>
      </w:r>
      <w:r>
        <w:rPr>
          <w:color w:val="000000"/>
          <w:sz w:val="32"/>
          <w:szCs w:val="32"/>
        </w:rPr>
        <w:pict>
          <v:shape id="对象 9" o:spid="_x0000_s1032" o:spt="75" type="#_x0000_t75" style="position:absolute;left:0pt;margin-left:-18pt;margin-top:5.4pt;height:211.15pt;width:537.4pt;z-index:251665408;mso-width-relative:page;mso-height-relative:page;" o:ole="t" filled="f" o:preferrelative="t" stroked="f" coordsize="21600,21600">
            <v:path/>
            <v:fill on="f" focussize="0,0"/>
            <v:stroke on="f" joinstyle="miter"/>
            <v:imagedata r:id="rId8" o:title=""/>
            <o:lock v:ext="edit" aspectratio="t"/>
          </v:shape>
          <o:OLEObject Type="Embed" ProgID="Excel.Sheet.12" ShapeID="对象 9" DrawAspect="Content" ObjectID="_1468075726" r:id="rId9">
            <o:LockedField>false</o:LockedField>
          </o:OLEObject>
        </w:pict>
      </w:r>
    </w:p>
    <w:p>
      <w:pPr>
        <w:pStyle w:val="2"/>
        <w:spacing w:before="93"/>
      </w:pPr>
    </w:p>
    <w:p>
      <w:pPr>
        <w:pStyle w:val="2"/>
        <w:spacing w:before="93"/>
      </w:pPr>
    </w:p>
    <w:p>
      <w:pPr>
        <w:pStyle w:val="2"/>
        <w:spacing w:before="93"/>
      </w:pPr>
    </w:p>
    <w:p>
      <w:pPr>
        <w:pStyle w:val="2"/>
        <w:spacing w:before="93"/>
      </w:pPr>
    </w:p>
    <w:p>
      <w:pPr>
        <w:pStyle w:val="2"/>
        <w:spacing w:before="93"/>
      </w:pPr>
    </w:p>
    <w:p>
      <w:pPr>
        <w:pStyle w:val="27"/>
        <w:numPr>
          <w:ilvl w:val="0"/>
          <w:numId w:val="2"/>
        </w:numPr>
        <w:spacing w:line="600" w:lineRule="exact"/>
        <w:ind w:firstLineChars="0"/>
        <w:outlineLvl w:val="1"/>
        <w:rPr>
          <w:rStyle w:val="29"/>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9"/>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22年本年收入合计516.40万元，其中：一般公共预算财政拨款收入516.40万元，占100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pPr>
      <w:r>
        <w:rPr>
          <w:rFonts w:hint="eastAsia" w:ascii="仿宋" w:hAnsi="仿宋" w:eastAsia="仿宋"/>
          <w:sz w:val="32"/>
          <w:szCs w:val="32"/>
        </w:rPr>
        <w:t>（图2：收入决算结构图）（饼状图）</w:t>
      </w:r>
    </w:p>
    <w:p>
      <w:pPr>
        <w:spacing w:line="600" w:lineRule="exact"/>
        <w:ind w:firstLine="640" w:firstLineChars="200"/>
        <w:outlineLvl w:val="1"/>
        <w:rPr>
          <w:rFonts w:ascii="仿宋" w:hAnsi="仿宋" w:eastAsia="仿宋"/>
          <w:sz w:val="32"/>
          <w:szCs w:val="32"/>
        </w:rPr>
      </w:pPr>
      <w:r>
        <w:rPr>
          <w:rFonts w:ascii="仿宋_GB2312" w:hAnsi="仿宋" w:eastAsia="仿宋_GB2312"/>
          <w:sz w:val="32"/>
          <w:szCs w:val="32"/>
        </w:rPr>
        <w:pict>
          <v:shape id="Object 3" o:spid="_x0000_s1026" o:spt="75" type="#_x0000_t75" style="position:absolute;left:0pt;margin-left:-3.65pt;margin-top:5.45pt;height:194.85pt;width:465.3pt;z-index:251659264;mso-width-relative:page;mso-height-relative:page;" o:ole="t" filled="f" o:preferrelative="t" stroked="f" coordsize="21600,21600">
            <v:path/>
            <v:fill on="f" focussize="0,0"/>
            <v:stroke on="f" joinstyle="miter"/>
            <v:imagedata r:id="rId11" o:title=""/>
            <o:lock v:ext="edit" aspectratio="t"/>
          </v:shape>
          <o:OLEObject Type="Embed" ProgID="Excel.Sheet.12" ShapeID="Object 3" DrawAspect="Content" ObjectID="_1468075727" r:id="rId10">
            <o:LockedField>false</o:LockedField>
          </o:OLEObject>
        </w:pict>
      </w: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spacing w:line="600" w:lineRule="exact"/>
        <w:ind w:firstLine="640" w:firstLineChars="200"/>
        <w:rPr>
          <w:rFonts w:ascii="仿宋" w:hAnsi="仿宋" w:eastAsia="仿宋"/>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9"/>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22年本年支出合计516.40万元，其中：基本支出446.08万元，占86.38</w:t>
      </w:r>
      <w:r>
        <w:rPr>
          <w:rFonts w:ascii="仿宋" w:hAnsi="仿宋" w:eastAsia="仿宋"/>
          <w:sz w:val="32"/>
          <w:szCs w:val="32"/>
        </w:rPr>
        <w:t>%</w:t>
      </w:r>
      <w:r>
        <w:rPr>
          <w:rFonts w:hint="eastAsia" w:ascii="仿宋" w:hAnsi="仿宋" w:eastAsia="仿宋"/>
          <w:sz w:val="32"/>
          <w:szCs w:val="32"/>
        </w:rPr>
        <w:t>；项目支出70.32万元，占13.62</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pStyle w:val="2"/>
        <w:spacing w:before="93"/>
        <w:rPr>
          <w:rFonts w:ascii="仿宋" w:hAnsi="仿宋" w:eastAsia="仿宋"/>
          <w:sz w:val="32"/>
          <w:szCs w:val="32"/>
        </w:rPr>
      </w:pPr>
      <w:r>
        <w:rPr>
          <w:color w:val="FF0000"/>
          <w:sz w:val="32"/>
          <w:szCs w:val="32"/>
        </w:rPr>
        <w:pict>
          <v:shape id="Object 4" o:spid="_x0000_s1027" o:spt="75" type="#_x0000_t75" style="position:absolute;left:0pt;margin-left:-35.9pt;margin-top:12.35pt;height:214.65pt;width:516.9pt;z-index:251660288;mso-width-relative:page;mso-height-relative:page;" o:ole="t" filled="f" o:preferrelative="t" stroked="f" coordsize="21600,21600">
            <v:path/>
            <v:fill on="f" focussize="0,0"/>
            <v:stroke on="f" joinstyle="miter"/>
            <v:imagedata r:id="rId13" o:title=""/>
            <o:lock v:ext="edit" aspectratio="t"/>
          </v:shape>
          <o:OLEObject Type="Embed" ProgID="Excel.Sheet.12" ShapeID="Object 4" DrawAspect="Content" ObjectID="_1468075728" r:id="rId12">
            <o:LockedField>false</o:LockedField>
          </o:OLEObject>
        </w:pict>
      </w:r>
    </w:p>
    <w:p>
      <w:pPr>
        <w:spacing w:line="600" w:lineRule="exact"/>
        <w:ind w:firstLine="640" w:firstLineChars="200"/>
        <w:rPr>
          <w:rFonts w:ascii="仿宋_GB2312" w:eastAsia="仿宋_GB2312"/>
          <w:sz w:val="32"/>
          <w:szCs w:val="32"/>
        </w:rPr>
      </w:pPr>
    </w:p>
    <w:p>
      <w:pPr>
        <w:pStyle w:val="2"/>
        <w:spacing w:before="93"/>
        <w:rPr>
          <w:sz w:val="32"/>
          <w:szCs w:val="32"/>
        </w:rPr>
      </w:pPr>
    </w:p>
    <w:p>
      <w:pPr>
        <w:pStyle w:val="2"/>
        <w:spacing w:before="93"/>
        <w:rPr>
          <w:sz w:val="32"/>
          <w:szCs w:val="32"/>
        </w:rPr>
      </w:pPr>
    </w:p>
    <w:p>
      <w:pPr>
        <w:spacing w:line="600" w:lineRule="exact"/>
        <w:ind w:firstLine="640" w:firstLineChars="200"/>
        <w:outlineLvl w:val="1"/>
        <w:rPr>
          <w:rStyle w:val="29"/>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22年财政拨款收、支总计516.40万元。与</w:t>
      </w:r>
      <w:r>
        <w:rPr>
          <w:rFonts w:ascii="仿宋" w:hAnsi="仿宋" w:eastAsia="仿宋"/>
          <w:sz w:val="32"/>
          <w:szCs w:val="32"/>
        </w:rPr>
        <w:t>20</w:t>
      </w:r>
      <w:r>
        <w:rPr>
          <w:rFonts w:hint="eastAsia" w:ascii="仿宋" w:hAnsi="仿宋" w:eastAsia="仿宋"/>
          <w:sz w:val="32"/>
          <w:szCs w:val="32"/>
        </w:rPr>
        <w:t>21年相比，财政拨款收、支总计各增加109.66万元，增长26.96</w:t>
      </w:r>
      <w:r>
        <w:rPr>
          <w:rFonts w:ascii="仿宋" w:hAnsi="仿宋" w:eastAsia="仿宋"/>
          <w:sz w:val="32"/>
          <w:szCs w:val="32"/>
        </w:rPr>
        <w:t>%</w:t>
      </w:r>
      <w:r>
        <w:rPr>
          <w:rFonts w:hint="eastAsia" w:ascii="仿宋" w:hAnsi="仿宋" w:eastAsia="仿宋"/>
          <w:sz w:val="32"/>
          <w:szCs w:val="32"/>
        </w:rPr>
        <w:t>。主要变动原因是增加项目政法转移资金支出。</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r>
        <w:rPr>
          <w:rFonts w:ascii="仿宋_GB2312" w:eastAsia="仿宋_GB2312"/>
          <w:color w:val="000000"/>
          <w:sz w:val="32"/>
          <w:szCs w:val="32"/>
        </w:rPr>
        <w:pict>
          <v:shape id="Object 5" o:spid="_x0000_s1028" o:spt="75" type="#_x0000_t75" style="position:absolute;left:0pt;margin-left:-15.75pt;margin-top:2.2pt;height:218.45pt;width:495.7pt;z-index:251661312;mso-width-relative:page;mso-height-relative:page;" o:ole="t" filled="f" o:preferrelative="t" stroked="f" coordsize="21600,21600">
            <v:path/>
            <v:fill on="f" focussize="0,0"/>
            <v:stroke on="f" joinstyle="miter"/>
            <v:imagedata r:id="rId15" o:title=""/>
            <o:lock v:ext="edit" aspectratio="t"/>
          </v:shape>
          <o:OLEObject Type="Embed" ProgID="Excel.Sheet.12" ShapeID="Object 5" DrawAspect="Content" ObjectID="_1468075729" r:id="rId14">
            <o:LockedField>false</o:LockedField>
          </o:OLEObject>
        </w:pict>
      </w:r>
    </w:p>
    <w:p>
      <w:pPr>
        <w:pStyle w:val="2"/>
        <w:spacing w:before="93"/>
        <w:rPr>
          <w:rFonts w:ascii="仿宋" w:hAnsi="仿宋" w:eastAsia="仿宋"/>
          <w:b/>
          <w:sz w:val="32"/>
          <w:szCs w:val="32"/>
        </w:rPr>
      </w:pPr>
    </w:p>
    <w:p>
      <w:pPr>
        <w:pStyle w:val="2"/>
        <w:spacing w:before="93"/>
        <w:rPr>
          <w:rFonts w:ascii="仿宋" w:hAnsi="仿宋" w:eastAsia="仿宋"/>
          <w:b/>
          <w:sz w:val="32"/>
          <w:szCs w:val="32"/>
        </w:rPr>
      </w:pPr>
    </w:p>
    <w:p>
      <w:pPr>
        <w:pStyle w:val="2"/>
        <w:spacing w:before="93"/>
        <w:rPr>
          <w:rFonts w:ascii="仿宋" w:hAnsi="仿宋" w:eastAsia="仿宋"/>
          <w:b/>
          <w:sz w:val="32"/>
          <w:szCs w:val="32"/>
        </w:rPr>
      </w:pPr>
    </w:p>
    <w:p>
      <w:pPr>
        <w:pStyle w:val="2"/>
        <w:spacing w:before="93"/>
        <w:rPr>
          <w:rFonts w:ascii="仿宋" w:hAnsi="仿宋" w:eastAsia="仿宋"/>
          <w:b/>
          <w:sz w:val="32"/>
          <w:szCs w:val="32"/>
        </w:rPr>
      </w:pPr>
    </w:p>
    <w:p>
      <w:pPr>
        <w:pStyle w:val="2"/>
        <w:spacing w:before="93"/>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22年一般公共预算财政拨款支出516.40万元，占本年支出合计的100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21年相比，一般公共预算财政拨款支出增加109.66万元，增长26.96</w:t>
      </w:r>
      <w:r>
        <w:rPr>
          <w:rFonts w:ascii="仿宋" w:hAnsi="仿宋" w:eastAsia="仿宋"/>
          <w:sz w:val="32"/>
          <w:szCs w:val="32"/>
        </w:rPr>
        <w:t>%</w:t>
      </w:r>
      <w:r>
        <w:rPr>
          <w:rFonts w:hint="eastAsia" w:ascii="仿宋" w:hAnsi="仿宋" w:eastAsia="仿宋"/>
          <w:sz w:val="32"/>
          <w:szCs w:val="32"/>
        </w:rPr>
        <w:t>。主要变动原因是增加项目政法转移资金支出。</w:t>
      </w:r>
    </w:p>
    <w:p>
      <w:pPr>
        <w:spacing w:line="600" w:lineRule="exact"/>
        <w:rPr>
          <w:rFonts w:ascii="仿宋" w:hAnsi="仿宋" w:eastAsia="仿宋"/>
          <w:sz w:val="32"/>
          <w:szCs w:val="32"/>
        </w:rPr>
      </w:pPr>
      <w:r>
        <w:rPr>
          <w:rFonts w:ascii="仿宋_GB2312" w:eastAsia="仿宋_GB2312"/>
          <w:color w:val="000000"/>
          <w:sz w:val="32"/>
          <w:szCs w:val="32"/>
        </w:rPr>
        <w:pict>
          <v:shape id="Object 6" o:spid="_x0000_s1029" o:spt="75" type="#_x0000_t75" style="position:absolute;left:0pt;margin-left:-20.2pt;margin-top:28.4pt;height:206.5pt;width:475.55pt;z-index:251662336;mso-width-relative:page;mso-height-relative:page;" o:ole="t" filled="f" o:preferrelative="t" stroked="f" coordsize="21600,21600">
            <v:path/>
            <v:fill on="f" focussize="0,0"/>
            <v:stroke on="f" joinstyle="miter"/>
            <v:imagedata r:id="rId17" o:title=""/>
            <o:lock v:ext="edit" aspectratio="t"/>
          </v:shape>
          <o:OLEObject Type="Embed" ProgID="Excel.Sheet.12" ShapeID="Object 6" DrawAspect="Content" ObjectID="_1468075730" r:id="rId16">
            <o:LockedField>false</o:LockedField>
          </o:OLEObject>
        </w:pict>
      </w: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22年一般公共预算财政拨款支出516.40万元，主要用于以下方面</w:t>
      </w:r>
      <w:r>
        <w:rPr>
          <w:rFonts w:ascii="仿宋" w:hAnsi="仿宋" w:eastAsia="仿宋"/>
          <w:sz w:val="32"/>
          <w:szCs w:val="32"/>
        </w:rPr>
        <w:t>:</w:t>
      </w:r>
      <w:r>
        <w:rPr>
          <w:rFonts w:hint="eastAsia" w:ascii="仿宋" w:hAnsi="仿宋" w:eastAsia="仿宋"/>
          <w:b/>
          <w:sz w:val="32"/>
          <w:szCs w:val="32"/>
        </w:rPr>
        <w:t>公共安全支出</w:t>
      </w:r>
      <w:r>
        <w:rPr>
          <w:rFonts w:hint="eastAsia" w:ascii="仿宋" w:hAnsi="仿宋" w:eastAsia="仿宋"/>
          <w:sz w:val="32"/>
          <w:szCs w:val="32"/>
        </w:rPr>
        <w:t>450.14万元，占87.17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社会保障和就业支出</w:t>
      </w:r>
      <w:r>
        <w:rPr>
          <w:rFonts w:hint="eastAsia" w:ascii="仿宋" w:hAnsi="仿宋" w:eastAsia="仿宋"/>
          <w:sz w:val="32"/>
          <w:szCs w:val="32"/>
        </w:rPr>
        <w:t>24.44万元，占4.73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卫生健康支出</w:t>
      </w:r>
      <w:r>
        <w:rPr>
          <w:rFonts w:hint="eastAsia" w:ascii="仿宋" w:hAnsi="仿宋" w:eastAsia="仿宋"/>
          <w:sz w:val="32"/>
          <w:szCs w:val="32"/>
        </w:rPr>
        <w:t>13.69万元，占2.65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28.12万</w:t>
      </w:r>
      <w:r>
        <w:rPr>
          <w:rFonts w:hint="eastAsia" w:ascii="仿宋" w:hAnsi="仿宋" w:eastAsia="仿宋"/>
          <w:b/>
          <w:bCs/>
          <w:sz w:val="32"/>
          <w:szCs w:val="32"/>
        </w:rPr>
        <w:t>元，</w:t>
      </w:r>
      <w:r>
        <w:rPr>
          <w:rFonts w:hint="eastAsia" w:ascii="仿宋" w:hAnsi="仿宋" w:eastAsia="仿宋"/>
          <w:sz w:val="32"/>
          <w:szCs w:val="32"/>
        </w:rPr>
        <w:t>占5.45%。</w:t>
      </w:r>
    </w:p>
    <w:p>
      <w:pPr>
        <w:spacing w:line="600" w:lineRule="exact"/>
        <w:ind w:firstLine="640" w:firstLineChars="200"/>
        <w:rPr>
          <w:rFonts w:ascii="仿宋" w:hAnsi="仿宋" w:eastAsia="仿宋"/>
          <w:sz w:val="32"/>
          <w:szCs w:val="32"/>
        </w:rPr>
      </w:pPr>
      <w:r>
        <w:rPr>
          <w:rFonts w:ascii="仿宋" w:hAnsi="仿宋" w:eastAsia="仿宋"/>
          <w:color w:val="000000"/>
          <w:sz w:val="32"/>
          <w:szCs w:val="32"/>
        </w:rPr>
        <w:pict>
          <v:shape id="Object 7" o:spid="_x0000_s1030" o:spt="75" type="#_x0000_t75" style="position:absolute;left:0pt;margin-left:-40.35pt;margin-top:27.05pt;height:231.75pt;width:534.7pt;z-index:251663360;mso-width-relative:page;mso-height-relative:page;" o:ole="t" filled="f" o:preferrelative="t" stroked="f" coordsize="21600,21600">
            <v:path/>
            <v:fill on="f" focussize="0,0"/>
            <v:stroke on="f" joinstyle="miter"/>
            <v:imagedata r:id="rId19" o:title=""/>
            <o:lock v:ext="edit" aspectratio="t"/>
          </v:shape>
          <o:OLEObject Type="Embed" ProgID="Excel.Sheet.12" ShapeID="Object 7" DrawAspect="Content" ObjectID="_1468075731" r:id="rId18">
            <o:LockedField>false</o:LockedField>
          </o:OLEObject>
        </w:pict>
      </w: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spacing w:line="600" w:lineRule="exact"/>
        <w:ind w:firstLine="640" w:firstLineChars="200"/>
        <w:outlineLvl w:val="2"/>
        <w:rPr>
          <w:rFonts w:ascii="仿宋" w:hAnsi="仿宋" w:eastAsia="仿宋"/>
          <w:b/>
          <w:sz w:val="32"/>
          <w:szCs w:val="32"/>
        </w:rPr>
      </w:pPr>
      <w:bookmarkStart w:id="30" w:name="_Toc15377212"/>
    </w:p>
    <w:p>
      <w:pPr>
        <w:spacing w:line="600" w:lineRule="exact"/>
        <w:ind w:firstLine="640"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pPr>
        <w:spacing w:line="600" w:lineRule="exact"/>
        <w:ind w:firstLine="640"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2022年一般公共预算支出决算数为516.40万元，</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pPr>
        <w:spacing w:line="600" w:lineRule="exact"/>
        <w:ind w:firstLine="640"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公共安全支出（204）公安（02）行政运行（01）</w:t>
      </w:r>
      <w:r>
        <w:rPr>
          <w:rStyle w:val="17"/>
          <w:rFonts w:ascii="仿宋" w:hAnsi="仿宋" w:eastAsia="仿宋"/>
          <w:bCs/>
          <w:sz w:val="32"/>
          <w:szCs w:val="32"/>
        </w:rPr>
        <w:t>:</w:t>
      </w:r>
      <w:r>
        <w:rPr>
          <w:rStyle w:val="17"/>
          <w:rFonts w:hint="eastAsia" w:ascii="仿宋" w:hAnsi="仿宋" w:eastAsia="仿宋"/>
          <w:b w:val="0"/>
          <w:bCs/>
          <w:sz w:val="32"/>
          <w:szCs w:val="32"/>
        </w:rPr>
        <w:t>支出决算为379.82万元，完成预算100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17"/>
          <w:rFonts w:ascii="仿宋" w:hAnsi="仿宋" w:eastAsia="仿宋"/>
          <w:bCs/>
          <w:sz w:val="32"/>
          <w:szCs w:val="32"/>
        </w:rPr>
        <w:t>2.</w:t>
      </w:r>
      <w:r>
        <w:rPr>
          <w:rStyle w:val="17"/>
          <w:rFonts w:hint="eastAsia" w:ascii="仿宋" w:hAnsi="仿宋" w:eastAsia="仿宋"/>
          <w:bCs/>
          <w:sz w:val="32"/>
          <w:szCs w:val="32"/>
        </w:rPr>
        <w:t>公共安全支出（204）公安（02）一般行政管理事务（02）</w:t>
      </w:r>
      <w:r>
        <w:rPr>
          <w:rStyle w:val="17"/>
          <w:rFonts w:ascii="仿宋" w:hAnsi="仿宋" w:eastAsia="仿宋"/>
          <w:bCs/>
          <w:sz w:val="32"/>
          <w:szCs w:val="32"/>
        </w:rPr>
        <w:t>:</w:t>
      </w:r>
      <w:r>
        <w:rPr>
          <w:rStyle w:val="17"/>
          <w:rFonts w:hint="eastAsia" w:ascii="仿宋" w:hAnsi="仿宋" w:eastAsia="仿宋"/>
          <w:b w:val="0"/>
          <w:bCs/>
          <w:sz w:val="32"/>
          <w:szCs w:val="32"/>
        </w:rPr>
        <w:t>支出决算为70.32万元，完成预算100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社会保障和就业支出（208）行政事业单位养老支出（05）行政单位离退休（01）</w:t>
      </w:r>
      <w:r>
        <w:rPr>
          <w:rStyle w:val="17"/>
          <w:rFonts w:ascii="仿宋" w:hAnsi="仿宋" w:eastAsia="仿宋"/>
          <w:bCs/>
          <w:sz w:val="32"/>
          <w:szCs w:val="32"/>
        </w:rPr>
        <w:t>:</w:t>
      </w:r>
      <w:r>
        <w:rPr>
          <w:rStyle w:val="17"/>
          <w:rFonts w:hint="eastAsia" w:ascii="仿宋" w:hAnsi="仿宋" w:eastAsia="仿宋"/>
          <w:b w:val="0"/>
          <w:bCs/>
          <w:sz w:val="32"/>
          <w:szCs w:val="32"/>
        </w:rPr>
        <w:t>支出决算为1.29万元，完成预算100%。</w:t>
      </w:r>
    </w:p>
    <w:p>
      <w:pPr>
        <w:spacing w:line="600" w:lineRule="exact"/>
        <w:ind w:firstLine="640" w:firstLineChars="200"/>
        <w:rPr>
          <w:rFonts w:ascii="仿宋" w:hAnsi="仿宋" w:eastAsia="仿宋"/>
          <w:b/>
          <w:sz w:val="32"/>
          <w:szCs w:val="32"/>
        </w:rPr>
      </w:pPr>
      <w:r>
        <w:rPr>
          <w:rStyle w:val="17"/>
          <w:rFonts w:hint="eastAsia" w:ascii="仿宋" w:hAnsi="仿宋" w:eastAsia="仿宋"/>
          <w:bCs/>
          <w:sz w:val="32"/>
          <w:szCs w:val="32"/>
        </w:rPr>
        <w:t>4</w:t>
      </w:r>
      <w:r>
        <w:rPr>
          <w:rStyle w:val="17"/>
          <w:rFonts w:ascii="仿宋" w:hAnsi="仿宋" w:eastAsia="仿宋"/>
          <w:bCs/>
          <w:sz w:val="32"/>
          <w:szCs w:val="32"/>
        </w:rPr>
        <w:t>.</w:t>
      </w:r>
      <w:r>
        <w:rPr>
          <w:rStyle w:val="17"/>
          <w:rFonts w:hint="eastAsia" w:ascii="仿宋" w:hAnsi="仿宋" w:eastAsia="仿宋"/>
          <w:bCs/>
          <w:sz w:val="32"/>
          <w:szCs w:val="32"/>
        </w:rPr>
        <w:t>社会保障和就业支出（208）行政事业单位养老支出（05）机关事业单位基本养老保险缴费支出（05）</w:t>
      </w:r>
      <w:r>
        <w:rPr>
          <w:rStyle w:val="17"/>
          <w:rFonts w:ascii="仿宋" w:hAnsi="仿宋" w:eastAsia="仿宋"/>
          <w:bCs/>
          <w:sz w:val="32"/>
          <w:szCs w:val="32"/>
        </w:rPr>
        <w:t>:</w:t>
      </w:r>
      <w:r>
        <w:rPr>
          <w:rStyle w:val="17"/>
          <w:rFonts w:hint="eastAsia" w:ascii="仿宋" w:hAnsi="仿宋" w:eastAsia="仿宋"/>
          <w:b w:val="0"/>
          <w:bCs/>
          <w:sz w:val="32"/>
          <w:szCs w:val="32"/>
        </w:rPr>
        <w:t>支出决算为23.16万元，完成预算100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Style w:val="17"/>
          <w:rFonts w:hint="eastAsia" w:ascii="仿宋" w:hAnsi="仿宋" w:eastAsia="仿宋"/>
          <w:bCs/>
          <w:sz w:val="32"/>
          <w:szCs w:val="32"/>
        </w:rPr>
        <w:t>5</w:t>
      </w:r>
      <w:r>
        <w:rPr>
          <w:rStyle w:val="17"/>
          <w:rFonts w:ascii="仿宋" w:hAnsi="仿宋" w:eastAsia="仿宋"/>
          <w:bCs/>
          <w:sz w:val="32"/>
          <w:szCs w:val="32"/>
        </w:rPr>
        <w:t>.</w:t>
      </w:r>
      <w:r>
        <w:rPr>
          <w:rFonts w:hint="eastAsia" w:ascii="仿宋" w:hAnsi="仿宋" w:eastAsia="仿宋"/>
          <w:b/>
          <w:bCs/>
          <w:sz w:val="32"/>
          <w:szCs w:val="32"/>
        </w:rPr>
        <w:t>卫生健康支出</w:t>
      </w:r>
      <w:r>
        <w:rPr>
          <w:rStyle w:val="17"/>
          <w:rFonts w:hint="eastAsia" w:ascii="仿宋" w:hAnsi="仿宋" w:eastAsia="仿宋"/>
          <w:bCs/>
          <w:sz w:val="32"/>
          <w:szCs w:val="32"/>
        </w:rPr>
        <w:t>（210）行政事业单位医疗（11）行政单位医疗（01）</w:t>
      </w:r>
      <w:r>
        <w:rPr>
          <w:rStyle w:val="17"/>
          <w:rFonts w:ascii="仿宋" w:hAnsi="仿宋" w:eastAsia="仿宋"/>
          <w:bCs/>
          <w:sz w:val="32"/>
          <w:szCs w:val="32"/>
        </w:rPr>
        <w:t>:</w:t>
      </w:r>
      <w:r>
        <w:rPr>
          <w:rStyle w:val="17"/>
          <w:rFonts w:hint="eastAsia" w:ascii="仿宋" w:hAnsi="仿宋" w:eastAsia="仿宋"/>
          <w:b w:val="0"/>
          <w:bCs/>
          <w:sz w:val="32"/>
          <w:szCs w:val="32"/>
        </w:rPr>
        <w:t>支出决算为13.69万元，完成预算100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b/>
          <w:bCs/>
          <w:sz w:val="32"/>
          <w:szCs w:val="32"/>
        </w:rPr>
        <w:t>6.住房保障支出</w:t>
      </w:r>
      <w:r>
        <w:rPr>
          <w:rStyle w:val="17"/>
          <w:rFonts w:hint="eastAsia" w:ascii="仿宋" w:hAnsi="仿宋" w:eastAsia="仿宋"/>
          <w:bCs/>
          <w:sz w:val="32"/>
          <w:szCs w:val="32"/>
        </w:rPr>
        <w:t>（221）住房改革支出（02）  住房公积金（01）</w:t>
      </w:r>
      <w:r>
        <w:rPr>
          <w:rStyle w:val="17"/>
          <w:rFonts w:ascii="仿宋" w:hAnsi="仿宋" w:eastAsia="仿宋"/>
          <w:bCs/>
          <w:sz w:val="32"/>
          <w:szCs w:val="32"/>
        </w:rPr>
        <w:t>:</w:t>
      </w:r>
      <w:r>
        <w:rPr>
          <w:rStyle w:val="17"/>
          <w:rFonts w:hint="eastAsia" w:ascii="仿宋" w:hAnsi="仿宋" w:eastAsia="仿宋"/>
          <w:b w:val="0"/>
          <w:bCs/>
          <w:sz w:val="32"/>
          <w:szCs w:val="32"/>
        </w:rPr>
        <w:t>支出决算为28.12万元，完成预算100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right" w:pos="8306"/>
        </w:tabs>
        <w:spacing w:line="600" w:lineRule="exact"/>
        <w:ind w:firstLine="640"/>
        <w:outlineLvl w:val="1"/>
        <w:rPr>
          <w:rStyle w:val="29"/>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22年一般公共预算财政拨款基本支出446.08万元，其中：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355.36万元，主要包括：基本工资、津贴补贴、奖金、绩效工资、机关事业单位基本养老保险缴费、职业年金缴费、职工基本医疗保险缴费、公务员医疗补助缴费、其他社会保障缴费、其他工资福利支出、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90.72万元，主要包括：办公费、印刷费、咨询费、水费、电费、邮电费、物业管理费、差旅费、维修（护）费、租赁费、培训费、公务接待费、被装购置费、劳务费、委托业务费、工会经费、福利费、公务用车运行维护费、其他交通费、其他商品和服务支出等。</w:t>
      </w:r>
    </w:p>
    <w:p>
      <w:pPr>
        <w:spacing w:line="600" w:lineRule="exact"/>
        <w:ind w:firstLine="640"/>
        <w:outlineLvl w:val="1"/>
        <w:rPr>
          <w:rStyle w:val="29"/>
          <w:rFonts w:ascii="黑体" w:hAnsi="黑体" w:eastAsia="黑体"/>
          <w:b w:val="0"/>
        </w:rPr>
      </w:pPr>
      <w:bookmarkStart w:id="36" w:name="_Toc15377215"/>
      <w:bookmarkStart w:id="37" w:name="_Toc1539660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22年“三公”经费财政拨款支出决算为9.15万元，完成预算100</w:t>
      </w:r>
      <w:r>
        <w:rPr>
          <w:rFonts w:ascii="仿宋" w:hAnsi="仿宋" w:eastAsia="仿宋"/>
          <w:sz w:val="32"/>
          <w:szCs w:val="32"/>
        </w:rPr>
        <w:t>%</w:t>
      </w:r>
      <w:r>
        <w:rPr>
          <w:rFonts w:hint="eastAsia" w:ascii="仿宋" w:hAnsi="仿宋" w:eastAsia="仿宋"/>
          <w:sz w:val="32"/>
          <w:szCs w:val="32"/>
        </w:rPr>
        <w:t>，较上年减少3.47万元，下降27.46%。</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；公务用车购置及运行维护费支出决算9.10万元，占99.45</w:t>
      </w:r>
      <w:r>
        <w:rPr>
          <w:rFonts w:ascii="仿宋" w:hAnsi="仿宋" w:eastAsia="仿宋"/>
          <w:sz w:val="32"/>
          <w:szCs w:val="32"/>
        </w:rPr>
        <w:t>%</w:t>
      </w:r>
      <w:r>
        <w:rPr>
          <w:rFonts w:hint="eastAsia" w:ascii="仿宋" w:hAnsi="仿宋" w:eastAsia="仿宋"/>
          <w:sz w:val="32"/>
          <w:szCs w:val="32"/>
        </w:rPr>
        <w:t>；公务接待费支出决算0.05万元，占0.55</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rPr>
          <w:rFonts w:ascii="仿宋" w:hAnsi="仿宋" w:eastAsia="仿宋"/>
          <w:sz w:val="32"/>
          <w:szCs w:val="32"/>
        </w:rPr>
      </w:pPr>
      <w:r>
        <w:rPr>
          <w:rFonts w:ascii="仿宋" w:hAnsi="仿宋" w:eastAsia="仿宋"/>
          <w:sz w:val="32"/>
          <w:szCs w:val="32"/>
        </w:rPr>
        <w:pict>
          <v:shape id="Object 8" o:spid="_x0000_s1031" o:spt="75" type="#_x0000_t75" style="position:absolute;left:0pt;margin-left:-25.85pt;margin-top:4.3pt;height:210.6pt;width:500.25pt;z-index:251664384;mso-width-relative:page;mso-height-relative:page;" o:ole="t" filled="f" o:preferrelative="t" stroked="f" coordsize="21600,21600">
            <v:path/>
            <v:fill on="f" focussize="0,0"/>
            <v:stroke on="f" joinstyle="miter"/>
            <v:imagedata r:id="rId21" o:title=""/>
            <o:lock v:ext="edit" aspectratio="t"/>
          </v:shape>
          <o:OLEObject Type="Embed" ProgID="Excel.Sheet.12" ShapeID="Object 8" DrawAspect="Content" ObjectID="_1468075732" r:id="rId20">
            <o:LockedField>false</o:LockedField>
          </o:OLEObject>
        </w:pict>
      </w: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全年安排因公出国（境）团组0次，出国（境）0人。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9.10万元,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21年减少3.13万元，下降25.57</w:t>
      </w:r>
      <w:r>
        <w:rPr>
          <w:rFonts w:ascii="仿宋_GB2312" w:eastAsia="仿宋_GB2312"/>
          <w:sz w:val="32"/>
          <w:szCs w:val="32"/>
        </w:rPr>
        <w:t>%</w:t>
      </w:r>
      <w:r>
        <w:rPr>
          <w:rFonts w:hint="eastAsia" w:ascii="仿宋_GB2312" w:eastAsia="仿宋_GB2312"/>
          <w:sz w:val="32"/>
          <w:szCs w:val="32"/>
        </w:rPr>
        <w:t>。主要原因是厉行节约，减少武功用车运行维护费。</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月底，单位共有执法执勤用车3辆，其中：轿车0辆、越野车3辆、载客汽车0辆。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9.10万元。主要用于单位日常工作开展等所需的公务用车燃料费、维修费、过路过桥费、保险费等支出。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0.05万元，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21年减少0.34万元，下降87.11</w:t>
      </w:r>
      <w:r>
        <w:rPr>
          <w:rFonts w:ascii="仿宋_GB2312" w:eastAsia="仿宋_GB2312"/>
          <w:sz w:val="32"/>
          <w:szCs w:val="32"/>
        </w:rPr>
        <w:t>%</w:t>
      </w:r>
      <w:r>
        <w:rPr>
          <w:rFonts w:hint="eastAsia" w:ascii="仿宋_GB2312" w:eastAsia="仿宋_GB2312"/>
          <w:sz w:val="32"/>
          <w:szCs w:val="32"/>
        </w:rPr>
        <w:t>。主要原因是厉行节约，减少公务接待费用。其中：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0.05</w:t>
      </w:r>
      <w:r>
        <w:rPr>
          <w:rFonts w:hint="eastAsia" w:ascii="仿宋_GB2312" w:eastAsia="仿宋_GB2312"/>
          <w:sz w:val="32"/>
          <w:szCs w:val="32"/>
        </w:rPr>
        <w:t>万元，主要用于执行公务、开展业务活动开支的交通费、住宿费、用餐费等。国内公务接待1批次，5人次（不包括陪同人员），共计支出0.05万元，</w:t>
      </w:r>
    </w:p>
    <w:p>
      <w:pPr>
        <w:spacing w:line="600" w:lineRule="exact"/>
        <w:ind w:firstLine="640"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bookmarkStart w:id="40" w:name="_Toc15396610"/>
      <w:bookmarkStart w:id="41" w:name="_Toc15377218"/>
    </w:p>
    <w:bookmarkEnd w:id="40"/>
    <w:bookmarkEnd w:id="41"/>
    <w:p>
      <w:pPr>
        <w:spacing w:line="600" w:lineRule="exact"/>
        <w:ind w:firstLine="640"/>
        <w:outlineLvl w:val="1"/>
        <w:rPr>
          <w:rStyle w:val="29"/>
          <w:rFonts w:ascii="黑体" w:hAnsi="黑体" w:eastAsia="黑体"/>
        </w:rPr>
      </w:pPr>
      <w:bookmarkStart w:id="42" w:name="_Toc15396612"/>
      <w:bookmarkStart w:id="43" w:name="_Toc15377221"/>
      <w:r>
        <w:rPr>
          <w:rFonts w:hint="eastAsia" w:ascii="黑体" w:eastAsia="黑体"/>
          <w:sz w:val="32"/>
          <w:szCs w:val="32"/>
        </w:rPr>
        <w:t>八、</w:t>
      </w:r>
      <w:r>
        <w:rPr>
          <w:rStyle w:val="29"/>
          <w:rFonts w:hint="eastAsia" w:ascii="黑体" w:hAnsi="黑体" w:eastAsia="黑体"/>
          <w:b w:val="0"/>
        </w:rPr>
        <w:t>政府性基金预算支出决算情况说明</w:t>
      </w:r>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3"/>
        </w:numPr>
        <w:spacing w:line="600" w:lineRule="exact"/>
        <w:ind w:firstLine="640"/>
        <w:outlineLvl w:val="1"/>
        <w:rPr>
          <w:rStyle w:val="29"/>
          <w:rFonts w:ascii="黑体" w:hAnsi="黑体" w:eastAsia="黑体"/>
          <w:b w:val="0"/>
        </w:rPr>
      </w:pPr>
      <w:bookmarkStart w:id="44" w:name="_Toc15396611"/>
      <w:bookmarkStart w:id="45" w:name="_Toc15377219"/>
      <w:r>
        <w:rPr>
          <w:rStyle w:val="29"/>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3"/>
        </w:numPr>
        <w:spacing w:line="600" w:lineRule="exact"/>
        <w:ind w:firstLine="640"/>
        <w:outlineLvl w:val="1"/>
        <w:rPr>
          <w:rStyle w:val="29"/>
          <w:rFonts w:ascii="黑体" w:hAnsi="黑体" w:eastAsia="黑体"/>
          <w:b w:val="0"/>
        </w:rPr>
      </w:pPr>
      <w:r>
        <w:rPr>
          <w:rStyle w:val="29"/>
          <w:rFonts w:hint="eastAsia" w:ascii="黑体" w:hAnsi="黑体" w:eastAsia="黑体"/>
          <w:b w:val="0"/>
        </w:rPr>
        <w:t>其他重要事项的情况说明</w:t>
      </w:r>
      <w:bookmarkEnd w:id="42"/>
      <w:bookmarkEnd w:id="43"/>
    </w:p>
    <w:p>
      <w:pPr>
        <w:spacing w:line="600" w:lineRule="exact"/>
        <w:ind w:firstLine="640"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22年，遂宁市公安局森林警察支队机关运行经费支出90.72万元，比</w:t>
      </w:r>
      <w:r>
        <w:rPr>
          <w:rFonts w:ascii="仿宋_GB2312" w:eastAsia="仿宋_GB2312"/>
          <w:sz w:val="32"/>
          <w:szCs w:val="32"/>
        </w:rPr>
        <w:t>20</w:t>
      </w:r>
      <w:r>
        <w:rPr>
          <w:rFonts w:hint="eastAsia" w:ascii="仿宋_GB2312" w:eastAsia="仿宋_GB2312"/>
          <w:sz w:val="32"/>
          <w:szCs w:val="32"/>
        </w:rPr>
        <w:t>21年增加15.67万元，增长20.88</w:t>
      </w:r>
      <w:r>
        <w:rPr>
          <w:rFonts w:ascii="仿宋_GB2312" w:eastAsia="仿宋_GB2312"/>
          <w:sz w:val="32"/>
          <w:szCs w:val="32"/>
        </w:rPr>
        <w:t>%</w:t>
      </w:r>
      <w:r>
        <w:rPr>
          <w:rFonts w:hint="eastAsia" w:ascii="仿宋_GB2312" w:eastAsia="仿宋_GB2312"/>
          <w:sz w:val="32"/>
          <w:szCs w:val="32"/>
        </w:rPr>
        <w:t>。主要原因是主要原因是2022年支队人员增加5人，运行成本相对增加。</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22年，遂宁市公安局森林警察支队政府采购支出总额0万元，其中：政府采购货物支出0万元、政府采购工程支出0万元、政府采购服务支出0万元。授予中小企业合同金额0万元，占政府采购支出总额的0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日，遂宁市公安局森林警察支队共有车辆3辆，其中：主要领导干部用车0辆、机要通信用车0辆、应急保障用车0辆、执法执勤用车3辆、其他用车0辆，单价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0"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pPr>
      <w:r>
        <w:rPr>
          <w:rFonts w:hint="eastAsia" w:hAnsi="仿宋_GB2312" w:cs="仿宋_GB2312"/>
          <w:sz w:val="32"/>
          <w:szCs w:val="32"/>
        </w:rPr>
        <w:t>根据预算绩效管理要求，本单位在2022年度预算编制阶段，组织对辅警专项经费、2022年政法转移资金（公安）项目（项目名称）等2个项目开展了预算事前绩效评估，对2个项目编制了绩效目标，预算执行过程中，选取2个项目开展绩效监控，组织对2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spacing w:line="600" w:lineRule="exact"/>
        <w:jc w:val="left"/>
        <w:rPr>
          <w:rFonts w:ascii="宋体"/>
          <w:b/>
          <w:sz w:val="44"/>
          <w:szCs w:val="44"/>
        </w:rPr>
      </w:pPr>
    </w:p>
    <w:p>
      <w:pPr>
        <w:pStyle w:val="13"/>
        <w:widowControl/>
        <w:shd w:val="clear" w:color="auto" w:fill="FFFFFF"/>
        <w:spacing w:beforeAutospacing="0" w:afterAutospacing="0"/>
        <w:jc w:val="both"/>
        <w:rPr>
          <w:rFonts w:ascii="仿宋" w:hAnsi="仿宋" w:eastAsia="仿宋" w:cs="仿宋"/>
          <w:color w:val="333333"/>
          <w:sz w:val="32"/>
          <w:szCs w:val="32"/>
          <w:shd w:val="clear" w:color="auto" w:fill="FFFFFF"/>
        </w:rPr>
      </w:pPr>
      <w:r>
        <w:rPr>
          <w:rFonts w:ascii="仿宋" w:hAnsi="仿宋" w:eastAsia="仿宋" w:cs="仿宋"/>
          <w:color w:val="333333"/>
          <w:sz w:val="32"/>
          <w:szCs w:val="32"/>
          <w:shd w:val="clear" w:color="auto" w:fill="FFFFFF"/>
        </w:rPr>
        <w:t>1.</w:t>
      </w:r>
      <w:r>
        <w:rPr>
          <w:rFonts w:hint="eastAsia" w:ascii="仿宋" w:hAnsi="仿宋" w:eastAsia="仿宋" w:cs="仿宋"/>
          <w:color w:val="333333"/>
          <w:sz w:val="32"/>
          <w:szCs w:val="32"/>
          <w:shd w:val="clear" w:color="auto" w:fill="FFFFFF"/>
        </w:rPr>
        <w:t>财政拨款收入：指单位从同级财政部门取得的财政预算资金。</w:t>
      </w:r>
    </w:p>
    <w:p>
      <w:pPr>
        <w:pStyle w:val="13"/>
        <w:widowControl/>
        <w:shd w:val="clear" w:color="auto" w:fill="FFFFFF"/>
        <w:spacing w:beforeAutospacing="0" w:afterAutospacing="0"/>
        <w:jc w:val="both"/>
        <w:rPr>
          <w:color w:val="333333"/>
          <w:sz w:val="21"/>
          <w:szCs w:val="21"/>
        </w:rPr>
      </w:pPr>
      <w:r>
        <w:rPr>
          <w:rFonts w:hint="eastAsia" w:ascii="仿宋" w:hAnsi="仿宋" w:eastAsia="仿宋" w:cs="仿宋"/>
          <w:color w:val="333333"/>
          <w:sz w:val="32"/>
          <w:szCs w:val="32"/>
          <w:shd w:val="clear" w:color="auto" w:fill="FFFFFF"/>
        </w:rPr>
        <w:t>2.事业收入：指事业单位开展专业业务活动及辅助活动取得的收入。</w:t>
      </w:r>
    </w:p>
    <w:p>
      <w:pPr>
        <w:pStyle w:val="13"/>
        <w:widowControl/>
        <w:shd w:val="clear" w:color="auto" w:fill="FFFFFF"/>
        <w:spacing w:beforeAutospacing="0" w:afterAutospacing="0"/>
        <w:jc w:val="both"/>
        <w:rPr>
          <w:color w:val="333333"/>
          <w:sz w:val="21"/>
          <w:szCs w:val="21"/>
        </w:rPr>
      </w:pPr>
      <w:r>
        <w:rPr>
          <w:rFonts w:hint="eastAsia" w:ascii="仿宋" w:hAnsi="仿宋" w:eastAsia="仿宋" w:cs="仿宋"/>
          <w:color w:val="333333"/>
          <w:sz w:val="32"/>
          <w:szCs w:val="32"/>
          <w:shd w:val="clear" w:color="auto" w:fill="FFFFFF"/>
        </w:rPr>
        <w:t>3.经营收入：指事业单位在专业业务活动及其辅助活动之外开展非独立核算经营活动取得的收入。</w:t>
      </w:r>
    </w:p>
    <w:p>
      <w:pPr>
        <w:pStyle w:val="13"/>
        <w:widowControl/>
        <w:shd w:val="clear" w:color="auto" w:fill="FFFFFF"/>
        <w:spacing w:beforeAutospacing="0" w:afterAutospacing="0"/>
        <w:jc w:val="both"/>
        <w:rPr>
          <w:color w:val="333333"/>
          <w:sz w:val="21"/>
          <w:szCs w:val="21"/>
        </w:rPr>
      </w:pPr>
      <w:r>
        <w:rPr>
          <w:rFonts w:hint="eastAsia" w:ascii="仿宋" w:hAnsi="仿宋" w:eastAsia="仿宋" w:cs="仿宋"/>
          <w:color w:val="333333"/>
          <w:sz w:val="32"/>
          <w:szCs w:val="32"/>
          <w:shd w:val="clear" w:color="auto" w:fill="FFFFFF"/>
        </w:rPr>
        <w:t>4.其他收入：指单位取得的除上述收入以外的各项收入。</w:t>
      </w:r>
    </w:p>
    <w:p>
      <w:pPr>
        <w:pStyle w:val="13"/>
        <w:widowControl/>
        <w:shd w:val="clear" w:color="auto" w:fill="FFFFFF"/>
        <w:spacing w:beforeAutospacing="0" w:afterAutospacing="0"/>
        <w:jc w:val="both"/>
        <w:rPr>
          <w:color w:val="333333"/>
          <w:sz w:val="32"/>
          <w:szCs w:val="32"/>
          <w:shd w:val="clear" w:color="auto" w:fill="FFFFFF"/>
        </w:rPr>
      </w:pPr>
      <w:r>
        <w:rPr>
          <w:rFonts w:hint="eastAsia" w:ascii="仿宋" w:hAnsi="仿宋" w:eastAsia="仿宋" w:cs="仿宋"/>
          <w:color w:val="333333"/>
          <w:sz w:val="32"/>
          <w:szCs w:val="32"/>
          <w:shd w:val="clear" w:color="auto" w:fill="FFFFFF"/>
        </w:rPr>
        <w:t>5.使用非财政拨款结余：指事业单位使用以前年度积累的非财政拨款结余弥补当年收支差额的金额。</w:t>
      </w:r>
      <w:r>
        <w:rPr>
          <w:color w:val="333333"/>
          <w:sz w:val="32"/>
          <w:szCs w:val="32"/>
          <w:shd w:val="clear" w:color="auto" w:fill="FFFFFF"/>
        </w:rPr>
        <w:t> </w:t>
      </w:r>
    </w:p>
    <w:p>
      <w:pPr>
        <w:pStyle w:val="13"/>
        <w:widowControl/>
        <w:shd w:val="clear" w:color="auto" w:fill="FFFFFF"/>
        <w:spacing w:beforeAutospacing="0" w:afterAutospacing="0"/>
        <w:jc w:val="both"/>
        <w:rPr>
          <w:color w:val="333333"/>
          <w:sz w:val="32"/>
          <w:szCs w:val="32"/>
          <w:shd w:val="clear" w:color="auto" w:fill="FFFFFF"/>
        </w:rPr>
      </w:pPr>
      <w:r>
        <w:rPr>
          <w:rFonts w:hint="eastAsia" w:ascii="仿宋" w:hAnsi="仿宋" w:eastAsia="仿宋" w:cs="仿宋"/>
          <w:color w:val="333333"/>
          <w:sz w:val="32"/>
          <w:szCs w:val="32"/>
          <w:shd w:val="clear" w:color="auto" w:fill="FFFFFF"/>
        </w:rPr>
        <w:t>6.年初结转和结余：指以前年度尚未完成、结转到本年按有关规定继续使用的资金。</w:t>
      </w:r>
      <w:r>
        <w:rPr>
          <w:color w:val="333333"/>
          <w:sz w:val="32"/>
          <w:szCs w:val="32"/>
          <w:shd w:val="clear" w:color="auto" w:fill="FFFFFF"/>
        </w:rPr>
        <w:t> </w:t>
      </w:r>
    </w:p>
    <w:p>
      <w:pPr>
        <w:pStyle w:val="13"/>
        <w:widowControl/>
        <w:shd w:val="clear" w:color="auto" w:fill="FFFFFF"/>
        <w:spacing w:beforeAutospacing="0" w:afterAutospacing="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7.结余分配：指事业单位按照会计制度规定缴纳的所得税、提取的专用结余以及转入非财政拨款结余的金额等。</w:t>
      </w:r>
    </w:p>
    <w:p>
      <w:pPr>
        <w:pStyle w:val="13"/>
        <w:widowControl/>
        <w:shd w:val="clear" w:color="auto" w:fill="FFFFFF"/>
        <w:spacing w:beforeAutospacing="0" w:afterAutospacing="0"/>
        <w:jc w:val="both"/>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8、年末结转和结余：指单位按有关规定结转到下年或以后年度继续使用的资金。</w:t>
      </w:r>
    </w:p>
    <w:p>
      <w:pPr>
        <w:pStyle w:val="13"/>
        <w:widowControl/>
        <w:shd w:val="clear" w:color="auto" w:fill="FFFFFF"/>
        <w:spacing w:beforeAutospacing="0" w:afterAutospacing="0"/>
        <w:jc w:val="both"/>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公共安全支出（204）公安（02）行政运行（01）</w:t>
      </w:r>
      <w:r>
        <w:rPr>
          <w:rFonts w:ascii="仿宋_GB2312" w:eastAsia="仿宋_GB2312"/>
          <w:sz w:val="32"/>
          <w:szCs w:val="32"/>
        </w:rPr>
        <w:t xml:space="preserve">: </w:t>
      </w:r>
      <w:r>
        <w:rPr>
          <w:rFonts w:hint="eastAsia" w:ascii="仿宋_GB2312" w:eastAsia="仿宋_GB2312"/>
          <w:sz w:val="32"/>
          <w:szCs w:val="32"/>
        </w:rPr>
        <w:t>反映行政单位（包括实行公务员管理的事业单位）的基本支出。10</w:t>
      </w:r>
      <w:r>
        <w:rPr>
          <w:rFonts w:ascii="仿宋_GB2312" w:eastAsia="仿宋_GB2312"/>
          <w:sz w:val="32"/>
          <w:szCs w:val="32"/>
        </w:rPr>
        <w:t>.</w:t>
      </w:r>
      <w:r>
        <w:rPr>
          <w:rFonts w:hint="eastAsia" w:ascii="仿宋_GB2312" w:eastAsia="仿宋_GB2312"/>
          <w:sz w:val="32"/>
          <w:szCs w:val="32"/>
        </w:rPr>
        <w:t>公共安全支出（204）公安（02）一般行政管理事务（02）</w:t>
      </w:r>
      <w:r>
        <w:rPr>
          <w:rFonts w:ascii="仿宋_GB2312" w:eastAsia="仿宋_GB2312"/>
          <w:sz w:val="32"/>
          <w:szCs w:val="32"/>
        </w:rPr>
        <w:t xml:space="preserve">: </w:t>
      </w:r>
      <w:r>
        <w:rPr>
          <w:rFonts w:hint="eastAsia" w:ascii="仿宋_GB2312" w:eastAsia="仿宋_GB2312"/>
          <w:sz w:val="32"/>
          <w:szCs w:val="32"/>
        </w:rPr>
        <w:t>反映行政单位（包括实行公务员管理的事业单位）未单独设置项级科目的其他项目支出。</w:t>
      </w:r>
    </w:p>
    <w:p>
      <w:pPr>
        <w:pStyle w:val="13"/>
        <w:widowControl/>
        <w:shd w:val="clear" w:color="auto" w:fill="FFFFFF"/>
        <w:spacing w:beforeAutospacing="0" w:afterAutospacing="0"/>
        <w:jc w:val="both"/>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公共安全支出（204）公安（02）执法办案（20）</w:t>
      </w:r>
      <w:r>
        <w:rPr>
          <w:rFonts w:ascii="仿宋_GB2312" w:eastAsia="仿宋_GB2312"/>
          <w:sz w:val="32"/>
          <w:szCs w:val="32"/>
        </w:rPr>
        <w:t>:</w:t>
      </w:r>
      <w:r>
        <w:rPr>
          <w:rFonts w:hint="eastAsia" w:ascii="仿宋_GB2312" w:eastAsia="仿宋_GB2312"/>
          <w:sz w:val="32"/>
          <w:szCs w:val="32"/>
        </w:rPr>
        <w:t>反映公安机关从事行政执法、刑事司法及侦查办案等相关活动的支出。</w:t>
      </w:r>
    </w:p>
    <w:p>
      <w:pPr>
        <w:pStyle w:val="13"/>
        <w:widowControl/>
        <w:shd w:val="clear" w:color="auto" w:fill="FFFFFF"/>
        <w:spacing w:beforeAutospacing="0" w:afterAutospacing="0"/>
        <w:jc w:val="both"/>
        <w:rPr>
          <w:rFonts w:ascii="仿宋" w:hAnsi="仿宋" w:eastAsia="仿宋" w:cs="仿宋"/>
          <w:color w:val="333333"/>
          <w:sz w:val="32"/>
          <w:szCs w:val="32"/>
          <w:shd w:val="clear" w:color="auto" w:fill="FFFFFF"/>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社会保障和就业支出（208）行政事业单位养老支出（05）行政单位离退休（01）</w:t>
      </w:r>
      <w:r>
        <w:rPr>
          <w:rFonts w:ascii="仿宋_GB2312" w:eastAsia="仿宋_GB2312"/>
          <w:sz w:val="32"/>
          <w:szCs w:val="32"/>
        </w:rPr>
        <w:t xml:space="preserve">: </w:t>
      </w:r>
      <w:r>
        <w:rPr>
          <w:rFonts w:hint="eastAsia" w:ascii="仿宋_GB2312" w:eastAsia="仿宋_GB2312"/>
          <w:sz w:val="32"/>
          <w:szCs w:val="32"/>
        </w:rPr>
        <w:t>反映行政单位（包括实行公务员管理的事业单位）开支的离退休经费。</w:t>
      </w:r>
    </w:p>
    <w:p>
      <w:pPr>
        <w:pStyle w:val="13"/>
        <w:widowControl/>
        <w:shd w:val="clear" w:color="auto" w:fill="FFFFFF"/>
        <w:spacing w:beforeAutospacing="0" w:afterAutospacing="0"/>
        <w:jc w:val="both"/>
        <w:rPr>
          <w:rFonts w:ascii="仿宋" w:hAnsi="仿宋" w:eastAsia="仿宋" w:cs="仿宋"/>
          <w:sz w:val="32"/>
          <w:szCs w:val="32"/>
          <w:shd w:val="clear" w:color="auto" w:fill="FFFFFF"/>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社会保障和就业支出（208）行政事业单位养老支出（05）机关事业单位基本养老保险缴费支出（05）</w:t>
      </w:r>
      <w:r>
        <w:rPr>
          <w:rFonts w:ascii="仿宋_GB2312" w:eastAsia="仿宋_GB2312"/>
          <w:sz w:val="32"/>
          <w:szCs w:val="32"/>
        </w:rPr>
        <w:t xml:space="preserve">: </w:t>
      </w:r>
      <w:r>
        <w:rPr>
          <w:rFonts w:hint="eastAsia" w:ascii="仿宋" w:hAnsi="仿宋" w:eastAsia="仿宋" w:cs="仿宋"/>
          <w:sz w:val="32"/>
          <w:szCs w:val="32"/>
          <w:shd w:val="clear" w:color="auto" w:fill="FFFFFF"/>
        </w:rPr>
        <w:t>指反映机关事业单位实施养老保险制度由单位缴纳的基本养老保险费支出。</w:t>
      </w:r>
    </w:p>
    <w:p>
      <w:pPr>
        <w:pStyle w:val="13"/>
        <w:widowControl/>
        <w:shd w:val="clear" w:color="auto" w:fill="FFFFFF"/>
        <w:spacing w:beforeAutospacing="0" w:afterAutospacing="0"/>
        <w:jc w:val="both"/>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卫生健康支出（210）行政事业单位医疗（11）行政单位医疗（01）</w:t>
      </w:r>
      <w:r>
        <w:rPr>
          <w:rFonts w:ascii="仿宋_GB2312" w:eastAsia="仿宋_GB2312"/>
          <w:sz w:val="32"/>
          <w:szCs w:val="32"/>
        </w:rPr>
        <w:t>:</w:t>
      </w:r>
      <w:r>
        <w:rPr>
          <w:rFonts w:hint="eastAsia" w:ascii="仿宋" w:hAnsi="仿宋" w:eastAsia="仿宋" w:cs="仿宋"/>
          <w:sz w:val="32"/>
          <w:szCs w:val="32"/>
          <w:shd w:val="clear" w:color="auto" w:fill="FFFFFF"/>
        </w:rPr>
        <w:t>指反映财政部门安排的行政单位（包括实行公务员管理的单位，下同）基本医疗保险缴费经费，未参加医疗保险的行政单位的公费医疗经费，按国家规定享受离休人员、红军老战士待遇人员的医疗经费。</w:t>
      </w:r>
    </w:p>
    <w:p>
      <w:pPr>
        <w:pStyle w:val="13"/>
        <w:widowControl/>
        <w:shd w:val="clear" w:color="auto" w:fill="FFFFFF"/>
        <w:spacing w:beforeAutospacing="0" w:afterAutospacing="0"/>
        <w:jc w:val="both"/>
        <w:rPr>
          <w:rFonts w:ascii="仿宋" w:hAnsi="仿宋" w:eastAsia="仿宋" w:cs="仿宋"/>
          <w:sz w:val="32"/>
          <w:szCs w:val="32"/>
          <w:shd w:val="clear" w:color="auto" w:fill="FFFFFF"/>
        </w:rPr>
      </w:pPr>
      <w:r>
        <w:rPr>
          <w:rFonts w:hint="eastAsia" w:ascii="仿宋_GB2312" w:eastAsia="仿宋_GB2312"/>
          <w:sz w:val="32"/>
          <w:szCs w:val="32"/>
        </w:rPr>
        <w:t>15.住房保障支出（221）住房改革支出（02）住房公积金（01）</w:t>
      </w:r>
      <w:r>
        <w:rPr>
          <w:rFonts w:ascii="仿宋_GB2312" w:eastAsia="仿宋_GB2312"/>
          <w:sz w:val="32"/>
          <w:szCs w:val="32"/>
        </w:rPr>
        <w:t>:</w:t>
      </w:r>
      <w:r>
        <w:rPr>
          <w:rFonts w:hint="eastAsia" w:ascii="仿宋" w:hAnsi="仿宋" w:eastAsia="仿宋" w:cs="仿宋"/>
          <w:sz w:val="32"/>
          <w:szCs w:val="32"/>
          <w:shd w:val="clear" w:color="auto" w:fill="FFFFFF"/>
        </w:rPr>
        <w:t>指反映行政事业单位按人力资源和社会保障部、财政部规定的基本工资和津贴补贴以及规定比例为职工缴纳的住房公积金。</w:t>
      </w:r>
    </w:p>
    <w:p>
      <w:pPr>
        <w:pStyle w:val="13"/>
        <w:widowControl/>
        <w:shd w:val="clear" w:color="auto" w:fill="FFFFFF"/>
        <w:spacing w:beforeAutospacing="0" w:afterAutospacing="0"/>
        <w:jc w:val="both"/>
        <w:rPr>
          <w:rFonts w:ascii="仿宋_GB2312" w:eastAsia="仿宋_GB2312"/>
          <w:sz w:val="32"/>
          <w:szCs w:val="32"/>
        </w:rPr>
      </w:pPr>
      <w:r>
        <w:rPr>
          <w:rFonts w:hint="eastAsia" w:ascii="仿宋_GB2312" w:eastAsia="仿宋_GB2312"/>
          <w:sz w:val="32"/>
          <w:szCs w:val="32"/>
        </w:rPr>
        <w:t>16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Style w:val="13"/>
        <w:widowControl/>
        <w:shd w:val="clear" w:color="auto" w:fill="FFFFFF"/>
        <w:spacing w:beforeAutospacing="0" w:afterAutospacing="0"/>
        <w:jc w:val="both"/>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13"/>
        <w:widowControl/>
        <w:shd w:val="clear" w:color="auto" w:fill="FFFFFF"/>
        <w:spacing w:beforeAutospacing="0" w:afterAutospacing="0"/>
        <w:jc w:val="both"/>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13"/>
        <w:widowControl/>
        <w:shd w:val="clear" w:color="auto" w:fill="FFFFFF"/>
        <w:spacing w:beforeAutospacing="0" w:afterAutospacing="0"/>
        <w:jc w:val="both"/>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widowControl/>
        <w:shd w:val="clear" w:color="auto" w:fill="FFFFFF"/>
        <w:spacing w:beforeAutospacing="0" w:afterAutospacing="0"/>
        <w:jc w:val="both"/>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rPr>
        <w:sectPr>
          <w:headerReference r:id="rId3" w:type="default"/>
          <w:footerReference r:id="rId5" w:type="default"/>
          <w:headerReference r:id="rId4" w:type="even"/>
          <w:pgSz w:w="11906" w:h="16838"/>
          <w:pgMar w:top="1440" w:right="1797" w:bottom="1440" w:left="1797" w:header="851" w:footer="992" w:gutter="0"/>
          <w:pgNumType w:start="1"/>
          <w:cols w:space="425" w:num="1"/>
          <w:titlePg/>
          <w:docGrid w:type="linesAndChars" w:linePitch="312" w:charSpace="0"/>
        </w:sectPr>
      </w:pPr>
    </w:p>
    <w:p>
      <w:pPr>
        <w:spacing w:line="600" w:lineRule="exact"/>
        <w:jc w:val="center"/>
        <w:outlineLvl w:val="0"/>
        <w:rPr>
          <w:rStyle w:val="28"/>
          <w:rFonts w:ascii="黑体" w:hAnsi="黑体" w:eastAsia="黑体"/>
          <w:b w:val="0"/>
        </w:rPr>
      </w:pPr>
      <w:bookmarkStart w:id="51" w:name="_Toc15396614"/>
      <w:bookmarkStart w:id="52" w:name="_Toc15377226"/>
      <w:r>
        <w:rPr>
          <w:rFonts w:hint="eastAsia" w:ascii="黑体" w:hAnsi="黑体" w:eastAsia="黑体"/>
          <w:sz w:val="44"/>
          <w:szCs w:val="44"/>
          <w:highlight w:val="yellow"/>
        </w:rPr>
        <w:t>第</w:t>
      </w:r>
      <w:r>
        <w:rPr>
          <w:rStyle w:val="28"/>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tbl>
      <w:tblPr>
        <w:tblStyle w:val="15"/>
        <w:tblW w:w="12680" w:type="dxa"/>
        <w:tblInd w:w="96" w:type="dxa"/>
        <w:tblLayout w:type="fixed"/>
        <w:tblCellMar>
          <w:top w:w="0" w:type="dxa"/>
          <w:left w:w="108" w:type="dxa"/>
          <w:bottom w:w="0" w:type="dxa"/>
          <w:right w:w="108" w:type="dxa"/>
        </w:tblCellMar>
      </w:tblPr>
      <w:tblGrid>
        <w:gridCol w:w="619"/>
        <w:gridCol w:w="1808"/>
        <w:gridCol w:w="1579"/>
        <w:gridCol w:w="2007"/>
        <w:gridCol w:w="460"/>
        <w:gridCol w:w="1496"/>
        <w:gridCol w:w="458"/>
        <w:gridCol w:w="977"/>
        <w:gridCol w:w="576"/>
        <w:gridCol w:w="400"/>
        <w:gridCol w:w="2300"/>
      </w:tblGrid>
      <w:tr>
        <w:tblPrEx>
          <w:tblLayout w:type="fixed"/>
          <w:tblCellMar>
            <w:top w:w="0" w:type="dxa"/>
            <w:left w:w="108" w:type="dxa"/>
            <w:bottom w:w="0" w:type="dxa"/>
            <w:right w:w="108" w:type="dxa"/>
          </w:tblCellMar>
        </w:tblPrEx>
        <w:trPr>
          <w:trHeight w:val="408" w:hRule="atLeast"/>
        </w:trPr>
        <w:tc>
          <w:tcPr>
            <w:tcW w:w="6013" w:type="dxa"/>
            <w:gridSpan w:val="4"/>
            <w:tcBorders>
              <w:top w:val="nil"/>
              <w:left w:val="nil"/>
              <w:bottom w:val="nil"/>
              <w:right w:val="nil"/>
            </w:tcBorders>
            <w:shd w:val="clear" w:color="auto" w:fill="auto"/>
            <w:vAlign w:val="center"/>
          </w:tcPr>
          <w:p>
            <w:pPr>
              <w:widowControl/>
              <w:jc w:val="left"/>
              <w:rPr>
                <w:rFonts w:ascii="宋体" w:hAnsi="宋体" w:cs="宋体"/>
                <w:color w:val="C0C0C0"/>
                <w:kern w:val="0"/>
                <w:sz w:val="20"/>
                <w:szCs w:val="20"/>
              </w:rPr>
            </w:pPr>
            <w:r>
              <w:rPr>
                <w:rFonts w:hint="eastAsia" w:ascii="宋体" w:hAnsi="宋体" w:cs="宋体"/>
                <w:color w:val="C0C0C0"/>
                <w:kern w:val="0"/>
                <w:sz w:val="20"/>
                <w:szCs w:val="20"/>
              </w:rPr>
              <w:t>报表编号：510000_0013zp</w:t>
            </w:r>
          </w:p>
        </w:tc>
        <w:tc>
          <w:tcPr>
            <w:tcW w:w="46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2931" w:type="dxa"/>
            <w:gridSpan w:val="3"/>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576"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40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c>
          <w:tcPr>
            <w:tcW w:w="2300" w:type="dxa"/>
            <w:tcBorders>
              <w:top w:val="nil"/>
              <w:left w:val="nil"/>
              <w:bottom w:val="nil"/>
              <w:right w:val="nil"/>
            </w:tcBorders>
            <w:shd w:val="clear" w:color="auto" w:fill="auto"/>
            <w:noWrap/>
            <w:vAlign w:val="center"/>
          </w:tcPr>
          <w:p>
            <w:pPr>
              <w:widowControl/>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51090021R000000204569-工资性支出（行政）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146.22</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146.22</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138.30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94.58%</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146.22</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146.22</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138.30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94.58%</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51090021R000000204580-工会经费（行政）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2.95</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2.95</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2.95</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2.95</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2.95</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2.95</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51090021R000000204581-福利费（行政）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4.39</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4.39</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4.39</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99.98%</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4.39</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4.39</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4.39</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99.98%</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51090021T000000229055-辅警专项经费</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解决警力不足，保障配备的警务辅助人员工资及五险一金。辅助民警执法办案等工作，提升公安机关执法办案等工作效能。</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36.40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36.40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36.37</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99.91%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36.40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36.40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36.37</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99.91%</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辅警人数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人数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资金使用</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资金支付</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成本指标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资金金额</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36.4</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按合同支付</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月</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可持续影响指标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提升履职能力</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定性</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高中低</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满意度指标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服务对象满意度指标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辅警满意度</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51090022R000000295487-单位缴费（基本养老保险）（行政）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23.39</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23.39</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22.16</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94.75%</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23.39</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23.39</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22.16</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94.75%</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51090022R000000295498-失业保险（行政）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0.88</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0.88</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0.64</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72.86%</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0.88</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0.88</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0.64</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72.86%</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51090022R000000295503-工伤保险（行政）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0.29</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0.29</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0.15</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52.24%</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0.29</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0.29</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0.15</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52.24%</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51090022R000000295509-在职医疗保险（行政）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13.89</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13.89</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12.79</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92.09%</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13.89</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13.89</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12.79</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92.09%</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51090022R000000295512-补充医疗保险（行政）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0.31</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0.31</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0.31</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0.31</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0.31</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0.31</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51090022R000000295514-离退休医疗保险（行政）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0.53</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0.53</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0.45</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86.00%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0.53</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0.53</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0.45</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86.00%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51090022R000000295516-离退休补充医疗保险(行政)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0.07</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51090022R000000295551-住房公积金（行政）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25.31</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25.31</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25.31</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25.31</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25.31</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25.31</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51090022R000000295638-公务交通补贴（行政）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严格执行相关政策，保障工资及时发放、足额发放，预算编制科学合理，减少结余资金</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14.66</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14.66</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13.42</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91.49%</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14.66</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14.66</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13.42</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91.49%</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足额保障率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时效指标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按时发放率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45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结余率（计算方法为：结余数/预算数）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51090022R000005130643-目标绩效奖</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105.07</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104.67</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99.62%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105.07</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104.67</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99.62%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51090022R000005393821-人员类新增支出</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54.34</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53.39</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98.25%</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54.34</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53.39</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98.25%</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51090022T000007161092-2022年政法转移资金（公安））</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33.95</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99.87%</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33.95</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99.87%</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51090022Y000000283156-公务接待费-行政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0.05</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3.33%</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0.05</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3.33%</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51090022Y000000283201-公务用车运行维护费</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14.27</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14.27</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9.10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63.80%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14.27</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14.27</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9.10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63.80%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51090022Y000000296208-培训费（行政）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2.19</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2.11</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0.91</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43.26%</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2.19</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2.11</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0.91</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43.26%</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51090022Y000000296230-党组织活动费（行政）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2.92</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2.92</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0.61</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20.87%</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2.92</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2.92</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0.61</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20.87%</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51090022Y000000296301-离退休人员活动费（行政）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0.14</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0.14</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0.14</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0.14</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0.14</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0.14</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51090022Y000000296312-离退休人员公用经费（行政）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0.12</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51090022Y000000296321-老干部服务管理工作经费（行政）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0.19</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0.20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0.19</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96.00%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51090022Y000000296847-定额公用经费（行政）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41.42</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41.42</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36.76</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88.76%</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41.42</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41.42</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36.76</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88.76%</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51090022Y000000300434-党组织活动经费(行政离退休)</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0.32</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0.32</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0.31</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98.02%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0.32</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0.32</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0.31</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98.02%</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51090022Y000004842453-非定额公用-伙食补助费（行政）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9.97</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9.97</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9.49</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95.17%</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9.97</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9.97</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9.49</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95.17%</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51090022Y000004842653-非定额公用-物业管理费（行政）</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4.65</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4.65</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4.03</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86.67%</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4.65</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4.65</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4.03</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86.67%</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03" w:hRule="atLeast"/>
        </w:trPr>
        <w:tc>
          <w:tcPr>
            <w:tcW w:w="12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部门预算项目支出绩效自评表（2022年度）</w:t>
            </w:r>
          </w:p>
        </w:tc>
      </w:tr>
      <w:tr>
        <w:tblPrEx>
          <w:tblLayout w:type="fixed"/>
          <w:tblCellMar>
            <w:top w:w="0" w:type="dxa"/>
            <w:left w:w="108" w:type="dxa"/>
            <w:bottom w:w="0" w:type="dxa"/>
            <w:right w:w="108" w:type="dxa"/>
          </w:tblCellMar>
        </w:tblPrEx>
        <w:trPr>
          <w:trHeight w:val="285"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51090022Y000004858040-非定额公用-辅警公业务费</w:t>
            </w:r>
          </w:p>
        </w:tc>
      </w:tr>
      <w:tr>
        <w:tblPrEx>
          <w:tblLayout w:type="fixed"/>
          <w:tblCellMar>
            <w:top w:w="0" w:type="dxa"/>
            <w:left w:w="108" w:type="dxa"/>
            <w:bottom w:w="0" w:type="dxa"/>
            <w:right w:w="108" w:type="dxa"/>
          </w:tblCellMar>
        </w:tblPrEx>
        <w:trPr>
          <w:trHeight w:val="513" w:hRule="atLeast"/>
        </w:trPr>
        <w:tc>
          <w:tcPr>
            <w:tcW w:w="2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主管部门</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遂宁市公安局部门</w:t>
            </w:r>
          </w:p>
        </w:tc>
        <w:tc>
          <w:tcPr>
            <w:tcW w:w="977" w:type="dxa"/>
            <w:tcBorders>
              <w:top w:val="nil"/>
              <w:left w:val="nil"/>
              <w:bottom w:val="nil"/>
              <w:right w:val="nil"/>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实施单位 （盖章）</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遂宁市公安局森林警察支队</w:t>
            </w:r>
          </w:p>
        </w:tc>
      </w:tr>
      <w:tr>
        <w:tblPrEx>
          <w:tblLayout w:type="fixed"/>
          <w:tblCellMar>
            <w:top w:w="0" w:type="dxa"/>
            <w:left w:w="108" w:type="dxa"/>
            <w:bottom w:w="0" w:type="dxa"/>
            <w:right w:w="108" w:type="dxa"/>
          </w:tblCellMar>
        </w:tblPrEx>
        <w:trPr>
          <w:trHeight w:val="285"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项目基本情况</w:t>
            </w: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项目年度目标</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宋体"/>
                <w:color w:val="000000"/>
                <w:kern w:val="0"/>
                <w:sz w:val="18"/>
                <w:szCs w:val="18"/>
              </w:rPr>
            </w:pPr>
            <w:r>
              <w:rPr>
                <w:rFonts w:ascii="Courier New" w:hAnsi="Courier New" w:cs="宋体"/>
                <w:color w:val="000000"/>
                <w:kern w:val="0"/>
                <w:sz w:val="18"/>
                <w:szCs w:val="18"/>
              </w:rPr>
              <w:t>年度目标完成情况</w:t>
            </w:r>
          </w:p>
        </w:tc>
      </w:tr>
      <w:tr>
        <w:tblPrEx>
          <w:tblLayout w:type="fixed"/>
          <w:tblCellMar>
            <w:top w:w="0" w:type="dxa"/>
            <w:left w:w="108" w:type="dxa"/>
            <w:bottom w:w="0" w:type="dxa"/>
            <w:right w:w="108" w:type="dxa"/>
          </w:tblCellMar>
        </w:tblPrEx>
        <w:trPr>
          <w:trHeight w:val="70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6000"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保障单位日常运转，提高预算编制质量，严格执行预算</w:t>
            </w:r>
          </w:p>
        </w:tc>
        <w:tc>
          <w:tcPr>
            <w:tcW w:w="4253" w:type="dxa"/>
            <w:gridSpan w:val="4"/>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对照年度目标，说明相关任务目标的完成情况（100字以内）</w:t>
            </w:r>
          </w:p>
        </w:tc>
      </w:tr>
      <w:tr>
        <w:tblPrEx>
          <w:tblLayout w:type="fixed"/>
          <w:tblCellMar>
            <w:top w:w="0" w:type="dxa"/>
            <w:left w:w="108" w:type="dxa"/>
            <w:bottom w:w="0" w:type="dxa"/>
            <w:right w:w="108" w:type="dxa"/>
          </w:tblCellMar>
        </w:tblPrEx>
        <w:trPr>
          <w:trHeight w:val="69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10253" w:type="dxa"/>
            <w:gridSpan w:val="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360"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年初预算</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调整后预算数</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预算执行数</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预算执行率</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原因</w:t>
            </w:r>
          </w:p>
        </w:tc>
      </w:tr>
      <w:tr>
        <w:tblPrEx>
          <w:tblLayout w:type="fixed"/>
          <w:tblCellMar>
            <w:top w:w="0" w:type="dxa"/>
            <w:left w:w="108" w:type="dxa"/>
            <w:bottom w:w="0" w:type="dxa"/>
            <w:right w:w="108" w:type="dxa"/>
          </w:tblCellMar>
        </w:tblPrEx>
        <w:trPr>
          <w:trHeight w:val="38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总额</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5.36</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95.69%</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i/>
                <w:iCs/>
                <w:color w:val="000000"/>
                <w:kern w:val="0"/>
                <w:sz w:val="18"/>
                <w:szCs w:val="18"/>
              </w:rPr>
            </w:pPr>
            <w:r>
              <w:rPr>
                <w:rFonts w:ascii="Courier New" w:hAnsi="Courier New" w:cs="宋体"/>
                <w:i/>
                <w:iCs/>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Layout w:type="fixed"/>
          <w:tblCellMar>
            <w:top w:w="0" w:type="dxa"/>
            <w:left w:w="108" w:type="dxa"/>
            <w:bottom w:w="0" w:type="dxa"/>
            <w:right w:w="108" w:type="dxa"/>
          </w:tblCellMar>
        </w:tblPrEx>
        <w:trPr>
          <w:trHeight w:val="43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5.60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5.36</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95.69%</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47"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02"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0.00%</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3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其他资金</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414"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2300"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宋体"/>
                <w:i/>
                <w:iCs/>
                <w:color w:val="000000"/>
                <w:kern w:val="0"/>
                <w:sz w:val="18"/>
                <w:szCs w:val="18"/>
              </w:rPr>
            </w:pPr>
          </w:p>
        </w:tc>
      </w:tr>
      <w:tr>
        <w:tblPrEx>
          <w:tblLayout w:type="fixed"/>
          <w:tblCellMar>
            <w:top w:w="0" w:type="dxa"/>
            <w:left w:w="108" w:type="dxa"/>
            <w:bottom w:w="0" w:type="dxa"/>
            <w:right w:w="108" w:type="dxa"/>
          </w:tblCellMar>
        </w:tblPrEx>
        <w:trPr>
          <w:trHeight w:val="453" w:hRule="atLeast"/>
        </w:trPr>
        <w:tc>
          <w:tcPr>
            <w:tcW w:w="61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绩效指标（90分）</w:t>
            </w:r>
          </w:p>
        </w:tc>
        <w:tc>
          <w:tcPr>
            <w:tcW w:w="180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一级指标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二级指标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三级指标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指标性质</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指标值</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度量单位</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完成值</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权重</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得分</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未完成原因分析</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产出指标</w:t>
            </w: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数量指标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科目调整次数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678"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质量指标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预算编制准确率（计算方法为：∣（执行数-预算数）/预算数∣）</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903"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效益指标</w:t>
            </w:r>
          </w:p>
        </w:tc>
        <w:tc>
          <w:tcPr>
            <w:tcW w:w="15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经济效益指标</w:t>
            </w: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“三公经费”控制率[计算方法为：（三公经费实际支出数/预算安排数]×100%）</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339" w:hRule="atLeast"/>
        </w:trPr>
        <w:tc>
          <w:tcPr>
            <w:tcW w:w="61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80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15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18"/>
                <w:szCs w:val="18"/>
              </w:rPr>
            </w:pPr>
          </w:p>
        </w:tc>
        <w:tc>
          <w:tcPr>
            <w:tcW w:w="200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运转保障率</w:t>
            </w:r>
          </w:p>
        </w:tc>
        <w:tc>
          <w:tcPr>
            <w:tcW w:w="4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49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5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77"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22.5</w:t>
            </w:r>
          </w:p>
        </w:tc>
        <w:tc>
          <w:tcPr>
            <w:tcW w:w="4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center"/>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tblPrEx>
          <w:tblLayout w:type="fixed"/>
          <w:tblCellMar>
            <w:top w:w="0" w:type="dxa"/>
            <w:left w:w="108" w:type="dxa"/>
            <w:bottom w:w="0" w:type="dxa"/>
            <w:right w:w="108" w:type="dxa"/>
          </w:tblCellMar>
        </w:tblPrEx>
        <w:trPr>
          <w:trHeight w:val="285" w:hRule="atLeast"/>
        </w:trPr>
        <w:tc>
          <w:tcPr>
            <w:tcW w:w="94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100</w:t>
            </w:r>
          </w:p>
        </w:tc>
        <w:tc>
          <w:tcPr>
            <w:tcW w:w="4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r>
        <w:tblPrEx>
          <w:tblLayout w:type="fixed"/>
          <w:tblCellMar>
            <w:top w:w="0" w:type="dxa"/>
            <w:left w:w="108" w:type="dxa"/>
            <w:bottom w:w="0" w:type="dxa"/>
            <w:right w:w="108" w:type="dxa"/>
          </w:tblCellMar>
        </w:tblPrEx>
        <w:trPr>
          <w:trHeight w:val="60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评价结论</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结合自评情况，说明项目自评总分，说明项目实施取得的成效或成果。（200字以内）</w:t>
            </w:r>
          </w:p>
        </w:tc>
      </w:tr>
      <w:tr>
        <w:tblPrEx>
          <w:tblLayout w:type="fixed"/>
          <w:tblCellMar>
            <w:top w:w="0" w:type="dxa"/>
            <w:left w:w="108" w:type="dxa"/>
            <w:bottom w:w="0" w:type="dxa"/>
            <w:right w:w="108" w:type="dxa"/>
          </w:tblCellMar>
        </w:tblPrEx>
        <w:trPr>
          <w:trHeight w:val="57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存在问题</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结合自评情况，分析存在的问题及原因。（200字以内）</w:t>
            </w:r>
          </w:p>
        </w:tc>
      </w:tr>
      <w:tr>
        <w:tblPrEx>
          <w:tblLayout w:type="fixed"/>
          <w:tblCellMar>
            <w:top w:w="0" w:type="dxa"/>
            <w:left w:w="108" w:type="dxa"/>
            <w:bottom w:w="0" w:type="dxa"/>
            <w:right w:w="108" w:type="dxa"/>
          </w:tblCellMar>
        </w:tblPrEx>
        <w:trPr>
          <w:trHeight w:val="633" w:hRule="atLeast"/>
        </w:trPr>
        <w:tc>
          <w:tcPr>
            <w:tcW w:w="619"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改进措施</w:t>
            </w:r>
          </w:p>
        </w:tc>
        <w:tc>
          <w:tcPr>
            <w:tcW w:w="12061" w:type="dxa"/>
            <w:gridSpan w:val="10"/>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针对项目自评中发现的问题，提出下一步改进完善的意见及有关政策性建议。（200字以内）</w:t>
            </w:r>
          </w:p>
        </w:tc>
      </w:tr>
      <w:tr>
        <w:tblPrEx>
          <w:tblLayout w:type="fixed"/>
          <w:tblCellMar>
            <w:top w:w="0" w:type="dxa"/>
            <w:left w:w="108" w:type="dxa"/>
            <w:bottom w:w="0" w:type="dxa"/>
            <w:right w:w="108" w:type="dxa"/>
          </w:tblCellMar>
        </w:tblPrEx>
        <w:trPr>
          <w:trHeight w:val="285" w:hRule="atLeast"/>
        </w:trPr>
        <w:tc>
          <w:tcPr>
            <w:tcW w:w="64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项目负责人：</w:t>
            </w:r>
          </w:p>
        </w:tc>
        <w:tc>
          <w:tcPr>
            <w:tcW w:w="6207"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宋体"/>
                <w:color w:val="000000"/>
                <w:kern w:val="0"/>
                <w:sz w:val="18"/>
                <w:szCs w:val="18"/>
              </w:rPr>
            </w:pPr>
            <w:r>
              <w:rPr>
                <w:rFonts w:ascii="Courier New" w:hAnsi="Courier New" w:cs="宋体"/>
                <w:color w:val="000000"/>
                <w:kern w:val="0"/>
                <w:sz w:val="18"/>
                <w:szCs w:val="18"/>
              </w:rPr>
              <w:t>财务负责人：</w:t>
            </w:r>
          </w:p>
        </w:tc>
      </w:tr>
      <w:tr>
        <w:tblPrEx>
          <w:tblLayout w:type="fixed"/>
          <w:tblCellMar>
            <w:top w:w="0" w:type="dxa"/>
            <w:left w:w="108" w:type="dxa"/>
            <w:bottom w:w="0" w:type="dxa"/>
            <w:right w:w="108" w:type="dxa"/>
          </w:tblCellMar>
        </w:tblPrEx>
        <w:trPr>
          <w:trHeight w:val="285" w:hRule="atLeast"/>
        </w:trPr>
        <w:tc>
          <w:tcPr>
            <w:tcW w:w="61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80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579"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00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6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149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58"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977"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576"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4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c>
          <w:tcPr>
            <w:tcW w:w="2300" w:type="dxa"/>
            <w:tcBorders>
              <w:top w:val="nil"/>
              <w:left w:val="nil"/>
              <w:bottom w:val="nil"/>
              <w:right w:val="nil"/>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285" w:hRule="atLeast"/>
        </w:trPr>
        <w:tc>
          <w:tcPr>
            <w:tcW w:w="12680" w:type="dxa"/>
            <w:gridSpan w:val="11"/>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12680" w:type="dxa"/>
            <w:gridSpan w:val="11"/>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r>
        <w:tblPrEx>
          <w:tblLayout w:type="fixed"/>
          <w:tblCellMar>
            <w:top w:w="0" w:type="dxa"/>
            <w:left w:w="108" w:type="dxa"/>
            <w:bottom w:w="0" w:type="dxa"/>
            <w:right w:w="108" w:type="dxa"/>
          </w:tblCellMar>
        </w:tblPrEx>
        <w:trPr>
          <w:trHeight w:val="285" w:hRule="atLeast"/>
        </w:trPr>
        <w:tc>
          <w:tcPr>
            <w:tcW w:w="12680" w:type="dxa"/>
            <w:gridSpan w:val="11"/>
            <w:tcBorders>
              <w:top w:val="nil"/>
              <w:left w:val="nil"/>
              <w:bottom w:val="nil"/>
              <w:right w:val="nil"/>
            </w:tcBorders>
            <w:shd w:val="clear" w:color="auto" w:fill="auto"/>
            <w:vAlign w:val="center"/>
          </w:tcPr>
          <w:p>
            <w:pPr>
              <w:widowControl/>
              <w:jc w:val="left"/>
              <w:rPr>
                <w:rFonts w:ascii="宋体" w:hAnsi="宋体" w:cs="宋体"/>
                <w:kern w:val="0"/>
                <w:sz w:val="18"/>
                <w:szCs w:val="18"/>
              </w:rPr>
            </w:pPr>
          </w:p>
        </w:tc>
      </w:tr>
    </w:tbl>
    <w:p>
      <w:pPr>
        <w:pStyle w:val="2"/>
        <w:spacing w:before="72"/>
        <w:rPr>
          <w:rFonts w:hAnsi="Calibri" w:cs="仿宋"/>
          <w:sz w:val="32"/>
          <w:szCs w:val="32"/>
        </w:rPr>
        <w:sectPr>
          <w:pgSz w:w="16838" w:h="11906" w:orient="landscape"/>
          <w:pgMar w:top="1797" w:right="1440" w:bottom="1797" w:left="1440" w:header="851" w:footer="992" w:gutter="0"/>
          <w:pgNumType w:start="1"/>
          <w:cols w:space="425" w:num="1"/>
          <w:titlePg/>
          <w:docGrid w:linePitch="312" w:charSpace="0"/>
        </w:sect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pPr>
        <w:pStyle w:val="4"/>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pPr>
        <w:pStyle w:val="4"/>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pPr>
        <w:pStyle w:val="4"/>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pgSz w:w="11906" w:h="16838"/>
      <w:pgMar w:top="1440" w:right="1797" w:bottom="1440" w:left="1797" w:header="851" w:footer="992" w:gutter="0"/>
      <w:pgNumType w:start="1"/>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36</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VmNWZkNTUxMzdkZmMxNTE4OGJhODk4ZmJhMDcwY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183"/>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01F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99E"/>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082D3B"/>
    <w:rsid w:val="0B8A37D8"/>
    <w:rsid w:val="10C055FF"/>
    <w:rsid w:val="118107EC"/>
    <w:rsid w:val="11DD6519"/>
    <w:rsid w:val="13C4667C"/>
    <w:rsid w:val="16BB723D"/>
    <w:rsid w:val="17345C65"/>
    <w:rsid w:val="18015F3F"/>
    <w:rsid w:val="1BE8440E"/>
    <w:rsid w:val="1D155CEE"/>
    <w:rsid w:val="20112FE8"/>
    <w:rsid w:val="20F57F95"/>
    <w:rsid w:val="240371BF"/>
    <w:rsid w:val="246F7F3B"/>
    <w:rsid w:val="25711CC6"/>
    <w:rsid w:val="259D59F7"/>
    <w:rsid w:val="25C741E6"/>
    <w:rsid w:val="27842671"/>
    <w:rsid w:val="29FD04D3"/>
    <w:rsid w:val="2ABE7A3E"/>
    <w:rsid w:val="2CA234A8"/>
    <w:rsid w:val="2EFA178C"/>
    <w:rsid w:val="30B46D73"/>
    <w:rsid w:val="319F7F4E"/>
    <w:rsid w:val="32D54349"/>
    <w:rsid w:val="383D272C"/>
    <w:rsid w:val="39AE70AB"/>
    <w:rsid w:val="3C0C0783"/>
    <w:rsid w:val="3D27FE28"/>
    <w:rsid w:val="3F9F3A96"/>
    <w:rsid w:val="412D5350"/>
    <w:rsid w:val="484A4A39"/>
    <w:rsid w:val="48BF60AB"/>
    <w:rsid w:val="493C27E9"/>
    <w:rsid w:val="496F39ED"/>
    <w:rsid w:val="49FF41D3"/>
    <w:rsid w:val="4BE068DB"/>
    <w:rsid w:val="4BF6002B"/>
    <w:rsid w:val="4ECE2238"/>
    <w:rsid w:val="4F988005"/>
    <w:rsid w:val="4FEE0A9E"/>
    <w:rsid w:val="51DB4B86"/>
    <w:rsid w:val="51EFB4A0"/>
    <w:rsid w:val="54016B0A"/>
    <w:rsid w:val="55333C3E"/>
    <w:rsid w:val="64CA39A1"/>
    <w:rsid w:val="670672B4"/>
    <w:rsid w:val="69630ADE"/>
    <w:rsid w:val="6C4A05C8"/>
    <w:rsid w:val="6D3B1A89"/>
    <w:rsid w:val="6FB7E37C"/>
    <w:rsid w:val="6FBFA4C8"/>
    <w:rsid w:val="709D14E1"/>
    <w:rsid w:val="71BF4EC2"/>
    <w:rsid w:val="72734D90"/>
    <w:rsid w:val="73171838"/>
    <w:rsid w:val="7412278C"/>
    <w:rsid w:val="74F647A8"/>
    <w:rsid w:val="79E7B28D"/>
    <w:rsid w:val="7F103455"/>
    <w:rsid w:val="7F9F20EE"/>
    <w:rsid w:val="9E3A10E2"/>
    <w:rsid w:val="D7FE0D24"/>
    <w:rsid w:val="F2E1F9D4"/>
    <w:rsid w:val="F7880819"/>
    <w:rsid w:val="FFFB452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spacing w:beforeAutospacing="1" w:afterAutospacing="1"/>
      <w:jc w:val="left"/>
    </w:pPr>
    <w:rPr>
      <w:kern w:val="0"/>
      <w:sz w:val="24"/>
    </w:rPr>
  </w:style>
  <w:style w:type="paragraph" w:styleId="14">
    <w:name w:val="Body Text First Indent 2"/>
    <w:basedOn w:val="6"/>
    <w:qFormat/>
    <w:uiPriority w:val="0"/>
    <w:pPr>
      <w:ind w:firstLine="420" w:firstLineChars="200"/>
    </w:pPr>
  </w:style>
  <w:style w:type="character" w:styleId="17">
    <w:name w:val="Strong"/>
    <w:basedOn w:val="16"/>
    <w:qFormat/>
    <w:uiPriority w:val="99"/>
    <w:rPr>
      <w:b/>
    </w:rPr>
  </w:style>
  <w:style w:type="character" w:styleId="18">
    <w:name w:val="FollowedHyperlink"/>
    <w:basedOn w:val="16"/>
    <w:semiHidden/>
    <w:unhideWhenUsed/>
    <w:uiPriority w:val="99"/>
    <w:rPr>
      <w:color w:val="800080"/>
      <w:u w:val="single"/>
    </w:rPr>
  </w:style>
  <w:style w:type="character" w:styleId="19">
    <w:name w:val="Hyperlink"/>
    <w:basedOn w:val="16"/>
    <w:unhideWhenUsed/>
    <w:qFormat/>
    <w:uiPriority w:val="99"/>
    <w:rPr>
      <w:color w:val="0000FF" w:themeColor="hyperlink"/>
      <w:u w:val="single"/>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xl6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5">
    <w:name w:val="xl64"/>
    <w:basedOn w:val="1"/>
    <w:uiPriority w:val="0"/>
    <w:pPr>
      <w:widowControl/>
      <w:spacing w:before="100" w:beforeAutospacing="1" w:after="100" w:afterAutospacing="1"/>
      <w:jc w:val="left"/>
    </w:pPr>
    <w:rPr>
      <w:rFonts w:ascii="Courier New" w:hAnsi="Courier New" w:cs="宋体"/>
      <w:color w:val="000000"/>
      <w:kern w:val="0"/>
      <w:sz w:val="18"/>
      <w:szCs w:val="18"/>
    </w:rPr>
  </w:style>
  <w:style w:type="paragraph" w:customStyle="1" w:styleId="36">
    <w:name w:val="xl6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7">
    <w:name w:val="xl6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8">
    <w:name w:val="xl6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9">
    <w:name w:val="xl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0">
    <w:name w:val="xl69"/>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2">
    <w:name w:val="xl7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宋体"/>
      <w:color w:val="000000"/>
      <w:kern w:val="0"/>
      <w:sz w:val="18"/>
      <w:szCs w:val="18"/>
    </w:rPr>
  </w:style>
  <w:style w:type="paragraph" w:customStyle="1" w:styleId="43">
    <w:name w:val="xl7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宋体"/>
      <w:i/>
      <w:iCs/>
      <w:color w:val="000000"/>
      <w:kern w:val="0"/>
      <w:sz w:val="18"/>
      <w:szCs w:val="18"/>
    </w:rPr>
  </w:style>
  <w:style w:type="paragraph" w:customStyle="1" w:styleId="44">
    <w:name w:val="xl7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宋体"/>
      <w:color w:val="000000"/>
      <w:kern w:val="0"/>
      <w:sz w:val="18"/>
      <w:szCs w:val="18"/>
    </w:rPr>
  </w:style>
  <w:style w:type="paragraph" w:customStyle="1" w:styleId="45">
    <w:name w:val="xl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6">
    <w:name w:val="xl75"/>
    <w:basedOn w:val="1"/>
    <w:uiPriority w:val="0"/>
    <w:pPr>
      <w:widowControl/>
      <w:spacing w:before="100" w:beforeAutospacing="1" w:after="100" w:afterAutospacing="1"/>
      <w:jc w:val="left"/>
    </w:pPr>
    <w:rPr>
      <w:rFonts w:ascii="宋体" w:hAnsi="宋体" w:cs="宋体"/>
      <w:color w:val="C0C0C0"/>
      <w:kern w:val="0"/>
      <w:sz w:val="20"/>
      <w:szCs w:val="20"/>
    </w:rPr>
  </w:style>
  <w:style w:type="paragraph" w:customStyle="1" w:styleId="47">
    <w:name w:val="xl76"/>
    <w:basedOn w:val="1"/>
    <w:uiPriority w:val="0"/>
    <w:pPr>
      <w:widowControl/>
      <w:spacing w:before="100" w:beforeAutospacing="1" w:after="100" w:afterAutospacing="1"/>
      <w:jc w:val="left"/>
    </w:pPr>
    <w:rPr>
      <w:rFonts w:ascii="宋体" w:hAnsi="宋体" w:cs="宋体"/>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7.bin"/><Relationship Id="rId17" Type="http://schemas.openxmlformats.org/officeDocument/2006/relationships/image" Target="media/image5.emf"/><Relationship Id="rId16" Type="http://schemas.openxmlformats.org/officeDocument/2006/relationships/oleObject" Target="embeddings/oleObject6.bin"/><Relationship Id="rId15" Type="http://schemas.openxmlformats.org/officeDocument/2006/relationships/image" Target="media/image4.emf"/><Relationship Id="rId14" Type="http://schemas.openxmlformats.org/officeDocument/2006/relationships/oleObject" Target="embeddings/oleObject5.bin"/><Relationship Id="rId13" Type="http://schemas.openxmlformats.org/officeDocument/2006/relationships/image" Target="media/image3.emf"/><Relationship Id="rId12" Type="http://schemas.openxmlformats.org/officeDocument/2006/relationships/oleObject" Target="embeddings/oleObject4.bin"/><Relationship Id="rId11" Type="http://schemas.openxmlformats.org/officeDocument/2006/relationships/image" Target="media/image2.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32"/>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57</Pages>
  <Words>4696</Words>
  <Characters>26768</Characters>
  <Lines>223</Lines>
  <Paragraphs>62</Paragraphs>
  <TotalTime>1379</TotalTime>
  <ScaleCrop>false</ScaleCrop>
  <LinksUpToDate>false</LinksUpToDate>
  <CharactersWithSpaces>31402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Administrator</cp:lastModifiedBy>
  <cp:lastPrinted>2023-07-31T10:35:00Z</cp:lastPrinted>
  <dcterms:modified xsi:type="dcterms:W3CDTF">2023-08-25T01:24:31Z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C1AD19F3FE5A486EBA22D2FADBBE9715_12</vt:lpwstr>
  </property>
</Properties>
</file>