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96598"/>
      <w:bookmarkStart w:id="9" w:name="_Toc15377426"/>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遂宁市公安局经济技术开发区分局单位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1"/>
        <w:keepNext w:val="0"/>
        <w:keepLines w:val="0"/>
        <w:pageBreakBefore w:val="0"/>
        <w:widowControl w:val="0"/>
        <w:kinsoku/>
        <w:wordWrap/>
        <w:overflowPunct/>
        <w:topLinePunct w:val="0"/>
        <w:autoSpaceDE/>
        <w:autoSpaceDN/>
        <w:bidi w:val="0"/>
        <w:adjustRightInd w:val="0"/>
        <w:snapToGrid w:val="0"/>
        <w:spacing w:before="0"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color w:val="auto"/>
          <w:sz w:val="28"/>
          <w:szCs w:val="32"/>
          <w:highlight w:val="none"/>
        </w:rPr>
        <w:t>第一部分</w:t>
      </w:r>
      <w:r>
        <w:rPr>
          <w:color w:val="auto"/>
          <w:sz w:val="28"/>
          <w:szCs w:val="32"/>
          <w:highlight w:val="none"/>
        </w:rPr>
        <w:t xml:space="preserve"> </w:t>
      </w:r>
      <w:r>
        <w:rPr>
          <w:rFonts w:hint="eastAsia"/>
          <w:color w:val="auto"/>
          <w:sz w:val="28"/>
          <w:szCs w:val="32"/>
          <w:highlight w:val="none"/>
          <w:lang w:eastAsia="zh-CN"/>
        </w:rPr>
        <w:t>单位</w:t>
      </w:r>
      <w:r>
        <w:rPr>
          <w:rFonts w:hint="eastAsia" w:ascii="仿宋" w:hAnsi="仿宋" w:eastAsia="仿宋" w:cs="Times New Roman"/>
          <w:color w:val="auto"/>
          <w:kern w:val="2"/>
          <w:sz w:val="28"/>
          <w:szCs w:val="32"/>
          <w:highlight w:val="none"/>
          <w:lang w:val="en-US" w:eastAsia="zh-CN" w:bidi="ar-SA"/>
        </w:rPr>
        <w:t>概况</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4</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一、主要职责</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4</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二、机构设置</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6</w:t>
      </w:r>
    </w:p>
    <w:p>
      <w:pPr>
        <w:pStyle w:val="11"/>
        <w:keepNext w:val="0"/>
        <w:keepLines w:val="0"/>
        <w:pageBreakBefore w:val="0"/>
        <w:widowControl w:val="0"/>
        <w:kinsoku/>
        <w:wordWrap/>
        <w:overflowPunct/>
        <w:topLinePunct w:val="0"/>
        <w:autoSpaceDE/>
        <w:autoSpaceDN/>
        <w:bidi w:val="0"/>
        <w:adjustRightInd w:val="0"/>
        <w:snapToGrid w:val="0"/>
        <w:spacing w:before="0"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第二部分 202</w:t>
      </w:r>
      <w:r>
        <w:rPr>
          <w:rFonts w:hint="eastAsia" w:cs="Times New Roman"/>
          <w:color w:val="auto"/>
          <w:kern w:val="2"/>
          <w:sz w:val="28"/>
          <w:szCs w:val="32"/>
          <w:highlight w:val="none"/>
          <w:lang w:val="en-US" w:eastAsia="zh-CN" w:bidi="ar-SA"/>
        </w:rPr>
        <w:t>2</w:t>
      </w:r>
      <w:r>
        <w:rPr>
          <w:rFonts w:hint="eastAsia" w:ascii="仿宋" w:hAnsi="仿宋" w:eastAsia="仿宋" w:cs="Times New Roman"/>
          <w:color w:val="auto"/>
          <w:kern w:val="2"/>
          <w:sz w:val="28"/>
          <w:szCs w:val="32"/>
          <w:highlight w:val="none"/>
          <w:lang w:val="en-US" w:eastAsia="zh-CN" w:bidi="ar-SA"/>
        </w:rPr>
        <w:t>年度单位决算情况说明</w:t>
      </w:r>
      <w:r>
        <w:rPr>
          <w:rFonts w:hint="eastAsia" w:ascii="仿宋" w:hAnsi="仿宋" w:eastAsia="仿宋" w:cs="Times New Roman"/>
          <w:color w:val="auto"/>
          <w:kern w:val="2"/>
          <w:sz w:val="28"/>
          <w:szCs w:val="32"/>
          <w:highlight w:val="none"/>
          <w:lang w:val="en-US" w:eastAsia="zh-CN" w:bidi="ar-SA"/>
        </w:rPr>
        <w:tab/>
      </w:r>
      <w:r>
        <w:rPr>
          <w:rFonts w:hint="eastAsia" w:cs="Times New Roman"/>
          <w:color w:val="auto"/>
          <w:kern w:val="2"/>
          <w:sz w:val="28"/>
          <w:szCs w:val="32"/>
          <w:highlight w:val="none"/>
          <w:lang w:val="en-US" w:eastAsia="zh-CN" w:bidi="ar-SA"/>
        </w:rPr>
        <w:t>7</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一、收入支出决算总体情况说明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7</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二、收入决算情况说明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7</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三、支出决算情况说明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8</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四、财政拨款收入支出决算总体情况说明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五、一般公共预算财政拨款支出决算情况说明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10</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六、一般公共预算财政拨款基本支出决算情况说明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13</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七、“三公”经费财政拨款支出决算情况说明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13</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八、政府性基金预算支出决算情况说明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16</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九、国有资本经营预算支出决算情况说明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16</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十、其他重要事项的情况说明</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16</w:t>
      </w:r>
    </w:p>
    <w:p>
      <w:pPr>
        <w:pStyle w:val="11"/>
        <w:keepNext w:val="0"/>
        <w:keepLines w:val="0"/>
        <w:pageBreakBefore w:val="0"/>
        <w:widowControl w:val="0"/>
        <w:kinsoku/>
        <w:wordWrap/>
        <w:overflowPunct/>
        <w:topLinePunct w:val="0"/>
        <w:autoSpaceDE/>
        <w:autoSpaceDN/>
        <w:bidi w:val="0"/>
        <w:adjustRightInd w:val="0"/>
        <w:snapToGrid w:val="0"/>
        <w:spacing w:before="0"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第三部分 名词解释</w:t>
      </w:r>
      <w:r>
        <w:rPr>
          <w:rFonts w:hint="eastAsia" w:ascii="仿宋" w:hAnsi="仿宋" w:eastAsia="仿宋" w:cs="Times New Roman"/>
          <w:color w:val="auto"/>
          <w:kern w:val="2"/>
          <w:sz w:val="28"/>
          <w:szCs w:val="32"/>
          <w:highlight w:val="none"/>
          <w:lang w:val="en-US" w:eastAsia="zh-CN" w:bidi="ar-SA"/>
        </w:rPr>
        <w:tab/>
      </w:r>
      <w:r>
        <w:rPr>
          <w:rFonts w:hint="eastAsia" w:cs="Times New Roman"/>
          <w:color w:val="auto"/>
          <w:kern w:val="2"/>
          <w:sz w:val="28"/>
          <w:szCs w:val="32"/>
          <w:highlight w:val="none"/>
          <w:lang w:val="en-US" w:eastAsia="zh-CN" w:bidi="ar-SA"/>
        </w:rPr>
        <w:t>18</w:t>
      </w:r>
    </w:p>
    <w:p>
      <w:pPr>
        <w:pStyle w:val="11"/>
        <w:keepNext w:val="0"/>
        <w:keepLines w:val="0"/>
        <w:pageBreakBefore w:val="0"/>
        <w:widowControl w:val="0"/>
        <w:kinsoku/>
        <w:wordWrap/>
        <w:overflowPunct/>
        <w:topLinePunct w:val="0"/>
        <w:autoSpaceDE/>
        <w:autoSpaceDN/>
        <w:bidi w:val="0"/>
        <w:adjustRightInd w:val="0"/>
        <w:snapToGrid w:val="0"/>
        <w:spacing w:before="0" w:line="600" w:lineRule="exact"/>
        <w:ind w:right="0" w:rightChars="0" w:firstLine="0" w:firstLineChars="0"/>
        <w:jc w:val="left"/>
        <w:textAlignment w:val="auto"/>
        <w:outlineLvl w:val="9"/>
        <w:rPr>
          <w:rFonts w:hint="eastAsia"/>
          <w:lang w:val="en-US" w:eastAsia="zh-CN"/>
        </w:rPr>
      </w:pPr>
      <w:r>
        <w:rPr>
          <w:rFonts w:hint="eastAsia" w:ascii="仿宋" w:hAnsi="仿宋" w:eastAsia="仿宋" w:cs="Times New Roman"/>
          <w:color w:val="auto"/>
          <w:kern w:val="2"/>
          <w:sz w:val="28"/>
          <w:szCs w:val="32"/>
          <w:highlight w:val="none"/>
          <w:lang w:val="en-US" w:eastAsia="zh-CN" w:bidi="ar-SA"/>
        </w:rPr>
        <w:t>第四部分 附件</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w:t>
      </w:r>
      <w:r>
        <w:rPr>
          <w:rFonts w:hint="eastAsia" w:cs="Times New Roman"/>
          <w:color w:val="auto"/>
          <w:kern w:val="2"/>
          <w:sz w:val="28"/>
          <w:szCs w:val="32"/>
          <w:highlight w:val="none"/>
          <w:lang w:val="en-US" w:eastAsia="zh-CN" w:bidi="ar-SA"/>
        </w:rPr>
        <w:t>1</w:t>
      </w:r>
    </w:p>
    <w:p>
      <w:pPr>
        <w:pStyle w:val="11"/>
        <w:keepNext w:val="0"/>
        <w:keepLines w:val="0"/>
        <w:pageBreakBefore w:val="0"/>
        <w:widowControl w:val="0"/>
        <w:kinsoku/>
        <w:wordWrap/>
        <w:overflowPunct/>
        <w:topLinePunct w:val="0"/>
        <w:autoSpaceDE/>
        <w:autoSpaceDN/>
        <w:bidi w:val="0"/>
        <w:adjustRightInd w:val="0"/>
        <w:snapToGrid w:val="0"/>
        <w:spacing w:before="0"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第五部分 附表</w:t>
      </w:r>
      <w:r>
        <w:rPr>
          <w:rFonts w:hint="eastAsia" w:ascii="仿宋" w:hAnsi="仿宋" w:eastAsia="仿宋" w:cs="Times New Roman"/>
          <w:color w:val="auto"/>
          <w:kern w:val="2"/>
          <w:sz w:val="28"/>
          <w:szCs w:val="32"/>
          <w:highlight w:val="none"/>
          <w:lang w:val="en-US" w:eastAsia="zh-CN" w:bidi="ar-SA"/>
        </w:rPr>
        <w:tab/>
      </w:r>
      <w:r>
        <w:rPr>
          <w:rFonts w:hint="eastAsia"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一、收入支出决算总表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二、收入决算表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三、支出决算表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四、财政拨款收入支出决算总表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五、财政拨款支出决算明细表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六、一般公共预算财政拨款支出决算表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七、一般公共预算财政拨款支出决算明细表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八、一般公共预算财政拨款基本支出决算明细表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九、一般公共预算财政拨款项目支出决算表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十、政府性基金预算财政拨款收入支出决算表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十一、国有资本经营预算财政拨款收入支出决算表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十二、国有资本经营预算财政拨款支出决算表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pStyle w:val="12"/>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jc w:val="left"/>
        <w:textAlignment w:val="auto"/>
        <w:outlineLvl w:val="9"/>
        <w:rPr>
          <w:rFonts w:hint="eastAsia" w:ascii="仿宋" w:hAnsi="仿宋" w:eastAsia="仿宋" w:cs="Times New Roman"/>
          <w:color w:val="auto"/>
          <w:kern w:val="2"/>
          <w:sz w:val="28"/>
          <w:szCs w:val="32"/>
          <w:highlight w:val="none"/>
          <w:lang w:val="en-US" w:eastAsia="zh-CN" w:bidi="ar-SA"/>
        </w:rPr>
      </w:pPr>
      <w:r>
        <w:rPr>
          <w:rFonts w:hint="eastAsia" w:ascii="仿宋" w:hAnsi="仿宋" w:eastAsia="仿宋" w:cs="Times New Roman"/>
          <w:color w:val="auto"/>
          <w:kern w:val="2"/>
          <w:sz w:val="28"/>
          <w:szCs w:val="32"/>
          <w:highlight w:val="none"/>
          <w:lang w:val="en-US" w:eastAsia="zh-CN" w:bidi="ar-SA"/>
        </w:rPr>
        <w:t>十三、财政拨款“三公”经费支出决算表</w:t>
      </w:r>
      <w:r>
        <w:rPr>
          <w:rFonts w:hint="eastAsia" w:ascii="仿宋" w:hAnsi="仿宋" w:eastAsia="仿宋" w:cs="Times New Roman"/>
          <w:color w:val="auto"/>
          <w:kern w:val="2"/>
          <w:sz w:val="28"/>
          <w:szCs w:val="32"/>
          <w:highlight w:val="none"/>
          <w:lang w:val="en-US" w:eastAsia="zh-CN" w:bidi="ar-SA"/>
        </w:rPr>
        <w:tab/>
      </w:r>
      <w:r>
        <w:rPr>
          <w:rFonts w:hint="eastAsia" w:ascii="仿宋" w:hAnsi="仿宋" w:eastAsia="仿宋" w:cs="Times New Roman"/>
          <w:color w:val="auto"/>
          <w:kern w:val="2"/>
          <w:sz w:val="28"/>
          <w:szCs w:val="32"/>
          <w:highlight w:val="none"/>
          <w:lang w:val="en-US" w:eastAsia="zh-CN" w:bidi="ar-SA"/>
        </w:rPr>
        <w:t>29</w:t>
      </w:r>
    </w:p>
    <w:p>
      <w:pPr>
        <w:rPr>
          <w:rFonts w:hint="eastAsia" w:ascii="仿宋" w:hAnsi="仿宋" w:eastAsia="仿宋" w:cs="Times New Roman"/>
          <w:color w:val="auto"/>
          <w:kern w:val="2"/>
          <w:sz w:val="28"/>
          <w:szCs w:val="32"/>
          <w:highlight w:val="none"/>
          <w:lang w:val="en-US" w:eastAsia="zh-CN" w:bidi="ar-SA"/>
        </w:rPr>
      </w:pP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lang w:eastAsia="zh-CN"/>
        </w:rPr>
      </w:pPr>
      <w:bookmarkStart w:id="14" w:name="_Toc15377197"/>
      <w:bookmarkStart w:id="15" w:name="_Toc15396600"/>
      <w:r>
        <w:rPr>
          <w:rFonts w:hint="eastAsia"/>
          <w:lang w:eastAsia="zh-CN"/>
        </w:rPr>
        <w:t>主要职责</w:t>
      </w:r>
    </w:p>
    <w:p>
      <w:pPr>
        <w:pStyle w:val="13"/>
        <w:keepNext w:val="0"/>
        <w:keepLines w:val="0"/>
        <w:widowControl/>
        <w:suppressLineNumbers w:val="0"/>
        <w:shd w:val="clear" w:fill="FFFFFF"/>
        <w:spacing w:before="0" w:beforeAutospacing="0" w:after="150" w:afterAutospacing="0" w:line="600" w:lineRule="atLeast"/>
        <w:ind w:left="0" w:right="0" w:firstLine="640"/>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1.贯彻执行公安工作的方针、政策、法律、法规、规章。</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2.受理公安行政诉讼、行政复议、国家赔偿等案件的报批工作。做好法制建设工作。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3.侦破经济犯罪、毒品犯罪、集团犯罪、有组织犯罪和各类刑事案件。</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4.协调处置各类治安灾害事故、骚乱和群体性突发事件；负责辖区治安巡逻；担负在经济技术开发区举办的大型活动等方面的安全保卫工作。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5.查处危害社会治安秩序的行为；依法管理户口、居民身份证、枪支弹药、管制刀具、危险物品、特种行业等工作；依法管理集会、游行、示威活动。</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6.按职能实施经济技术开发区消防监督、火灾预防和扑救工作，对易燃物品的消防安全工作实施监督指导。</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7.指导、参与经济技术开发区公安警卫工作，组织实施对党和国家领导人和重要外宾来经济技术开发区的安全警卫工作。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8.依法管理外国人、华侨、港澳台同胞在经济技术开发区的居留、旅行的有关工作。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9.对被判处剥夺政治权利的罪犯执行刑罚。</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10.负责禁毒、缉毒和戒毒工作，承办禁毒委员会日常</w:t>
      </w:r>
    </w:p>
    <w:p>
      <w:pPr>
        <w:pStyle w:val="13"/>
        <w:keepNext w:val="0"/>
        <w:keepLines w:val="0"/>
        <w:widowControl/>
        <w:suppressLineNumbers w:val="0"/>
        <w:shd w:val="clear" w:fill="FFFFFF"/>
        <w:spacing w:before="0" w:beforeAutospacing="0" w:after="150" w:afterAutospacing="0" w:line="600" w:lineRule="atLeast"/>
        <w:ind w:left="0" w:right="0" w:firstLine="0"/>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11.指导、监督机关、社会团体、企事业单位和建设工</w:t>
      </w:r>
    </w:p>
    <w:p>
      <w:pPr>
        <w:pStyle w:val="13"/>
        <w:keepNext w:val="0"/>
        <w:keepLines w:val="0"/>
        <w:widowControl/>
        <w:suppressLineNumbers w:val="0"/>
        <w:shd w:val="clear" w:fill="FFFFFF"/>
        <w:spacing w:before="0" w:beforeAutospacing="0" w:after="150" w:afterAutospacing="0" w:line="600" w:lineRule="atLeast"/>
        <w:ind w:left="0" w:right="0" w:firstLine="0"/>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程的治安保卫工作以及群防群治组织的治安防范工作。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12.规划、实施公安通信和网络技术等建设。</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13.分析公安队伍状况，组织、指导、监督公安队伍建设措施的落实；负责民警教育训练和公安宣传工作；按规定权限管理干部，呈报警衔。</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14.开展公安纪检监察和警务督察工作；对经济技术开发区公安机关及其人民警察的执法情况进行监督。</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15.负责经济技术开发区分局党委的组织建设、党员教育、管理和监督，做好党员发展，指导基层党建工作；负责综合治理、精神文明、双拥、民族、工会、共青团、妇委会等工作。</w:t>
      </w:r>
    </w:p>
    <w:p>
      <w:pPr>
        <w:pStyle w:val="13"/>
        <w:keepNext w:val="0"/>
        <w:keepLines w:val="0"/>
        <w:widowControl/>
        <w:suppressLineNumbers w:val="0"/>
        <w:shd w:val="clear" w:fill="FFFFFF"/>
        <w:spacing w:before="0" w:beforeAutospacing="0" w:after="150" w:afterAutospacing="0" w:line="600" w:lineRule="atLeast"/>
        <w:ind w:left="0" w:right="0" w:firstLine="632"/>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16.协助经济技术开发区其他行政执法部门的执法活动顺利实施。</w:t>
      </w:r>
    </w:p>
    <w:p>
      <w:pPr>
        <w:numPr>
          <w:ilvl w:val="0"/>
          <w:numId w:val="0"/>
        </w:numPr>
        <w:ind w:firstLine="640" w:firstLineChars="200"/>
        <w:rPr>
          <w:rFonts w:hint="eastAsia"/>
        </w:rPr>
      </w:pPr>
      <w:r>
        <w:rPr>
          <w:rFonts w:hint="eastAsia" w:ascii="仿宋" w:hAnsi="仿宋" w:eastAsia="仿宋" w:cs="仿宋"/>
          <w:i w:val="0"/>
          <w:caps w:val="0"/>
          <w:color w:val="000000"/>
          <w:spacing w:val="0"/>
          <w:sz w:val="32"/>
          <w:szCs w:val="32"/>
          <w:shd w:val="clear" w:fill="FFFFFF"/>
        </w:rPr>
        <w:t>17.承办经济技术开发区党委、管委会和市公安局交办的其他事项。</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w:t>
      </w:r>
      <w:bookmarkEnd w:id="14"/>
      <w:bookmarkEnd w:id="15"/>
      <w:r>
        <w:rPr>
          <w:rFonts w:hint="eastAsia" w:ascii="黑体" w:hAnsi="黑体" w:eastAsia="黑体"/>
          <w:b w:val="0"/>
          <w:color w:val="auto"/>
          <w:highlight w:val="none"/>
          <w:lang w:val="en-US" w:eastAsia="zh-CN"/>
        </w:rPr>
        <w:t>机构设置</w:t>
      </w:r>
    </w:p>
    <w:p>
      <w:pPr>
        <w:pStyle w:val="6"/>
        <w:adjustRightInd w:val="0"/>
        <w:snapToGrid w:val="0"/>
        <w:spacing w:before="93" w:line="600" w:lineRule="exact"/>
        <w:ind w:firstLine="640" w:firstLineChars="200"/>
        <w:outlineLvl w:val="2"/>
        <w:rPr>
          <w:rFonts w:hint="eastAsia" w:ascii="仿宋" w:hAnsi="仿宋" w:eastAsia="仿宋" w:cs="Times New Roman"/>
          <w:bCs/>
          <w:color w:val="000000"/>
          <w:sz w:val="32"/>
          <w:szCs w:val="32"/>
        </w:rPr>
      </w:pPr>
      <w:r>
        <w:rPr>
          <w:rFonts w:hint="eastAsia" w:ascii="仿宋" w:hAnsi="仿宋" w:eastAsia="仿宋" w:cs="Times New Roman"/>
          <w:bCs/>
          <w:color w:val="000000"/>
          <w:sz w:val="32"/>
          <w:szCs w:val="32"/>
        </w:rPr>
        <w:t>实行独立财务核算的单位</w:t>
      </w:r>
      <w:r>
        <w:rPr>
          <w:rFonts w:hint="eastAsia" w:ascii="仿宋" w:hAnsi="仿宋" w:eastAsia="仿宋" w:cs="Times New Roman"/>
          <w:bCs/>
          <w:color w:val="000000"/>
          <w:sz w:val="32"/>
          <w:szCs w:val="32"/>
          <w:lang w:val="en-US" w:eastAsia="zh-CN"/>
        </w:rPr>
        <w:t>1</w:t>
      </w:r>
      <w:r>
        <w:rPr>
          <w:rFonts w:hint="eastAsia" w:ascii="仿宋" w:hAnsi="仿宋" w:eastAsia="仿宋" w:cs="Times New Roman"/>
          <w:bCs/>
          <w:color w:val="000000"/>
          <w:sz w:val="32"/>
          <w:szCs w:val="32"/>
        </w:rPr>
        <w:t>个，即遂宁市公安局经济技术开发区分局。内设机关部门</w:t>
      </w:r>
      <w:r>
        <w:rPr>
          <w:rFonts w:hint="eastAsia" w:ascii="仿宋" w:hAnsi="仿宋" w:eastAsia="仿宋" w:cs="Times New Roman"/>
          <w:bCs/>
          <w:color w:val="000000"/>
          <w:sz w:val="32"/>
          <w:szCs w:val="32"/>
          <w:lang w:val="en-US" w:eastAsia="zh-CN"/>
        </w:rPr>
        <w:t>3</w:t>
      </w:r>
      <w:r>
        <w:rPr>
          <w:rFonts w:hint="eastAsia" w:ascii="仿宋" w:hAnsi="仿宋" w:eastAsia="仿宋" w:cs="Times New Roman"/>
          <w:bCs/>
          <w:color w:val="000000"/>
          <w:sz w:val="32"/>
          <w:szCs w:val="32"/>
        </w:rPr>
        <w:t>个：指挥中心、政治处、纪委；内设实战大队</w:t>
      </w:r>
      <w:r>
        <w:rPr>
          <w:rFonts w:hint="eastAsia" w:ascii="仿宋" w:hAnsi="仿宋" w:eastAsia="仿宋" w:cs="Times New Roman"/>
          <w:bCs/>
          <w:color w:val="000000"/>
          <w:sz w:val="32"/>
          <w:szCs w:val="32"/>
          <w:lang w:val="en-US" w:eastAsia="zh-CN"/>
        </w:rPr>
        <w:t>5</w:t>
      </w:r>
      <w:r>
        <w:rPr>
          <w:rFonts w:hint="eastAsia" w:ascii="仿宋" w:hAnsi="仿宋" w:eastAsia="仿宋" w:cs="Times New Roman"/>
          <w:bCs/>
          <w:color w:val="000000"/>
          <w:sz w:val="32"/>
          <w:szCs w:val="32"/>
        </w:rPr>
        <w:t>个：刑警大队、治安大队、国保大队、法制大队、巡特警大队</w:t>
      </w:r>
      <w:r>
        <w:rPr>
          <w:rFonts w:hint="eastAsia" w:ascii="仿宋" w:hAnsi="仿宋" w:eastAsia="仿宋" w:cs="Times New Roman"/>
          <w:bCs/>
          <w:color w:val="000000"/>
          <w:sz w:val="32"/>
          <w:szCs w:val="32"/>
          <w:lang w:eastAsia="zh-CN"/>
        </w:rPr>
        <w:t>；</w:t>
      </w:r>
      <w:r>
        <w:rPr>
          <w:rFonts w:hint="eastAsia" w:ascii="仿宋" w:hAnsi="仿宋" w:eastAsia="仿宋" w:cs="Times New Roman"/>
          <w:bCs/>
          <w:color w:val="000000"/>
          <w:sz w:val="32"/>
          <w:szCs w:val="32"/>
        </w:rPr>
        <w:t>下设派出机构5个：嘉禾派出所、北固派出所、富源路派出所、广德派出所、新桥派出所。</w:t>
      </w:r>
    </w:p>
    <w:p>
      <w:pPr>
        <w:widowControl/>
        <w:ind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4820.40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85.72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项目经费增加。</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pPr>
    </w:p>
    <w:p>
      <w:pPr>
        <w:spacing w:line="600" w:lineRule="exact"/>
        <w:ind w:firstLine="640" w:firstLineChars="200"/>
        <w:jc w:val="left"/>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4738.61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3321.13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70.09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1417.48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29.91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4791.40</w:t>
      </w:r>
      <w:r>
        <w:rPr>
          <w:rFonts w:hint="eastAsia" w:ascii="仿宋" w:hAnsi="仿宋" w:eastAsia="仿宋"/>
          <w:color w:val="auto"/>
          <w:sz w:val="32"/>
          <w:szCs w:val="32"/>
          <w:highlight w:val="none"/>
        </w:rPr>
        <w:t>万元，其中：基本支出3140.89万元，占</w:t>
      </w:r>
      <w:r>
        <w:rPr>
          <w:rFonts w:hint="eastAsia" w:ascii="仿宋" w:hAnsi="仿宋" w:eastAsia="仿宋"/>
          <w:color w:val="auto"/>
          <w:sz w:val="32"/>
          <w:szCs w:val="32"/>
          <w:highlight w:val="none"/>
          <w:lang w:val="en-US" w:eastAsia="zh-CN"/>
        </w:rPr>
        <w:t>65.55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1650.51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34.45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1600" w:firstLineChars="5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3321.13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年相比，财政拨款收、支总计增加</w:t>
      </w:r>
      <w:r>
        <w:rPr>
          <w:rFonts w:hint="eastAsia" w:ascii="仿宋" w:hAnsi="仿宋" w:eastAsia="仿宋"/>
          <w:color w:val="auto"/>
          <w:sz w:val="32"/>
          <w:szCs w:val="32"/>
          <w:highlight w:val="none"/>
          <w:lang w:val="en-US" w:eastAsia="zh-CN"/>
        </w:rPr>
        <w:t>162.02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公共安全支出中的行政运行较</w:t>
      </w:r>
      <w:r>
        <w:rPr>
          <w:rFonts w:hint="eastAsia" w:ascii="仿宋" w:hAnsi="仿宋" w:eastAsia="仿宋"/>
          <w:color w:val="auto"/>
          <w:sz w:val="32"/>
          <w:szCs w:val="32"/>
          <w:highlight w:val="none"/>
          <w:lang w:val="en-US" w:eastAsia="zh-CN"/>
        </w:rPr>
        <w:t>2021年有所增长。</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3321.13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69.31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77.16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公共安全支出较</w:t>
      </w:r>
      <w:r>
        <w:rPr>
          <w:rFonts w:hint="eastAsia" w:ascii="仿宋" w:hAnsi="仿宋" w:eastAsia="仿宋"/>
          <w:color w:val="auto"/>
          <w:sz w:val="32"/>
          <w:szCs w:val="32"/>
          <w:highlight w:val="none"/>
          <w:lang w:val="en-US" w:eastAsia="zh-CN"/>
        </w:rPr>
        <w:t>2021年有所增长。</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3321.13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2836.96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176.04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99.31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住房保障支出</w:t>
      </w:r>
      <w:r>
        <w:rPr>
          <w:rFonts w:hint="eastAsia" w:ascii="仿宋" w:hAnsi="仿宋" w:eastAsia="仿宋"/>
          <w:color w:val="auto"/>
          <w:sz w:val="32"/>
          <w:szCs w:val="32"/>
          <w:highlight w:val="none"/>
          <w:lang w:val="en-US" w:eastAsia="zh-CN"/>
        </w:rPr>
        <w:t>208.82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3321.13</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Fonts w:hint="eastAsia" w:ascii="仿宋" w:hAnsi="仿宋" w:eastAsia="仿宋"/>
          <w:b/>
          <w:color w:val="000000"/>
          <w:sz w:val="32"/>
          <w:szCs w:val="32"/>
        </w:rPr>
        <w:t>公共安全支出（类）公安（款）行政运行（项）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2656.72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2.</w:t>
      </w:r>
      <w:r>
        <w:rPr>
          <w:rFonts w:hint="eastAsia" w:ascii="仿宋" w:hAnsi="仿宋" w:eastAsia="仿宋"/>
          <w:b/>
          <w:color w:val="000000"/>
          <w:sz w:val="32"/>
          <w:szCs w:val="32"/>
        </w:rPr>
        <w:t>公共安全支出（类）公安（款）一般行政管理事务（项）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180.24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3.</w:t>
      </w:r>
      <w:r>
        <w:rPr>
          <w:rFonts w:hint="eastAsia" w:ascii="仿宋" w:hAnsi="仿宋" w:eastAsia="仿宋"/>
          <w:b/>
          <w:color w:val="000000"/>
          <w:sz w:val="32"/>
          <w:szCs w:val="32"/>
        </w:rPr>
        <w:t>社会保障和就业（类）行政事业单位养老支出（款）行政单位离退休（项）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8.45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4.</w:t>
      </w:r>
      <w:r>
        <w:rPr>
          <w:rFonts w:hint="eastAsia" w:ascii="仿宋" w:hAnsi="仿宋" w:eastAsia="仿宋"/>
          <w:b/>
          <w:color w:val="000000"/>
          <w:sz w:val="32"/>
          <w:szCs w:val="32"/>
        </w:rPr>
        <w:t>社会保障和就业（类）行政事业单位养老支出（款）机关事业单位基本养老保险缴费支出（项）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167.59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5.</w:t>
      </w:r>
      <w:r>
        <w:rPr>
          <w:rFonts w:hint="eastAsia" w:ascii="仿宋" w:hAnsi="仿宋" w:eastAsia="仿宋"/>
          <w:b/>
          <w:bCs/>
          <w:color w:val="000000"/>
          <w:sz w:val="32"/>
          <w:szCs w:val="32"/>
        </w:rPr>
        <w:t>卫生健康支出（类）行政事业单位医疗（款）行政单位医疗（项）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99.31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Fonts w:hint="eastAsia" w:ascii="仿宋" w:hAnsi="仿宋" w:eastAsia="仿宋"/>
          <w:b/>
          <w:bCs/>
          <w:color w:val="000000"/>
          <w:sz w:val="32"/>
          <w:szCs w:val="32"/>
        </w:rPr>
        <w:t>住房保障支出（类）住房改革支出（款）住房公积金（项）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208.82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3140.89</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2611.17</w:t>
      </w:r>
      <w:r>
        <w:rPr>
          <w:rFonts w:hint="eastAsia" w:ascii="仿宋" w:hAnsi="仿宋" w:eastAsia="仿宋"/>
          <w:color w:val="auto"/>
          <w:sz w:val="32"/>
          <w:szCs w:val="32"/>
          <w:highlight w:val="none"/>
        </w:rPr>
        <w:t>万元，主要包括：基本工资、津贴补贴、奖金、机关事业单位基本养老保险缴费、职工基本医疗保险缴费</w:t>
      </w:r>
      <w:r>
        <w:rPr>
          <w:rFonts w:hint="eastAsia" w:ascii="仿宋" w:hAnsi="仿宋" w:eastAsia="仿宋"/>
          <w:color w:val="auto"/>
          <w:sz w:val="32"/>
          <w:szCs w:val="32"/>
          <w:highlight w:val="none"/>
          <w:lang w:eastAsia="zh-CN"/>
        </w:rPr>
        <w:t>、其他社会保障缴费、</w:t>
      </w:r>
      <w:r>
        <w:rPr>
          <w:rFonts w:hint="eastAsia" w:ascii="仿宋" w:hAnsi="仿宋" w:eastAsia="仿宋"/>
          <w:color w:val="auto"/>
          <w:sz w:val="32"/>
          <w:szCs w:val="32"/>
          <w:highlight w:val="none"/>
        </w:rPr>
        <w:t>住房公积金、其他工资福利支出、医疗费补助、其他对个人和家庭的补助支出等。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529.72</w:t>
      </w:r>
      <w:r>
        <w:rPr>
          <w:rFonts w:hint="eastAsia" w:ascii="仿宋" w:hAnsi="仿宋" w:eastAsia="仿宋"/>
          <w:color w:val="auto"/>
          <w:sz w:val="32"/>
          <w:szCs w:val="32"/>
          <w:highlight w:val="none"/>
        </w:rPr>
        <w:t>万元，主要包括：办公费、印刷费、水费、电费、邮电费、物业管理费、差旅费、维修（护）费、租赁费、培训费、劳务费、委托业务费、工会经费、福利费、公务用车运行维护费、其他交通费、其他商品和服务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59.87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99.29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厉行节约，减少了公务接待费的支出</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（注：上述“预算”口径为调整预算数，包括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59.87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eastAsia="仿宋_GB2312"/>
          <w:color w:val="auto"/>
          <w:sz w:val="32"/>
          <w:szCs w:val="32"/>
          <w:highlight w:val="none"/>
          <w:lang w:val="en-US"/>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59.87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45.47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315.76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，增长原因是报废更新</w:t>
      </w:r>
      <w:r>
        <w:rPr>
          <w:rFonts w:hint="eastAsia" w:ascii="仿宋_GB2312" w:eastAsia="仿宋_GB2312"/>
          <w:color w:val="auto"/>
          <w:sz w:val="32"/>
          <w:szCs w:val="32"/>
          <w:highlight w:val="none"/>
          <w:lang w:val="en-US" w:eastAsia="zh-CN"/>
        </w:rPr>
        <w:t>2辆执法执勤用车</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0000FF"/>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45.47</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23.29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小型客车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11.09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，合计</w:t>
      </w:r>
      <w:r>
        <w:rPr>
          <w:rFonts w:hint="eastAsia" w:ascii="仿宋_GB2312" w:eastAsia="仿宋_GB2312"/>
          <w:color w:val="auto"/>
          <w:sz w:val="32"/>
          <w:szCs w:val="32"/>
          <w:highlight w:val="none"/>
          <w:lang w:val="en-US" w:eastAsia="zh-CN"/>
        </w:rPr>
        <w:t>34.38万元（另11.09万元为会计账务处理差错，已在2023年进行账务差错更正）</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辆，其中：</w:t>
      </w:r>
      <w:r>
        <w:rPr>
          <w:rFonts w:hint="eastAsia" w:ascii="仿宋_GB2312" w:eastAsia="仿宋_GB2312"/>
          <w:color w:val="auto"/>
          <w:sz w:val="32"/>
          <w:szCs w:val="32"/>
        </w:rPr>
        <w:t>轿车</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辆、</w:t>
      </w:r>
      <w:r>
        <w:rPr>
          <w:rFonts w:hint="eastAsia" w:ascii="仿宋_GB2312" w:eastAsia="仿宋_GB2312"/>
          <w:color w:val="auto"/>
          <w:sz w:val="32"/>
          <w:szCs w:val="32"/>
          <w:lang w:eastAsia="zh-CN"/>
        </w:rPr>
        <w:t>小型客车</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越野车2辆、</w:t>
      </w:r>
      <w:r>
        <w:rPr>
          <w:rFonts w:hint="eastAsia" w:ascii="仿宋_GB2312" w:eastAsia="仿宋_GB2312"/>
          <w:color w:val="auto"/>
          <w:sz w:val="32"/>
          <w:szCs w:val="32"/>
          <w:lang w:eastAsia="zh-CN"/>
        </w:rPr>
        <w:t>大中型客车</w:t>
      </w:r>
      <w:r>
        <w:rPr>
          <w:rFonts w:hint="eastAsia" w:ascii="仿宋_GB2312" w:eastAsia="仿宋_GB2312"/>
          <w:color w:val="auto"/>
          <w:sz w:val="32"/>
          <w:szCs w:val="32"/>
          <w:lang w:val="en-US" w:eastAsia="zh-CN"/>
        </w:rPr>
        <w:t>2辆、其他车辆1辆</w:t>
      </w:r>
      <w:r>
        <w:rPr>
          <w:rFonts w:hint="eastAsia" w:ascii="仿宋_GB2312" w:eastAsia="仿宋_GB2312"/>
          <w:color w:val="auto"/>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14.40</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主要用于案件办理、执法执勤、巡逻防控、应急处突等所需的公务用车燃料费、维修</w:t>
      </w:r>
      <w:r>
        <w:rPr>
          <w:rFonts w:hint="eastAsia" w:ascii="仿宋_GB2312" w:eastAsia="仿宋_GB2312"/>
          <w:color w:val="000000"/>
          <w:sz w:val="32"/>
          <w:szCs w:val="32"/>
          <w:lang w:eastAsia="zh-CN"/>
        </w:rPr>
        <w:t>维护</w:t>
      </w:r>
      <w:r>
        <w:rPr>
          <w:rFonts w:hint="eastAsia" w:ascii="仿宋_GB2312" w:eastAsia="仿宋_GB2312"/>
          <w:color w:val="000000"/>
          <w:sz w:val="32"/>
          <w:szCs w:val="32"/>
        </w:rPr>
        <w:t>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厉行节约，减少了公务接待费的支出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40" w:name="_Toc15396610"/>
      <w:bookmarkStart w:id="41" w:name="_Toc15377218"/>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7"/>
          <w:rFonts w:ascii="黑体" w:hAnsi="黑体" w:eastAsia="黑体"/>
          <w:b w:val="0"/>
          <w:color w:val="auto"/>
          <w:highlight w:val="none"/>
        </w:rPr>
      </w:pPr>
      <w:bookmarkStart w:id="42" w:name="_Toc15396611"/>
      <w:bookmarkStart w:id="43" w:name="_Toc15377219"/>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rPr>
        <w:t>经开</w:t>
      </w:r>
      <w:r>
        <w:rPr>
          <w:rFonts w:hint="eastAsia" w:ascii="仿宋_GB2312" w:eastAsia="仿宋_GB2312"/>
          <w:color w:val="000000"/>
          <w:sz w:val="32"/>
          <w:szCs w:val="32"/>
          <w:lang w:eastAsia="zh-CN"/>
        </w:rPr>
        <w:t>公安</w:t>
      </w:r>
      <w:r>
        <w:rPr>
          <w:rFonts w:hint="eastAsia" w:ascii="仿宋_GB2312" w:eastAsia="仿宋_GB2312"/>
          <w:color w:val="000000"/>
          <w:sz w:val="32"/>
          <w:szCs w:val="32"/>
        </w:rPr>
        <w:t>分局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529.72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17.21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3.15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2022年减少了口罩、防护服、办案核酸检测等疫情相关</w:t>
      </w:r>
      <w:r>
        <w:rPr>
          <w:rFonts w:hint="eastAsia" w:ascii="仿宋_GB2312" w:eastAsia="仿宋_GB2312"/>
          <w:color w:val="auto"/>
          <w:sz w:val="32"/>
          <w:szCs w:val="32"/>
          <w:highlight w:val="none"/>
          <w:lang w:eastAsia="zh-CN"/>
        </w:rPr>
        <w:t>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经开公安分局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经开公安分局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rPr>
        <w:t>其他用车1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辆。其他用车主要是用于执法执勤，单价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无专项预算项目，因此未组织开展项目支出绩效评价。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分局绩效评价结果良好，绩效管理水平不断提高。</w:t>
      </w:r>
    </w:p>
    <w:p>
      <w:pPr>
        <w:spacing w:line="580" w:lineRule="exact"/>
        <w:ind w:firstLine="643" w:firstLineChars="200"/>
        <w:rPr>
          <w:rFonts w:hint="eastAsia" w:ascii="仿宋_GB2312" w:hAnsi="仿宋_GB2312" w:eastAsia="仿宋_GB2312" w:cs="仿宋_GB2312"/>
          <w:sz w:val="32"/>
          <w:szCs w:val="32"/>
        </w:rPr>
      </w:pPr>
      <w:r>
        <w:rPr>
          <w:rFonts w:ascii="仿宋_GB2312" w:eastAsia="仿宋_GB2312"/>
          <w:b/>
          <w:color w:val="auto"/>
          <w:sz w:val="32"/>
          <w:szCs w:val="32"/>
          <w:highlight w:val="none"/>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无专项预算项目，因此未组织开展项目支出绩效评价。</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ascii="仿宋_GB2312" w:eastAsia="仿宋_GB2312"/>
          <w:b/>
          <w:color w:val="auto"/>
          <w:sz w:val="32"/>
          <w:szCs w:val="32"/>
          <w:highlight w:val="none"/>
        </w:rPr>
        <w:t>.</w:t>
      </w:r>
      <w:r>
        <w:rPr>
          <w:rFonts w:hint="eastAsia" w:ascii="楷体_GB2312" w:hAnsi="楷体_GB2312" w:eastAsia="楷体_GB2312" w:cs="楷体_GB2312"/>
          <w:sz w:val="32"/>
          <w:szCs w:val="32"/>
        </w:rPr>
        <w:t>部门绩效评价结果。</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年遂宁市公安局经济技术开发区分局整体支出绩效报告》见附件。</w:t>
      </w:r>
    </w:p>
    <w:p>
      <w:pPr>
        <w:spacing w:line="580" w:lineRule="exact"/>
        <w:ind w:firstLine="420" w:firstLineChars="200"/>
        <w:rPr>
          <w:rFonts w:hint="eastAsia"/>
        </w:rPr>
      </w:pPr>
    </w:p>
    <w:p>
      <w:pPr>
        <w:autoSpaceDE w:val="0"/>
        <w:autoSpaceDN w:val="0"/>
        <w:adjustRightInd w:val="0"/>
        <w:spacing w:line="600" w:lineRule="exact"/>
        <w:jc w:val="both"/>
        <w:rPr>
          <w:rFonts w:hint="eastAsia" w:ascii="仿宋" w:hAnsi="仿宋" w:eastAsia="仿宋"/>
          <w:b/>
          <w:bCs w:val="0"/>
          <w:color w:val="auto"/>
          <w:sz w:val="32"/>
          <w:szCs w:val="32"/>
          <w:highlight w:val="none"/>
        </w:rPr>
      </w:pP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hAnsi="仿宋" w:cs="Times New Roman"/>
          <w:sz w:val="32"/>
          <w:szCs w:val="32"/>
        </w:rPr>
        <w:t>主要是省厅专项经费拨款、</w:t>
      </w:r>
      <w:r>
        <w:rPr>
          <w:rFonts w:hint="eastAsia" w:hAnsi="仿宋" w:cs="Times New Roman"/>
          <w:sz w:val="32"/>
          <w:szCs w:val="32"/>
          <w:lang w:eastAsia="zh-CN"/>
        </w:rPr>
        <w:t>开发区财政拨款以及</w:t>
      </w:r>
      <w:r>
        <w:rPr>
          <w:rFonts w:hint="eastAsia" w:hAnsi="仿宋" w:cs="Times New Roman"/>
          <w:sz w:val="32"/>
          <w:szCs w:val="32"/>
        </w:rPr>
        <w:t>存量资金</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5.公共安全支出（类）公安（款）行政运行（项）:指行政单位的基本支出。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6. 公共安全支出（类）公安（款）一般行政管理事务（项）:指行政单位未单独设置项级科目的其他项目支出。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7.公共安全支出（类）公安（款）执法办案（项）:指公安机关从事行政执法、刑事司法及侦查办案等相关活动的支出。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8. 社会保障和就业支出（类）行政事业单位离退休（款）未归口管理的行政单位离退休（项）:指未实行归口管理的行政单位（包括实行公务员管理的事业单位）开支的离退休支出。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9. 社会保障和就业支出（类）行政事业单位离退休（款）机关事业单位基本养老保险缴费支出（项）:指机关事业单位实施养老保险制度由单位缴纳的基本养老保险费支出。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10.卫生健康支出（类）公共卫生（款）其他公共卫生支出（项）:指其他用于卫生健康管理事务方面的支出。</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11. 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12. 卫生健康支出（类）医疗救助（款）其他医疗救助支出（项）: 指其他用于医疗救助方面的支出。</w:t>
      </w:r>
    </w:p>
    <w:p>
      <w:pPr>
        <w:pStyle w:val="24"/>
        <w:spacing w:line="560" w:lineRule="exact"/>
        <w:ind w:firstLine="640" w:firstLineChars="200"/>
        <w:rPr>
          <w:rFonts w:hint="eastAsia" w:hAnsi="仿宋"/>
          <w:b/>
          <w:sz w:val="32"/>
          <w:szCs w:val="32"/>
        </w:rPr>
      </w:pPr>
      <w:r>
        <w:rPr>
          <w:rFonts w:hint="eastAsia" w:hAnsi="仿宋" w:cs="Times New Roman"/>
          <w:sz w:val="32"/>
          <w:szCs w:val="32"/>
        </w:rPr>
        <w:t>13.住房保障支出（类）住房改革支出（款）住房公积金（项）: 指行政事业单位按人力资源和社会保障部、财政部规定的基本工资和津补贴以及规定比例为职工缴纳的住房公积金。</w:t>
      </w:r>
    </w:p>
    <w:p>
      <w:pPr>
        <w:pStyle w:val="24"/>
        <w:spacing w:line="560" w:lineRule="exact"/>
        <w:ind w:firstLine="640" w:firstLineChars="200"/>
        <w:rPr>
          <w:rFonts w:hint="eastAsia" w:hAnsi="仿宋" w:cs="Times New Roman"/>
          <w:sz w:val="32"/>
          <w:szCs w:val="32"/>
        </w:rPr>
      </w:pPr>
      <w:r>
        <w:rPr>
          <w:rFonts w:hint="eastAsia" w:hAnsi="仿宋" w:cs="Times New Roman"/>
          <w:sz w:val="32"/>
          <w:szCs w:val="32"/>
        </w:rPr>
        <w:t>14.其他支出（类）其他支出（款）其他支出（项）:指其他不能划分到具体功能科目中的支出项目。</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Fonts w:hint="eastAsia" w:ascii="仿宋_GB2312"/>
          <w:b/>
          <w:sz w:val="44"/>
          <w:szCs w:val="44"/>
          <w:shd w:val="clear" w:color="auto" w:fill="FFFFFF"/>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pStyle w:val="2"/>
        <w:numPr>
          <w:ilvl w:val="0"/>
          <w:numId w:val="0"/>
        </w:numPr>
        <w:ind w:leftChars="0"/>
        <w:rPr>
          <w:rFonts w:hint="eastAsia"/>
          <w:lang w:eastAsia="zh-CN"/>
        </w:rPr>
      </w:pPr>
    </w:p>
    <w:p>
      <w:pPr>
        <w:jc w:val="center"/>
        <w:rPr>
          <w:rFonts w:hint="eastAsia" w:ascii="仿宋_GB2312" w:cs="方正小标宋简体"/>
          <w:b/>
          <w:sz w:val="44"/>
          <w:szCs w:val="44"/>
          <w:shd w:val="clear" w:color="auto" w:fill="FFFFFF"/>
        </w:rPr>
      </w:pPr>
      <w:r>
        <w:rPr>
          <w:rFonts w:hint="eastAsia" w:ascii="仿宋_GB2312"/>
          <w:b/>
          <w:sz w:val="44"/>
          <w:szCs w:val="44"/>
          <w:shd w:val="clear" w:color="auto" w:fill="FFFFFF"/>
          <w:lang w:eastAsia="zh-CN"/>
        </w:rPr>
        <w:t>202</w:t>
      </w:r>
      <w:r>
        <w:rPr>
          <w:rFonts w:hint="eastAsia" w:ascii="仿宋_GB2312"/>
          <w:b/>
          <w:sz w:val="44"/>
          <w:szCs w:val="44"/>
          <w:shd w:val="clear" w:color="auto" w:fill="FFFFFF"/>
          <w:lang w:val="en-US" w:eastAsia="zh-CN"/>
        </w:rPr>
        <w:t>2</w:t>
      </w:r>
      <w:r>
        <w:rPr>
          <w:rFonts w:hint="eastAsia" w:ascii="仿宋_GB2312" w:cs="方正小标宋简体"/>
          <w:b/>
          <w:sz w:val="44"/>
          <w:szCs w:val="44"/>
          <w:shd w:val="clear" w:color="auto" w:fill="FFFFFF"/>
        </w:rPr>
        <w:t>年遂宁市公安局经济技术开发区分局整体支出绩效报告</w:t>
      </w:r>
    </w:p>
    <w:p>
      <w:pPr>
        <w:pStyle w:val="2"/>
        <w:numPr>
          <w:ilvl w:val="0"/>
          <w:numId w:val="0"/>
        </w:numPr>
        <w:ind w:leftChars="0"/>
      </w:pPr>
    </w:p>
    <w:p>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一、部门概况</w:t>
      </w:r>
    </w:p>
    <w:p>
      <w:pPr>
        <w:keepNext w:val="0"/>
        <w:keepLines w:val="0"/>
        <w:widowControl w:val="0"/>
        <w:suppressLineNumbers w:val="0"/>
        <w:adjustRightInd w:val="0"/>
        <w:snapToGrid w:val="0"/>
        <w:spacing w:before="0" w:beforeAutospacing="0" w:after="0" w:afterAutospacing="0" w:line="540" w:lineRule="exact"/>
        <w:ind w:left="0" w:right="0" w:firstLine="720"/>
        <w:jc w:val="left"/>
        <w:rPr>
          <w:rFonts w:hint="eastAsia" w:ascii="仿宋" w:hAnsi="仿宋" w:eastAsia="仿宋" w:cs="仿宋"/>
          <w:color w:val="000000"/>
          <w:kern w:val="0"/>
          <w:sz w:val="32"/>
          <w:szCs w:val="32"/>
          <w:shd w:val="clear" w:fill="FFFFFF"/>
        </w:rPr>
      </w:pPr>
      <w:r>
        <w:rPr>
          <w:rFonts w:hint="eastAsia" w:ascii="仿宋" w:hAnsi="仿宋" w:eastAsia="仿宋" w:cs="仿宋"/>
          <w:color w:val="auto"/>
          <w:sz w:val="32"/>
          <w:szCs w:val="32"/>
          <w:highlight w:val="none"/>
          <w:lang w:val="en-US" w:eastAsia="zh-CN"/>
        </w:rPr>
        <w:t>（一）机构组成。</w:t>
      </w:r>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遂宁市公安局经济技术开发区分局内设机关部门3个：指挥中心、政治处、纪委；内设实战大队5个：刑侦大队、治安大队、国保大队、法制大队、巡特警大队，下设派出机构5个：嘉禾派出所、北固派出所、富源路派出所、广德派出所、新桥派出所。</w:t>
      </w:r>
    </w:p>
    <w:p>
      <w:pPr>
        <w:keepNext w:val="0"/>
        <w:keepLines w:val="0"/>
        <w:widowControl w:val="0"/>
        <w:numPr>
          <w:ilvl w:val="0"/>
          <w:numId w:val="5"/>
        </w:numPr>
        <w:suppressLineNumbers w:val="0"/>
        <w:adjustRightInd w:val="0"/>
        <w:snapToGrid w:val="0"/>
        <w:spacing w:before="0" w:beforeAutospacing="0" w:after="0" w:afterAutospacing="0" w:line="540" w:lineRule="exact"/>
        <w:ind w:left="0" w:right="0" w:firstLine="720"/>
        <w:jc w:val="left"/>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机构职能。</w:t>
      </w:r>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遂宁市公安局经济技术开发区分局系遂宁市公安局直属分局，履行县级公安机关职能职责，辖区为遂宁经济技术开发区分布范围。</w:t>
      </w:r>
    </w:p>
    <w:p>
      <w:pPr>
        <w:keepNext w:val="0"/>
        <w:keepLines w:val="0"/>
        <w:widowControl w:val="0"/>
        <w:numPr>
          <w:ilvl w:val="0"/>
          <w:numId w:val="5"/>
        </w:numPr>
        <w:suppressLineNumbers w:val="0"/>
        <w:adjustRightInd w:val="0"/>
        <w:snapToGrid w:val="0"/>
        <w:spacing w:before="0" w:beforeAutospacing="0" w:after="0" w:afterAutospacing="0" w:line="540" w:lineRule="exact"/>
        <w:ind w:left="0" w:right="0" w:firstLine="720"/>
        <w:jc w:val="left"/>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人员概况。</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 w:hAnsi="仿宋" w:eastAsia="仿宋" w:cs="仿宋"/>
          <w:color w:val="auto"/>
          <w:sz w:val="32"/>
          <w:szCs w:val="32"/>
          <w:highlight w:val="none"/>
          <w:lang w:val="en-US" w:eastAsia="zh-CN"/>
        </w:rPr>
        <w:t>2022年我单位现有政法专项编制119个，实有在职民警132人，其中行政编制人员131人，行政工勤编制人员1人。</w:t>
      </w:r>
    </w:p>
    <w:p>
      <w:pPr>
        <w:keepNext w:val="0"/>
        <w:keepLines w:val="0"/>
        <w:widowControl/>
        <w:suppressLineNumbers w:val="0"/>
        <w:adjustRightInd w:val="0"/>
        <w:snapToGrid w:val="0"/>
        <w:spacing w:before="0" w:beforeAutospacing="0" w:after="0" w:afterAutospacing="0" w:line="620"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二、部门财政资金收支情况</w:t>
      </w:r>
    </w:p>
    <w:p>
      <w:pPr>
        <w:keepNext w:val="0"/>
        <w:keepLines w:val="0"/>
        <w:widowControl w:val="0"/>
        <w:suppressLineNumbers w:val="0"/>
        <w:adjustRightInd w:val="0"/>
        <w:snapToGrid w:val="0"/>
        <w:spacing w:before="0" w:beforeAutospacing="0" w:after="0" w:afterAutospacing="0" w:line="540" w:lineRule="exact"/>
        <w:ind w:left="0" w:right="0" w:firstLine="720"/>
        <w:jc w:val="left"/>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（一）部门财政资金收入情况。</w:t>
      </w:r>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2022年遂宁市公安局经济技术开发区分局年初预算3481.22万元，其中年初财政拨款3481.22万元，年初结转结余0万元，中期调整160.09万元，其他收入0万元，调整后预算收入总额为3321.13万元。具体情况详见表2-1：</w:t>
      </w:r>
    </w:p>
    <w:p>
      <w:pPr>
        <w:pStyle w:val="33"/>
        <w:widowControl/>
        <w:ind w:left="0" w:right="0"/>
        <w:rPr>
          <w:rFonts w:hint="default" w:ascii="Times New Roman" w:hAnsi="Times New Roman" w:eastAsia="仿宋_GB2312" w:cs="Times New Roman"/>
          <w:b/>
          <w:kern w:val="0"/>
          <w:sz w:val="24"/>
          <w:szCs w:val="24"/>
        </w:rPr>
      </w:pPr>
      <w:r>
        <w:rPr>
          <w:rFonts w:hint="eastAsia" w:ascii="仿宋_GB2312" w:hAnsi="Times New Roman" w:eastAsia="仿宋_GB2312" w:cs="仿宋_GB2312"/>
          <w:b/>
          <w:kern w:val="0"/>
          <w:sz w:val="24"/>
          <w:szCs w:val="24"/>
        </w:rPr>
        <w:t>表</w:t>
      </w:r>
      <w:r>
        <w:rPr>
          <w:rFonts w:hint="default" w:ascii="Times New Roman" w:hAnsi="Times New Roman" w:eastAsia="仿宋_GB2312" w:cs="Times New Roman"/>
          <w:b/>
          <w:kern w:val="0"/>
          <w:sz w:val="24"/>
          <w:szCs w:val="24"/>
        </w:rPr>
        <w:t xml:space="preserve">2-1 </w:t>
      </w:r>
      <w:r>
        <w:rPr>
          <w:rFonts w:hint="eastAsia" w:ascii="仿宋_GB2312" w:hAnsi="Times New Roman" w:eastAsia="仿宋_GB2312" w:cs="仿宋_GB2312"/>
          <w:b/>
          <w:kern w:val="0"/>
          <w:sz w:val="24"/>
          <w:szCs w:val="24"/>
        </w:rPr>
        <w:t>年度预算表</w:t>
      </w:r>
    </w:p>
    <w:p>
      <w:pPr>
        <w:pStyle w:val="33"/>
        <w:widowControl/>
        <w:ind w:left="0" w:right="0"/>
        <w:jc w:val="right"/>
        <w:rPr>
          <w:rFonts w:hint="default" w:ascii="Times New Roman" w:hAnsi="Times New Roman" w:eastAsia="仿宋_GB2312" w:cs="Times New Roman"/>
          <w:b/>
          <w:kern w:val="0"/>
          <w:sz w:val="24"/>
          <w:szCs w:val="24"/>
        </w:rPr>
      </w:pPr>
      <w:r>
        <w:rPr>
          <w:rFonts w:hint="eastAsia" w:ascii="仿宋_GB2312" w:hAnsi="Times New Roman" w:eastAsia="仿宋_GB2312" w:cs="仿宋_GB2312"/>
          <w:b/>
          <w:kern w:val="0"/>
          <w:sz w:val="24"/>
          <w:szCs w:val="24"/>
        </w:rPr>
        <w:t>单位：万元</w:t>
      </w:r>
    </w:p>
    <w:tbl>
      <w:tblPr>
        <w:tblStyle w:val="17"/>
        <w:tblW w:w="83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66"/>
        <w:gridCol w:w="2074"/>
        <w:gridCol w:w="208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0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eastAsia" w:ascii="Times New Roman" w:hAnsi="Times New Roman" w:eastAsia="仿宋" w:cs="宋体"/>
                <w:b/>
                <w:color w:val="000000"/>
                <w:kern w:val="0"/>
                <w:sz w:val="22"/>
                <w:szCs w:val="22"/>
              </w:rPr>
              <w:t>项目名称</w:t>
            </w:r>
          </w:p>
        </w:tc>
        <w:tc>
          <w:tcPr>
            <w:tcW w:w="2074"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eastAsia" w:ascii="Times New Roman" w:hAnsi="Times New Roman" w:eastAsia="仿宋" w:cs="宋体"/>
                <w:b/>
                <w:color w:val="000000"/>
                <w:kern w:val="0"/>
                <w:sz w:val="22"/>
                <w:szCs w:val="22"/>
              </w:rPr>
              <w:t>年初预算</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中期调整</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0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一、一般公共预算财政拨款收入</w:t>
            </w:r>
          </w:p>
        </w:tc>
        <w:tc>
          <w:tcPr>
            <w:tcW w:w="2074"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3481.22</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160.09</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3321.1</w:t>
            </w:r>
            <w:r>
              <w:rPr>
                <w:rFonts w:hint="eastAsia" w:cs="宋体"/>
                <w:color w:val="000000"/>
                <w:kern w:val="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二、其他收入</w:t>
            </w:r>
          </w:p>
        </w:tc>
        <w:tc>
          <w:tcPr>
            <w:tcW w:w="2074"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仿宋" w:hAnsi="仿宋" w:eastAsia="仿宋" w:cs="仿宋"/>
                <w:color w:val="000000"/>
                <w:kern w:val="0"/>
                <w:sz w:val="22"/>
                <w:szCs w:val="22"/>
              </w:rPr>
              <w:t>-</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年初结转结余</w:t>
            </w:r>
          </w:p>
        </w:tc>
        <w:tc>
          <w:tcPr>
            <w:tcW w:w="2074"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r>
              <w:rPr>
                <w:rFonts w:hint="eastAsia" w:ascii="仿宋" w:hAnsi="仿宋" w:eastAsia="仿宋" w:cs="仿宋"/>
                <w:color w:val="000000"/>
                <w:kern w:val="0"/>
                <w:sz w:val="22"/>
                <w:szCs w:val="22"/>
              </w:rPr>
              <w:t>-</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6"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b/>
                <w:color w:val="FF0000"/>
                <w:kern w:val="0"/>
                <w:sz w:val="22"/>
                <w:szCs w:val="22"/>
              </w:rPr>
            </w:pPr>
            <w:r>
              <w:rPr>
                <w:rFonts w:hint="eastAsia" w:ascii="Times New Roman" w:hAnsi="Times New Roman" w:eastAsia="仿宋" w:cs="宋体"/>
                <w:b/>
                <w:color w:val="000000"/>
                <w:kern w:val="0"/>
                <w:sz w:val="22"/>
                <w:szCs w:val="22"/>
              </w:rPr>
              <w:t>总计</w:t>
            </w:r>
          </w:p>
        </w:tc>
        <w:tc>
          <w:tcPr>
            <w:tcW w:w="2074"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b/>
                <w:color w:val="000000"/>
                <w:kern w:val="0"/>
                <w:sz w:val="22"/>
                <w:szCs w:val="22"/>
              </w:rPr>
            </w:pPr>
            <w:r>
              <w:rPr>
                <w:rFonts w:hint="eastAsia" w:ascii="Times New Roman" w:hAnsi="Times New Roman" w:eastAsia="仿宋" w:cs="宋体"/>
                <w:color w:val="000000"/>
                <w:kern w:val="0"/>
                <w:sz w:val="22"/>
                <w:szCs w:val="22"/>
              </w:rPr>
              <w:t>3481.22</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b/>
                <w:color w:val="000000"/>
                <w:kern w:val="0"/>
                <w:sz w:val="22"/>
                <w:szCs w:val="22"/>
              </w:rPr>
            </w:pPr>
            <w:r>
              <w:rPr>
                <w:rFonts w:hint="eastAsia" w:ascii="Times New Roman" w:hAnsi="Times New Roman" w:eastAsia="仿宋" w:cs="宋体"/>
                <w:color w:val="000000"/>
                <w:kern w:val="0"/>
                <w:sz w:val="22"/>
                <w:szCs w:val="22"/>
              </w:rPr>
              <w:t>160.09</w:t>
            </w:r>
          </w:p>
        </w:tc>
        <w:tc>
          <w:tcPr>
            <w:tcW w:w="2081" w:type="dxa"/>
            <w:tcBorders>
              <w:top w:val="single" w:color="auto" w:sz="4" w:space="0"/>
              <w:left w:val="nil"/>
              <w:bottom w:val="single" w:color="auto" w:sz="4" w:space="0"/>
              <w:right w:val="single" w:color="auto" w:sz="4" w:space="0"/>
            </w:tcBorders>
            <w:shd w:val="clear" w:color="auto" w:fill="auto"/>
            <w:vAlign w:val="top"/>
          </w:tcPr>
          <w:p>
            <w:pPr>
              <w:pStyle w:val="35"/>
              <w:widowControl/>
              <w:jc w:val="center"/>
              <w:rPr>
                <w:rFonts w:hint="default" w:ascii="Times New Roman" w:hAnsi="Times New Roman" w:eastAsia="仿宋" w:cs="宋体"/>
                <w:b/>
                <w:color w:val="000000"/>
                <w:kern w:val="0"/>
                <w:sz w:val="22"/>
                <w:szCs w:val="22"/>
              </w:rPr>
            </w:pPr>
            <w:r>
              <w:rPr>
                <w:rFonts w:hint="eastAsia" w:ascii="Times New Roman" w:hAnsi="Times New Roman" w:eastAsia="仿宋" w:cs="宋体"/>
                <w:color w:val="000000"/>
                <w:kern w:val="0"/>
                <w:sz w:val="22"/>
                <w:szCs w:val="22"/>
              </w:rPr>
              <w:t>3321.1</w:t>
            </w:r>
            <w:r>
              <w:rPr>
                <w:rFonts w:hint="eastAsia" w:cs="宋体"/>
                <w:color w:val="000000"/>
                <w:kern w:val="0"/>
                <w:sz w:val="22"/>
                <w:szCs w:val="22"/>
                <w:lang w:val="en-US" w:eastAsia="zh-CN"/>
              </w:rPr>
              <w:t>3</w:t>
            </w:r>
          </w:p>
        </w:tc>
      </w:tr>
    </w:tbl>
    <w:p>
      <w:pPr>
        <w:keepNext w:val="0"/>
        <w:keepLines w:val="0"/>
        <w:pageBreakBefore w:val="0"/>
        <w:widowControl/>
        <w:numPr>
          <w:ilvl w:val="0"/>
          <w:numId w:val="6"/>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部门财政资金支出情况。</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2022年遂宁市公安局经济技术开发区分局财政支出年初预算为3481.22万元，中期调整为160.09万元，调整后预算支出总额为3321.13万元，部门支出预算执行总额为3321.13万元，部门总体执行进度为100%，其中：基本支出预算总额为3140.89万元，基本支出执行总额为3140.89万元，基本支出总体执行进度100%；项目支出预算总额为180.24万元，项目支出执行总额为180.24万元，项目支出总体执行进度100%。具体情况详见表2-2。</w:t>
      </w:r>
    </w:p>
    <w:p>
      <w:pPr>
        <w:pStyle w:val="33"/>
        <w:widowControl/>
        <w:ind w:left="0" w:right="0"/>
        <w:rPr>
          <w:rFonts w:hint="default" w:ascii="Times New Roman" w:hAnsi="Times New Roman" w:eastAsia="仿宋_GB2312" w:cs="Times New Roman"/>
          <w:b/>
          <w:kern w:val="0"/>
          <w:sz w:val="24"/>
          <w:szCs w:val="24"/>
        </w:rPr>
      </w:pPr>
      <w:r>
        <w:rPr>
          <w:rFonts w:hint="eastAsia" w:ascii="仿宋_GB2312" w:hAnsi="Times New Roman" w:eastAsia="仿宋_GB2312" w:cs="仿宋_GB2312"/>
          <w:b/>
          <w:kern w:val="0"/>
          <w:sz w:val="24"/>
          <w:szCs w:val="24"/>
        </w:rPr>
        <w:t>表</w:t>
      </w:r>
      <w:r>
        <w:rPr>
          <w:rFonts w:hint="default" w:ascii="Times New Roman" w:hAnsi="Times New Roman" w:eastAsia="仿宋_GB2312" w:cs="Times New Roman"/>
          <w:b/>
          <w:kern w:val="0"/>
          <w:sz w:val="24"/>
          <w:szCs w:val="24"/>
        </w:rPr>
        <w:t xml:space="preserve">2-2 </w:t>
      </w:r>
      <w:r>
        <w:rPr>
          <w:rFonts w:hint="eastAsia" w:ascii="仿宋_GB2312" w:hAnsi="Times New Roman" w:eastAsia="仿宋_GB2312" w:cs="仿宋_GB2312"/>
          <w:b/>
          <w:kern w:val="0"/>
          <w:sz w:val="24"/>
          <w:szCs w:val="24"/>
        </w:rPr>
        <w:t>年度预算执行表</w:t>
      </w:r>
    </w:p>
    <w:p>
      <w:pPr>
        <w:pStyle w:val="33"/>
        <w:widowControl/>
        <w:ind w:left="0" w:right="0"/>
        <w:jc w:val="right"/>
        <w:rPr>
          <w:rFonts w:hint="default" w:ascii="Times New Roman" w:hAnsi="Times New Roman" w:eastAsia="仿宋_GB2312" w:cs="Times New Roman"/>
          <w:b/>
          <w:kern w:val="0"/>
          <w:sz w:val="24"/>
          <w:szCs w:val="24"/>
        </w:rPr>
      </w:pPr>
      <w:r>
        <w:rPr>
          <w:rFonts w:hint="eastAsia" w:ascii="仿宋_GB2312" w:hAnsi="Times New Roman" w:eastAsia="仿宋_GB2312" w:cs="仿宋_GB2312"/>
          <w:b/>
          <w:kern w:val="0"/>
          <w:sz w:val="24"/>
          <w:szCs w:val="24"/>
        </w:rPr>
        <w:t>单位：万元</w:t>
      </w:r>
    </w:p>
    <w:tbl>
      <w:tblPr>
        <w:tblStyle w:val="17"/>
        <w:tblW w:w="83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5"/>
        <w:gridCol w:w="1451"/>
        <w:gridCol w:w="1230"/>
        <w:gridCol w:w="1253"/>
        <w:gridCol w:w="139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eastAsia" w:ascii="Times New Roman" w:hAnsi="Times New Roman" w:eastAsia="仿宋" w:cs="宋体"/>
                <w:b/>
                <w:color w:val="000000"/>
                <w:kern w:val="0"/>
                <w:sz w:val="22"/>
                <w:szCs w:val="22"/>
              </w:rPr>
              <w:t>项目名称</w:t>
            </w:r>
          </w:p>
        </w:tc>
        <w:tc>
          <w:tcPr>
            <w:tcW w:w="145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年初总预算</w:t>
            </w:r>
          </w:p>
        </w:tc>
        <w:tc>
          <w:tcPr>
            <w:tcW w:w="1230"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中期调整</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年</w:t>
            </w:r>
            <w:r>
              <w:rPr>
                <w:rFonts w:hint="eastAsia" w:ascii="Times New Roman" w:hAnsi="Times New Roman" w:eastAsia="仿宋" w:cs="宋体"/>
                <w:b/>
                <w:color w:val="000000"/>
                <w:kern w:val="0"/>
                <w:sz w:val="22"/>
                <w:szCs w:val="22"/>
              </w:rPr>
              <w:t>度</w:t>
            </w:r>
            <w:r>
              <w:rPr>
                <w:rFonts w:hint="default" w:ascii="Times New Roman" w:hAnsi="Times New Roman" w:eastAsia="仿宋" w:cs="宋体"/>
                <w:b/>
                <w:color w:val="000000"/>
                <w:kern w:val="0"/>
                <w:sz w:val="22"/>
                <w:szCs w:val="22"/>
              </w:rPr>
              <w:t>预算</w:t>
            </w:r>
          </w:p>
        </w:tc>
        <w:tc>
          <w:tcPr>
            <w:tcW w:w="1390"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预算执行</w:t>
            </w:r>
          </w:p>
        </w:tc>
        <w:tc>
          <w:tcPr>
            <w:tcW w:w="138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仿宋" w:cs="宋体"/>
                <w:b/>
                <w:color w:val="000000"/>
                <w:kern w:val="0"/>
                <w:sz w:val="22"/>
                <w:szCs w:val="22"/>
              </w:rPr>
              <w:t>执行率（</w:t>
            </w:r>
            <w:r>
              <w:rPr>
                <w:rFonts w:hint="default" w:ascii="Times New Roman" w:hAnsi="Times New Roman" w:eastAsia="仿宋" w:cs="Times New Roman"/>
                <w:b/>
                <w:color w:val="000000"/>
                <w:kern w:val="0"/>
                <w:sz w:val="22"/>
                <w:szCs w:val="22"/>
              </w:rPr>
              <w:t>%</w:t>
            </w:r>
            <w:r>
              <w:rPr>
                <w:rFonts w:hint="eastAsia" w:ascii="仿宋" w:hAnsi="仿宋" w:eastAsia="仿宋" w:cs="仿宋"/>
                <w:b/>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一、基本支出</w:t>
            </w:r>
          </w:p>
        </w:tc>
        <w:tc>
          <w:tcPr>
            <w:tcW w:w="14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Arial"/>
                <w:color w:val="000000"/>
                <w:kern w:val="0"/>
                <w:sz w:val="22"/>
                <w:szCs w:val="22"/>
              </w:rPr>
            </w:pPr>
            <w:r>
              <w:rPr>
                <w:rFonts w:hint="eastAsia" w:ascii="Times New Roman" w:hAnsi="Times New Roman" w:eastAsia="仿宋" w:cs="宋体"/>
                <w:color w:val="000000"/>
                <w:kern w:val="0"/>
                <w:sz w:val="22"/>
                <w:szCs w:val="22"/>
                <w:lang w:val="en-US" w:eastAsia="zh-CN" w:bidi="ar"/>
              </w:rPr>
              <w:t>3237.92</w:t>
            </w:r>
          </w:p>
        </w:tc>
        <w:tc>
          <w:tcPr>
            <w:tcW w:w="1230" w:type="dxa"/>
            <w:tcBorders>
              <w:top w:val="nil"/>
              <w:left w:val="nil"/>
              <w:bottom w:val="single" w:color="auto" w:sz="4" w:space="0"/>
              <w:right w:val="single" w:color="auto" w:sz="8"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97.03</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3140.89</w:t>
            </w:r>
          </w:p>
        </w:tc>
        <w:tc>
          <w:tcPr>
            <w:tcW w:w="1390" w:type="dxa"/>
            <w:tcBorders>
              <w:top w:val="single" w:color="auto" w:sz="4" w:space="0"/>
              <w:left w:val="nil"/>
              <w:bottom w:val="single" w:color="auto" w:sz="4" w:space="0"/>
              <w:right w:val="nil"/>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3140.89</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w:t>
            </w:r>
            <w:r>
              <w:rPr>
                <w:rFonts w:hint="default" w:ascii="Times New Roman" w:hAnsi="Times New Roman" w:eastAsia="仿宋" w:cs="宋体"/>
                <w:color w:val="000000"/>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default" w:ascii="Times New Roman" w:hAnsi="Times New Roman" w:eastAsia="仿宋" w:cs="宋体"/>
                <w:color w:val="000000"/>
                <w:kern w:val="0"/>
                <w:sz w:val="22"/>
                <w:szCs w:val="22"/>
              </w:rPr>
              <w:t xml:space="preserve">    人员经费</w:t>
            </w:r>
          </w:p>
        </w:tc>
        <w:tc>
          <w:tcPr>
            <w:tcW w:w="145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_GB2312" w:cs="Arial"/>
                <w:color w:val="000000"/>
                <w:kern w:val="0"/>
                <w:sz w:val="22"/>
                <w:szCs w:val="22"/>
              </w:rPr>
            </w:pPr>
            <w:r>
              <w:rPr>
                <w:rFonts w:hint="eastAsia" w:ascii="Times New Roman" w:hAnsi="Times New Roman" w:eastAsia="仿宋" w:cs="宋体"/>
                <w:color w:val="000000"/>
                <w:kern w:val="0"/>
                <w:sz w:val="22"/>
                <w:szCs w:val="22"/>
              </w:rPr>
              <w:t>2686.56</w:t>
            </w:r>
          </w:p>
        </w:tc>
        <w:tc>
          <w:tcPr>
            <w:tcW w:w="1230" w:type="dxa"/>
            <w:tcBorders>
              <w:top w:val="nil"/>
              <w:left w:val="nil"/>
              <w:bottom w:val="single" w:color="auto" w:sz="4" w:space="0"/>
              <w:right w:val="single" w:color="auto" w:sz="8"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75.4</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2611.17</w:t>
            </w:r>
          </w:p>
        </w:tc>
        <w:tc>
          <w:tcPr>
            <w:tcW w:w="1390" w:type="dxa"/>
            <w:tcBorders>
              <w:top w:val="single" w:color="auto" w:sz="4" w:space="0"/>
              <w:left w:val="nil"/>
              <w:bottom w:val="single" w:color="auto" w:sz="4" w:space="0"/>
              <w:right w:val="nil"/>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2611.17</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w:t>
            </w:r>
            <w:r>
              <w:rPr>
                <w:rFonts w:hint="default" w:ascii="Times New Roman" w:hAnsi="Times New Roman" w:eastAsia="仿宋" w:cs="宋体"/>
                <w:color w:val="000000"/>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 xml:space="preserve">   公用经费</w:t>
            </w:r>
          </w:p>
        </w:tc>
        <w:tc>
          <w:tcPr>
            <w:tcW w:w="14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Arial"/>
                <w:color w:val="000000"/>
                <w:kern w:val="0"/>
                <w:sz w:val="22"/>
                <w:szCs w:val="22"/>
              </w:rPr>
            </w:pPr>
            <w:r>
              <w:rPr>
                <w:rFonts w:hint="eastAsia" w:ascii="Times New Roman" w:hAnsi="Times New Roman" w:eastAsia="仿宋" w:cs="宋体"/>
                <w:color w:val="000000"/>
                <w:kern w:val="0"/>
                <w:sz w:val="22"/>
                <w:szCs w:val="22"/>
                <w:lang w:val="en-US" w:eastAsia="zh-CN" w:bidi="ar"/>
              </w:rPr>
              <w:t>551.36</w:t>
            </w:r>
          </w:p>
        </w:tc>
        <w:tc>
          <w:tcPr>
            <w:tcW w:w="1230" w:type="dxa"/>
            <w:tcBorders>
              <w:top w:val="nil"/>
              <w:left w:val="nil"/>
              <w:bottom w:val="single" w:color="auto" w:sz="4" w:space="0"/>
              <w:right w:val="single" w:color="auto" w:sz="8"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21.63</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529.72</w:t>
            </w:r>
          </w:p>
        </w:tc>
        <w:tc>
          <w:tcPr>
            <w:tcW w:w="1390" w:type="dxa"/>
            <w:tcBorders>
              <w:top w:val="single" w:color="auto" w:sz="4" w:space="0"/>
              <w:left w:val="nil"/>
              <w:bottom w:val="single" w:color="auto" w:sz="4" w:space="0"/>
              <w:right w:val="nil"/>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529.72</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w:t>
            </w:r>
            <w:r>
              <w:rPr>
                <w:rFonts w:hint="default" w:ascii="Times New Roman" w:hAnsi="Times New Roman" w:eastAsia="仿宋" w:cs="宋体"/>
                <w:color w:val="000000"/>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二、项目支出</w:t>
            </w:r>
          </w:p>
        </w:tc>
        <w:tc>
          <w:tcPr>
            <w:tcW w:w="14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Arial"/>
                <w:color w:val="000000"/>
                <w:kern w:val="0"/>
                <w:sz w:val="22"/>
                <w:szCs w:val="22"/>
              </w:rPr>
            </w:pPr>
            <w:r>
              <w:rPr>
                <w:rFonts w:hint="eastAsia" w:ascii="Times New Roman" w:hAnsi="Times New Roman" w:eastAsia="仿宋_GB2312" w:cs="Arial"/>
                <w:color w:val="000000"/>
                <w:kern w:val="0"/>
                <w:sz w:val="22"/>
                <w:szCs w:val="22"/>
                <w:lang w:val="en-US" w:eastAsia="zh-CN" w:bidi="ar"/>
              </w:rPr>
              <w:t>243.30</w:t>
            </w:r>
          </w:p>
        </w:tc>
        <w:tc>
          <w:tcPr>
            <w:tcW w:w="1230" w:type="dxa"/>
            <w:tcBorders>
              <w:top w:val="nil"/>
              <w:left w:val="nil"/>
              <w:bottom w:val="single" w:color="auto" w:sz="4" w:space="0"/>
              <w:right w:val="single" w:color="auto" w:sz="8"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63.06</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180.24</w:t>
            </w:r>
          </w:p>
        </w:tc>
        <w:tc>
          <w:tcPr>
            <w:tcW w:w="1390" w:type="dxa"/>
            <w:tcBorders>
              <w:top w:val="single" w:color="auto" w:sz="4" w:space="0"/>
              <w:left w:val="nil"/>
              <w:bottom w:val="single" w:color="auto" w:sz="4" w:space="0"/>
              <w:right w:val="nil"/>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180.24</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lang w:val="en-US" w:eastAsia="zh-CN" w:bidi="ar"/>
              </w:rPr>
              <w:t>100</w:t>
            </w:r>
            <w:r>
              <w:rPr>
                <w:rFonts w:hint="default" w:ascii="Times New Roman" w:hAnsi="Times New Roman" w:eastAsia="仿宋_GB2312" w:cs="Times New Roman"/>
                <w:color w:val="00000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b/>
                <w:color w:val="000000"/>
                <w:kern w:val="0"/>
                <w:sz w:val="22"/>
                <w:szCs w:val="22"/>
              </w:rPr>
              <w:t>总计</w:t>
            </w:r>
          </w:p>
        </w:tc>
        <w:tc>
          <w:tcPr>
            <w:tcW w:w="145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color w:val="000000"/>
                <w:kern w:val="0"/>
                <w:sz w:val="22"/>
                <w:szCs w:val="22"/>
              </w:rPr>
            </w:pPr>
            <w:r>
              <w:rPr>
                <w:rFonts w:hint="eastAsia" w:ascii="Times New Roman" w:hAnsi="Times New Roman" w:eastAsia="仿宋" w:cs="宋体"/>
                <w:color w:val="000000"/>
                <w:kern w:val="0"/>
                <w:sz w:val="22"/>
                <w:szCs w:val="22"/>
              </w:rPr>
              <w:t>3481.22</w:t>
            </w:r>
          </w:p>
        </w:tc>
        <w:tc>
          <w:tcPr>
            <w:tcW w:w="1230" w:type="dxa"/>
            <w:tcBorders>
              <w:top w:val="nil"/>
              <w:left w:val="nil"/>
              <w:bottom w:val="single" w:color="auto" w:sz="4" w:space="0"/>
              <w:right w:val="single" w:color="auto" w:sz="8" w:space="0"/>
            </w:tcBorders>
            <w:shd w:val="clear" w:color="auto" w:fill="auto"/>
            <w:vAlign w:val="top"/>
          </w:tcPr>
          <w:p>
            <w:pPr>
              <w:pStyle w:val="35"/>
              <w:widowControl/>
              <w:rPr>
                <w:rFonts w:hint="default" w:ascii="Times New Roman" w:hAnsi="Times New Roman" w:eastAsia="仿宋" w:cs="宋体"/>
                <w:b w:val="0"/>
                <w:color w:val="000000"/>
                <w:kern w:val="0"/>
                <w:sz w:val="22"/>
                <w:szCs w:val="22"/>
              </w:rPr>
            </w:pPr>
            <w:r>
              <w:rPr>
                <w:rFonts w:hint="eastAsia" w:ascii="Times New Roman" w:hAnsi="Times New Roman" w:eastAsia="仿宋" w:cs="宋体"/>
                <w:b w:val="0"/>
                <w:color w:val="000000"/>
                <w:kern w:val="0"/>
                <w:sz w:val="22"/>
                <w:szCs w:val="22"/>
              </w:rPr>
              <w:t>160.09</w:t>
            </w:r>
          </w:p>
        </w:tc>
        <w:tc>
          <w:tcPr>
            <w:tcW w:w="125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Arial"/>
                <w:b w:val="0"/>
                <w:color w:val="000000"/>
                <w:kern w:val="0"/>
                <w:sz w:val="22"/>
                <w:szCs w:val="22"/>
              </w:rPr>
            </w:pPr>
            <w:r>
              <w:rPr>
                <w:rFonts w:hint="eastAsia" w:ascii="Times New Roman" w:hAnsi="Times New Roman" w:eastAsia="仿宋_GB2312" w:cs="Arial"/>
                <w:b w:val="0"/>
                <w:color w:val="000000"/>
                <w:kern w:val="0"/>
                <w:sz w:val="22"/>
                <w:szCs w:val="22"/>
                <w:lang w:val="en-US" w:eastAsia="zh-CN" w:bidi="ar"/>
              </w:rPr>
              <w:t>3321.13</w:t>
            </w:r>
          </w:p>
        </w:tc>
        <w:tc>
          <w:tcPr>
            <w:tcW w:w="1390" w:type="dxa"/>
            <w:tcBorders>
              <w:top w:val="single" w:color="auto" w:sz="4" w:space="0"/>
              <w:left w:val="nil"/>
              <w:bottom w:val="single" w:color="auto" w:sz="4" w:space="0"/>
              <w:right w:val="nil"/>
            </w:tcBorders>
            <w:shd w:val="clear" w:color="auto" w:fill="auto"/>
            <w:vAlign w:val="top"/>
          </w:tcPr>
          <w:p>
            <w:pPr>
              <w:pStyle w:val="35"/>
              <w:widowControl/>
              <w:rPr>
                <w:rFonts w:hint="default" w:ascii="Times New Roman" w:hAnsi="Times New Roman" w:eastAsia="仿宋" w:cs="宋体"/>
                <w:b w:val="0"/>
                <w:color w:val="000000"/>
                <w:kern w:val="0"/>
                <w:sz w:val="22"/>
                <w:szCs w:val="22"/>
              </w:rPr>
            </w:pPr>
            <w:r>
              <w:rPr>
                <w:rFonts w:hint="eastAsia" w:ascii="Times New Roman" w:hAnsi="Times New Roman" w:eastAsia="仿宋" w:cs="宋体"/>
                <w:b w:val="0"/>
                <w:color w:val="000000"/>
                <w:kern w:val="0"/>
                <w:sz w:val="22"/>
                <w:szCs w:val="22"/>
              </w:rPr>
              <w:t>3321.13</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val="0"/>
                <w:color w:val="000000"/>
                <w:kern w:val="0"/>
                <w:sz w:val="22"/>
                <w:szCs w:val="22"/>
              </w:rPr>
            </w:pPr>
            <w:r>
              <w:rPr>
                <w:rFonts w:hint="eastAsia" w:ascii="Times New Roman" w:hAnsi="Times New Roman" w:eastAsia="仿宋" w:cs="宋体"/>
                <w:b w:val="0"/>
                <w:color w:val="000000"/>
                <w:kern w:val="0"/>
                <w:sz w:val="22"/>
                <w:szCs w:val="22"/>
              </w:rPr>
              <w:t>100</w:t>
            </w:r>
            <w:r>
              <w:rPr>
                <w:rFonts w:hint="default" w:ascii="Times New Roman" w:hAnsi="Times New Roman" w:eastAsia="仿宋" w:cs="宋体"/>
                <w:b w:val="0"/>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eastAsia" w:ascii="Times New Roman" w:hAnsi="Times New Roman" w:eastAsia="仿宋" w:cs="宋体"/>
                <w:color w:val="000000"/>
                <w:kern w:val="0"/>
                <w:sz w:val="22"/>
                <w:szCs w:val="22"/>
              </w:rPr>
              <w:t>年末结转结余</w:t>
            </w:r>
          </w:p>
        </w:tc>
        <w:tc>
          <w:tcPr>
            <w:tcW w:w="1451"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宋体" w:cs="宋体"/>
                <w:b/>
                <w:color w:val="000000"/>
                <w:kern w:val="0"/>
                <w:sz w:val="22"/>
                <w:szCs w:val="22"/>
              </w:rPr>
              <w:t xml:space="preserve"> -   </w:t>
            </w:r>
          </w:p>
        </w:tc>
        <w:tc>
          <w:tcPr>
            <w:tcW w:w="1230"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宋体" w:cs="宋体"/>
                <w:b/>
                <w:color w:val="000000"/>
                <w:kern w:val="0"/>
                <w:sz w:val="22"/>
                <w:szCs w:val="22"/>
              </w:rPr>
              <w:t xml:space="preserve"> -   </w:t>
            </w:r>
          </w:p>
        </w:tc>
        <w:tc>
          <w:tcPr>
            <w:tcW w:w="125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宋体" w:cs="宋体"/>
                <w:b/>
                <w:color w:val="000000"/>
                <w:kern w:val="0"/>
                <w:sz w:val="22"/>
                <w:szCs w:val="22"/>
              </w:rPr>
              <w:t xml:space="preserve"> -   </w:t>
            </w:r>
          </w:p>
        </w:tc>
        <w:tc>
          <w:tcPr>
            <w:tcW w:w="1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Arial"/>
                <w:color w:val="000000"/>
                <w:kern w:val="0"/>
                <w:sz w:val="22"/>
                <w:szCs w:val="22"/>
              </w:rPr>
            </w:pPr>
            <w:r>
              <w:rPr>
                <w:rFonts w:hint="default" w:ascii="Times New Roman" w:hAnsi="Times New Roman" w:eastAsia="宋体" w:cs="Times New Roman"/>
                <w:b/>
                <w:color w:val="000000"/>
                <w:kern w:val="0"/>
                <w:sz w:val="22"/>
                <w:szCs w:val="22"/>
                <w:lang w:val="en-US" w:eastAsia="zh-CN" w:bidi="ar"/>
              </w:rPr>
              <w:t xml:space="preserve"> -   </w:t>
            </w:r>
          </w:p>
        </w:tc>
        <w:tc>
          <w:tcPr>
            <w:tcW w:w="1383" w:type="dxa"/>
            <w:tcBorders>
              <w:top w:val="single" w:color="auto" w:sz="4" w:space="0"/>
              <w:left w:val="nil"/>
              <w:bottom w:val="single" w:color="auto" w:sz="4" w:space="0"/>
              <w:right w:val="single" w:color="auto" w:sz="4" w:space="0"/>
            </w:tcBorders>
            <w:shd w:val="clear" w:color="auto" w:fill="auto"/>
            <w:vAlign w:val="top"/>
          </w:tcPr>
          <w:p>
            <w:pPr>
              <w:pStyle w:val="35"/>
              <w:widowControl/>
              <w:rPr>
                <w:rFonts w:hint="default" w:ascii="Times New Roman" w:hAnsi="Times New Roman" w:eastAsia="仿宋" w:cs="宋体"/>
                <w:b/>
                <w:color w:val="000000"/>
                <w:kern w:val="0"/>
                <w:sz w:val="22"/>
                <w:szCs w:val="22"/>
              </w:rPr>
            </w:pPr>
            <w:r>
              <w:rPr>
                <w:rFonts w:hint="default" w:ascii="Times New Roman" w:hAnsi="Times New Roman" w:eastAsia="宋体" w:cs="宋体"/>
                <w:b/>
                <w:color w:val="000000"/>
                <w:kern w:val="0"/>
                <w:sz w:val="22"/>
                <w:szCs w:val="22"/>
              </w:rPr>
              <w:t xml:space="preserve"> -   </w:t>
            </w:r>
          </w:p>
        </w:tc>
      </w:tr>
    </w:tbl>
    <w:p>
      <w:pPr>
        <w:keepNext w:val="0"/>
        <w:keepLines w:val="0"/>
        <w:pageBreakBefore w:val="0"/>
        <w:widowControl w:val="0"/>
        <w:suppressLineNumbers w:val="0"/>
        <w:kinsoku/>
        <w:wordWrap/>
        <w:overflowPunct/>
        <w:topLinePunct w:val="0"/>
        <w:bidi w:val="0"/>
        <w:adjustRightInd w:val="0"/>
        <w:snapToGrid w:val="0"/>
        <w:spacing w:beforeAutospacing="0" w:afterAutospacing="0" w:line="600" w:lineRule="exact"/>
        <w:ind w:left="0" w:leftChars="0" w:right="0" w:rightChars="0"/>
        <w:jc w:val="left"/>
        <w:textAlignment w:val="auto"/>
        <w:outlineLvl w:val="9"/>
        <w:rPr>
          <w:rFonts w:hint="default" w:ascii="Times New Roman" w:hAnsi="Times New Roman" w:eastAsia="黑体" w:cs="Times New Roman"/>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三、部门整体预算绩效管理情况</w:t>
      </w:r>
    </w:p>
    <w:p>
      <w:pPr>
        <w:keepNext w:val="0"/>
        <w:keepLines w:val="0"/>
        <w:pageBreakBefore w:val="0"/>
        <w:widowControl/>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（一）部门预算项目绩效管理。</w:t>
      </w:r>
    </w:p>
    <w:p>
      <w:pPr>
        <w:keepNext w:val="0"/>
        <w:keepLines w:val="0"/>
        <w:pageBreakBefore w:val="0"/>
        <w:widowControl/>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1.包括部门绩效目标制定。</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2022年遂宁市公安局经济技术开发区分局开展绩效目标管理的项目21个，涉及预算2111.47万元，其中：人员类项目12个，涉及预算1732.82万元；运转类项目9个，涉及预算378.65万元；特定目标类项目0个，涉及预算0万元。人员类项目严格按照“优先保障、严格标准、综合预算”的要求，根据定员情况和国家、省、市确定的工资福利、社会保障等相关政策，通过部门综合预算统筹安排，做到应编尽编。运转类项目严格按照市财政局要求，将公用经费分类进行调整，科学合理进行编制。所有项目编制后，均报送市公安局进行审核后，由市财政局进行终审批复，并严格按照市财政局要求，进行公开，接受监督。</w:t>
      </w:r>
    </w:p>
    <w:p>
      <w:pPr>
        <w:keepNext w:val="0"/>
        <w:keepLines w:val="0"/>
        <w:pageBreakBefore w:val="0"/>
        <w:widowControl/>
        <w:numPr>
          <w:ilvl w:val="0"/>
          <w:numId w:val="7"/>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目标实现。</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我单位2022年人员类项目预算资金1732.84万元，支出1697.45万元，完成率97.96%；运转类项目预算资金 378.56万元，支出363.65万元，完成率96.06%。总体实现了全年既定目标。</w:t>
      </w:r>
    </w:p>
    <w:tbl>
      <w:tblPr>
        <w:tblStyle w:val="17"/>
        <w:tblW w:w="9400" w:type="dxa"/>
        <w:tblInd w:w="135" w:type="dxa"/>
        <w:shd w:val="clear" w:color="auto" w:fill="auto"/>
        <w:tblLayout w:type="fixed"/>
        <w:tblCellMar>
          <w:top w:w="0" w:type="dxa"/>
          <w:left w:w="108" w:type="dxa"/>
          <w:bottom w:w="0" w:type="dxa"/>
          <w:right w:w="108" w:type="dxa"/>
        </w:tblCellMar>
      </w:tblPr>
      <w:tblGrid>
        <w:gridCol w:w="1069"/>
        <w:gridCol w:w="720"/>
        <w:gridCol w:w="2075"/>
        <w:gridCol w:w="1335"/>
        <w:gridCol w:w="1380"/>
        <w:gridCol w:w="1395"/>
        <w:gridCol w:w="1426"/>
      </w:tblGrid>
      <w:tr>
        <w:tblPrEx>
          <w:shd w:val="clear" w:color="auto" w:fill="auto"/>
          <w:tblLayout w:type="fixed"/>
          <w:tblCellMar>
            <w:top w:w="0" w:type="dxa"/>
            <w:left w:w="108" w:type="dxa"/>
            <w:bottom w:w="0" w:type="dxa"/>
            <w:right w:w="108" w:type="dxa"/>
          </w:tblCellMar>
        </w:tblPrEx>
        <w:trPr>
          <w:trHeight w:val="2373"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机关及下级单位</w:t>
            </w:r>
          </w:p>
        </w:tc>
        <w:tc>
          <w:tcPr>
            <w:tcW w:w="7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项目</w:t>
            </w:r>
          </w:p>
        </w:tc>
        <w:tc>
          <w:tcPr>
            <w:tcW w:w="20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绩效目标</w:t>
            </w:r>
          </w:p>
        </w:tc>
        <w:tc>
          <w:tcPr>
            <w:tcW w:w="13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数量指标</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目标值</w:t>
            </w:r>
          </w:p>
        </w:tc>
        <w:tc>
          <w:tcPr>
            <w:tcW w:w="1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完成值</w:t>
            </w:r>
          </w:p>
        </w:tc>
        <w:tc>
          <w:tcPr>
            <w:tcW w:w="14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完成率</w:t>
            </w:r>
          </w:p>
        </w:tc>
      </w:tr>
      <w:tr>
        <w:tblPrEx>
          <w:tblLayout w:type="fixed"/>
          <w:tblCellMar>
            <w:top w:w="0" w:type="dxa"/>
            <w:left w:w="108" w:type="dxa"/>
            <w:bottom w:w="0" w:type="dxa"/>
            <w:right w:w="108" w:type="dxa"/>
          </w:tblCellMar>
        </w:tblPrEx>
        <w:trPr>
          <w:trHeight w:val="4145" w:hRule="atLeast"/>
        </w:trPr>
        <w:tc>
          <w:tcPr>
            <w:tcW w:w="106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经开分局</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人员类</w:t>
            </w:r>
          </w:p>
        </w:tc>
        <w:tc>
          <w:tcPr>
            <w:tcW w:w="20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严格执行相关政策，保障工资及时发放，足额发放，预算编制科学合理，减少结余资金</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足额保障率等于100%</w:t>
            </w:r>
          </w:p>
        </w:tc>
        <w:tc>
          <w:tcPr>
            <w:tcW w:w="1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1732.84</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xml:space="preserve"> 1697.45</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97.96%</w:t>
            </w:r>
          </w:p>
        </w:tc>
      </w:tr>
      <w:tr>
        <w:tblPrEx>
          <w:tblLayout w:type="fixed"/>
          <w:tblCellMar>
            <w:top w:w="0" w:type="dxa"/>
            <w:left w:w="108" w:type="dxa"/>
            <w:bottom w:w="0" w:type="dxa"/>
            <w:right w:w="108" w:type="dxa"/>
          </w:tblCellMar>
        </w:tblPrEx>
        <w:trPr>
          <w:trHeight w:val="3563" w:hRule="atLeast"/>
        </w:trPr>
        <w:tc>
          <w:tcPr>
            <w:tcW w:w="106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经开分局</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运转类</w:t>
            </w:r>
          </w:p>
        </w:tc>
        <w:tc>
          <w:tcPr>
            <w:tcW w:w="20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保障单位日常运转，提高预算编制质量，严格执行预算</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科目调整次数不大于10次</w:t>
            </w:r>
          </w:p>
        </w:tc>
        <w:tc>
          <w:tcPr>
            <w:tcW w:w="1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xml:space="preserve"> 378.56</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 xml:space="preserve"> 363.65</w:t>
            </w:r>
          </w:p>
        </w:tc>
        <w:tc>
          <w:tcPr>
            <w:tcW w:w="14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96.06%</w:t>
            </w:r>
          </w:p>
        </w:tc>
      </w:tr>
    </w:tbl>
    <w:p>
      <w:pPr>
        <w:keepNext w:val="0"/>
        <w:keepLines w:val="0"/>
        <w:pageBreakBefore w:val="0"/>
        <w:widowControl/>
        <w:numPr>
          <w:ilvl w:val="0"/>
          <w:numId w:val="7"/>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lang w:val="en-US" w:eastAsia="zh-CN" w:bidi="ar"/>
        </w:rPr>
        <w:t>支出控制。</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支出控制较到位。遂宁市公安局经济技术开发区分局2022年度办公费与印刷费、电费、水费的实际支出均未超过年初预算，整体支出未超出年初预算，无偏差。</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 w:hAnsi="仿宋" w:eastAsia="仿宋" w:cs="仿宋"/>
          <w:color w:val="auto"/>
          <w:sz w:val="32"/>
          <w:szCs w:val="32"/>
          <w:highlight w:val="none"/>
        </w:rPr>
        <w:t>根据单位实际情况，对单位预算进行动态调整，严格按照预算追加流程求，遂宁市公安局经济技术开发区分局2022年部门对预算资金及时清收，绩效运行进度较可控。</w:t>
      </w:r>
    </w:p>
    <w:p>
      <w:pPr>
        <w:pStyle w:val="36"/>
        <w:widowControl/>
        <w:ind w:left="0" w:firstLine="632"/>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w:t>
      </w:r>
    </w:p>
    <w:p>
      <w:pPr>
        <w:pStyle w:val="36"/>
        <w:widowControl/>
        <w:ind w:left="0" w:firstLine="632"/>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00"/>
        <w:gridCol w:w="2015"/>
        <w:gridCol w:w="1229"/>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60" w:hRule="atLeast"/>
        </w:trPr>
        <w:tc>
          <w:tcPr>
            <w:tcW w:w="9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“办公费、印刷费、水费、电费、物业管理费、维修（护）费、培训费、会议费”8个科目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8个科目</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年初预算数</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决算数</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偏差程度</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办公费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43</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43</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印刷费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12.3</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12.3</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水费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19</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19</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电费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52.86</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52.86</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物业管理费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13.88</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13.51</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3%</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压缩绿植租赁支出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维修（护）费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52.2</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52.15</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厉行节约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培训费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16.93</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4.73</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72%</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疫情原因，未按期开展培训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会议费</w:t>
            </w:r>
          </w:p>
        </w:tc>
        <w:tc>
          <w:tcPr>
            <w:tcW w:w="2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2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
              </w:rPr>
              <w:t>0</w:t>
            </w:r>
          </w:p>
        </w:tc>
        <w:tc>
          <w:tcPr>
            <w:tcW w:w="16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32"/>
                <w:szCs w:val="32"/>
              </w:rPr>
            </w:pPr>
          </w:p>
        </w:tc>
      </w:tr>
    </w:tbl>
    <w:p>
      <w:pPr>
        <w:keepNext w:val="0"/>
        <w:keepLines w:val="0"/>
        <w:pageBreakBefore w:val="0"/>
        <w:widowControl/>
        <w:numPr>
          <w:ilvl w:val="0"/>
          <w:numId w:val="7"/>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kern w:val="2"/>
          <w:sz w:val="32"/>
          <w:szCs w:val="32"/>
        </w:rPr>
      </w:pPr>
      <w:r>
        <w:rPr>
          <w:rFonts w:hint="eastAsia" w:ascii="仿宋" w:hAnsi="仿宋" w:eastAsia="仿宋" w:cs="仿宋"/>
          <w:color w:val="000000"/>
          <w:kern w:val="0"/>
          <w:sz w:val="32"/>
          <w:szCs w:val="32"/>
          <w:shd w:val="clear" w:fill="FFFFFF"/>
          <w:lang w:val="en-US" w:eastAsia="zh-CN" w:bidi="ar"/>
        </w:rPr>
        <w:t>及时处置。</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我单位开展绩效运行监控共3次，上半年监控以提示警示为主、三季度监控以纠偏纠错调整为主、四季度监控以完成支出预算，实现既定绩效目标为主。</w:t>
      </w:r>
    </w:p>
    <w:p>
      <w:pPr>
        <w:pStyle w:val="2"/>
        <w:keepNext w:val="0"/>
        <w:keepLines w:val="0"/>
        <w:pageBreakBefore w:val="0"/>
        <w:widowControl/>
        <w:kinsoku/>
        <w:wordWrap/>
        <w:overflowPunct/>
        <w:topLinePunct w:val="0"/>
        <w:bidi w:val="0"/>
        <w:snapToGrid/>
        <w:spacing w:beforeAutospacing="0" w:afterAutospacing="0" w:line="600" w:lineRule="exact"/>
        <w:ind w:left="514" w:leftChars="245" w:right="0" w:rightChars="0" w:firstLine="92" w:firstLineChars="29"/>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rPr>
        <w:t>5.执行进度。</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单位2022年预算执行数为3321.13万元，进度在6月实际支付1525.54万元实际支出进度为42.1%；在9月实际支付2571.59万元实际支出进度为71%；在11月实际支付3155.92万元实际支出进度为87.2%。我单位在执行各项资金预算中，严格按照中央、省、市各级财务规定，管好、用好每笔资金。在中央和省级政法转移支付项目资金使用过程中，严格按照项目资金管理办法的规定做好项目实施和监管，切实做到专款专用，从而发挥好项目资金对项目实施的促进作用；对涉及专项资金支出额度较大时，实行“三重一大”制度，杜绝违规违法事件的发生。</w:t>
      </w:r>
    </w:p>
    <w:p>
      <w:pPr>
        <w:keepNext w:val="0"/>
        <w:keepLines w:val="0"/>
        <w:pageBreakBefore w:val="0"/>
        <w:widowControl/>
        <w:numPr>
          <w:ilvl w:val="0"/>
          <w:numId w:val="8"/>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预算完成情况。</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我单位2022年预算支出总额为3321.13万元，部门支出预算执行总额为3321.13万元，部门总体完成率为100%。</w:t>
      </w:r>
    </w:p>
    <w:p>
      <w:pPr>
        <w:keepNext w:val="0"/>
        <w:keepLines w:val="0"/>
        <w:pageBreakBefore w:val="0"/>
        <w:widowControl/>
        <w:numPr>
          <w:ilvl w:val="0"/>
          <w:numId w:val="8"/>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资金结余率。</w:t>
      </w:r>
    </w:p>
    <w:p>
      <w:pPr>
        <w:keepNext w:val="0"/>
        <w:keepLines w:val="0"/>
        <w:pageBreakBefore w:val="0"/>
        <w:widowControl/>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kern w:val="2"/>
          <w:sz w:val="32"/>
          <w:szCs w:val="32"/>
        </w:rPr>
      </w:pPr>
      <w:r>
        <w:rPr>
          <w:rFonts w:hint="eastAsia" w:ascii="仿宋" w:hAnsi="仿宋" w:eastAsia="仿宋" w:cs="仿宋"/>
          <w:color w:val="auto"/>
          <w:sz w:val="32"/>
          <w:szCs w:val="32"/>
          <w:highlight w:val="none"/>
          <w:lang w:val="en-US" w:eastAsia="zh-CN"/>
        </w:rPr>
        <w:t>我单位2022年财政预算资金结余0万元。</w:t>
      </w:r>
    </w:p>
    <w:p>
      <w:pPr>
        <w:keepNext w:val="0"/>
        <w:keepLines w:val="0"/>
        <w:pageBreakBefore w:val="0"/>
        <w:widowControl/>
        <w:numPr>
          <w:ilvl w:val="0"/>
          <w:numId w:val="8"/>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违规记录。</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依据2022年度审计监督、财政检查结果，我单位未出现部门预算管理方面违纪违规问题。</w:t>
      </w:r>
    </w:p>
    <w:p>
      <w:pPr>
        <w:keepNext w:val="0"/>
        <w:keepLines w:val="0"/>
        <w:pageBreakBefore w:val="0"/>
        <w:widowControl/>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（二）结果应用情况。</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1.内部应用。</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auto"/>
          <w:sz w:val="32"/>
          <w:szCs w:val="32"/>
          <w:highlight w:val="none"/>
          <w:lang w:val="en-US" w:eastAsia="zh-CN"/>
        </w:rPr>
        <w:t>我单位均在市财政局相关工作通知规定时间内向财政部门反馈应用绩效结果报告。</w:t>
      </w:r>
    </w:p>
    <w:p>
      <w:pPr>
        <w:keepNext w:val="0"/>
        <w:keepLines w:val="0"/>
        <w:pageBreakBefore w:val="0"/>
        <w:widowControl w:val="0"/>
        <w:numPr>
          <w:ilvl w:val="0"/>
          <w:numId w:val="9"/>
        </w:numPr>
        <w:suppressLineNumbers w:val="0"/>
        <w:kinsoku/>
        <w:wordWrap/>
        <w:overflowPunct/>
        <w:topLinePunct w:val="0"/>
        <w:bidi w:val="0"/>
        <w:adjustRightInd w:val="0"/>
        <w:snapToGrid w:val="0"/>
        <w:spacing w:beforeAutospacing="0" w:afterAutospacing="0" w:line="60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自评公开。</w:t>
      </w:r>
    </w:p>
    <w:p>
      <w:pPr>
        <w:keepNext w:val="0"/>
        <w:keepLines w:val="0"/>
        <w:pageBreakBefore w:val="0"/>
        <w:kinsoku/>
        <w:wordWrap/>
        <w:overflowPunct/>
        <w:topLinePunct w:val="0"/>
        <w:autoSpaceDE w:val="0"/>
        <w:autoSpaceDN w:val="0"/>
        <w:bidi w:val="0"/>
        <w:adjustRightInd w:val="0"/>
        <w:spacing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我单位的部门绩效目标是按要求随同预算向社会公开。我单位的部门整体绩效自评情况是按要求随同预算向社会公开。</w:t>
      </w:r>
    </w:p>
    <w:p>
      <w:pPr>
        <w:pStyle w:val="36"/>
        <w:widowControl/>
        <w:ind w:left="0" w:firstLine="634"/>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kern w:val="0"/>
          <w:sz w:val="32"/>
          <w:szCs w:val="32"/>
        </w:rPr>
        <w:t>信息公开及时。</w:t>
      </w:r>
      <w:r>
        <w:rPr>
          <w:rFonts w:hint="eastAsia" w:ascii="仿宋" w:hAnsi="仿宋" w:eastAsia="仿宋" w:cs="仿宋"/>
          <w:color w:val="auto"/>
          <w:kern w:val="2"/>
          <w:sz w:val="32"/>
          <w:szCs w:val="32"/>
          <w:highlight w:val="none"/>
          <w:lang w:val="en-US" w:eastAsia="zh-CN" w:bidi="ar-SA"/>
        </w:rPr>
        <w:t>我单位严格按照要求在市财政部门批复二十日后，根据市财政要求按时在遂宁市公安局信息公开网上公示本绩效目标情况。同时部门整体支出绩效自评报告及其他按要求应公开的绩效信息均已信息公开。</w:t>
      </w:r>
    </w:p>
    <w:p>
      <w:pPr>
        <w:keepNext w:val="0"/>
        <w:keepLines w:val="0"/>
        <w:widowControl w:val="0"/>
        <w:numPr>
          <w:ilvl w:val="0"/>
          <w:numId w:val="9"/>
        </w:numPr>
        <w:suppressLineNumbers w:val="0"/>
        <w:adjustRightInd w:val="0"/>
        <w:snapToGrid w:val="0"/>
        <w:spacing w:before="0" w:beforeAutospacing="0" w:after="0" w:afterAutospacing="0" w:line="540" w:lineRule="exact"/>
        <w:ind w:left="0" w:right="0" w:firstLine="640" w:firstLineChars="200"/>
        <w:jc w:val="left"/>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问题整改。</w:t>
      </w:r>
    </w:p>
    <w:p>
      <w:pPr>
        <w:pStyle w:val="36"/>
        <w:keepNext w:val="0"/>
        <w:keepLines w:val="0"/>
        <w:widowControl w:val="0"/>
        <w:suppressLineNumbers w:val="0"/>
        <w:autoSpaceDE w:val="0"/>
        <w:autoSpaceDN/>
        <w:spacing w:line="600" w:lineRule="exact"/>
        <w:ind w:left="0" w:leftChars="0" w:right="0" w:rightChars="0" w:firstLine="643"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kern w:val="0"/>
          <w:sz w:val="32"/>
          <w:szCs w:val="32"/>
        </w:rPr>
        <w:t>及时整改。</w:t>
      </w:r>
      <w:r>
        <w:rPr>
          <w:rFonts w:hint="eastAsia" w:ascii="仿宋" w:hAnsi="仿宋" w:eastAsia="仿宋" w:cs="仿宋"/>
          <w:color w:val="auto"/>
          <w:kern w:val="2"/>
          <w:sz w:val="32"/>
          <w:szCs w:val="32"/>
          <w:highlight w:val="none"/>
          <w:lang w:val="en-US" w:eastAsia="zh-CN" w:bidi="ar-SA"/>
        </w:rPr>
        <w:t>根据市财政局要求，遂宁市公安局经济技术开发区分局2022年度财政预算绩效管理查出的问题进行的及时整改。我单位根据绩效管理结果，对照检查，将发现的问题一一进行整改，同时完善分局的内控制度以及财务管理的制度，实现逐年规范管理的目标。</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600" w:lineRule="exact"/>
        <w:ind w:left="0" w:leftChars="0" w:right="0" w:rightChars="0" w:firstLine="640" w:firstLineChars="200"/>
        <w:contextualSpacing/>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kern w:val="0"/>
          <w:sz w:val="32"/>
          <w:szCs w:val="32"/>
          <w:lang w:val="en-US" w:eastAsia="zh-CN" w:bidi="ar"/>
        </w:rPr>
        <w:t>4.</w:t>
      </w:r>
      <w:r>
        <w:rPr>
          <w:rFonts w:hint="eastAsia" w:ascii="仿宋" w:hAnsi="仿宋" w:eastAsia="仿宋" w:cs="仿宋"/>
          <w:color w:val="auto"/>
          <w:sz w:val="32"/>
          <w:szCs w:val="32"/>
          <w:highlight w:val="none"/>
          <w:lang w:val="en-US" w:eastAsia="zh-CN"/>
        </w:rPr>
        <w:t>应用反馈。我单位均在市财政局相关工作通知规定时间内向财政部门反馈应用绩效结果报告。</w:t>
      </w:r>
    </w:p>
    <w:p>
      <w:pPr>
        <w:keepNext w:val="0"/>
        <w:keepLines w:val="0"/>
        <w:pageBreakBefore w:val="0"/>
        <w:widowControl w:val="0"/>
        <w:suppressLineNumbers w:val="0"/>
        <w:kinsoku/>
        <w:wordWrap/>
        <w:overflowPunct/>
        <w:topLinePunct w:val="0"/>
        <w:bidi w:val="0"/>
        <w:adjustRightInd w:val="0"/>
        <w:snapToGrid w:val="0"/>
        <w:spacing w:beforeAutospacing="0" w:afterAutospacing="0" w:line="600" w:lineRule="exact"/>
        <w:ind w:left="0" w:right="0" w:rightChars="0"/>
        <w:jc w:val="left"/>
        <w:textAlignment w:val="auto"/>
        <w:outlineLvl w:val="9"/>
        <w:rPr>
          <w:rFonts w:hint="default" w:ascii="Times New Roman" w:hAnsi="Times New Roman" w:eastAsia="仿宋_GB2312" w:cs="Times New Roman"/>
          <w:kern w:val="2"/>
          <w:sz w:val="32"/>
          <w:szCs w:val="32"/>
        </w:rPr>
      </w:pPr>
      <w:r>
        <w:rPr>
          <w:rFonts w:hint="eastAsia" w:ascii="黑体" w:hAnsi="宋体" w:eastAsia="黑体" w:cs="黑体"/>
          <w:color w:val="000000"/>
          <w:kern w:val="0"/>
          <w:sz w:val="32"/>
          <w:szCs w:val="32"/>
          <w:shd w:val="clear" w:fill="FFFFFF"/>
          <w:lang w:val="en-US" w:eastAsia="zh-CN" w:bidi="ar"/>
        </w:rPr>
        <w:t>四、评价结论及建议</w:t>
      </w:r>
    </w:p>
    <w:p>
      <w:pPr>
        <w:keepNext w:val="0"/>
        <w:keepLines w:val="0"/>
        <w:pageBreakBefore w:val="0"/>
        <w:widowControl w:val="0"/>
        <w:suppressLineNumbers w:val="0"/>
        <w:kinsoku/>
        <w:wordWrap/>
        <w:overflowPunct/>
        <w:topLinePunct w:val="0"/>
        <w:bidi w:val="0"/>
        <w:adjustRightInd w:val="0"/>
        <w:snapToGrid w:val="0"/>
        <w:spacing w:beforeAutospacing="0" w:afterAutospacing="0" w:line="600" w:lineRule="exact"/>
        <w:ind w:left="0" w:right="0" w:rightChars="0" w:firstLine="720"/>
        <w:jc w:val="left"/>
        <w:textAlignment w:val="auto"/>
        <w:outlineLvl w:val="9"/>
        <w:rPr>
          <w:rFonts w:hint="eastAsia" w:ascii="仿宋" w:hAnsi="仿宋" w:eastAsia="仿宋" w:cs="仿宋"/>
          <w:color w:val="000000"/>
          <w:kern w:val="0"/>
          <w:sz w:val="32"/>
          <w:szCs w:val="32"/>
          <w:shd w:val="clear" w:fill="FFFFFF"/>
        </w:rPr>
      </w:pPr>
      <w:bookmarkStart w:id="66" w:name="_GoBack"/>
      <w:r>
        <w:rPr>
          <w:rFonts w:hint="eastAsia" w:ascii="仿宋" w:hAnsi="仿宋" w:eastAsia="仿宋" w:cs="仿宋"/>
          <w:color w:val="000000"/>
          <w:kern w:val="0"/>
          <w:sz w:val="32"/>
          <w:szCs w:val="32"/>
          <w:shd w:val="clear" w:fill="FFFFFF"/>
          <w:lang w:val="en-US" w:eastAsia="zh-CN" w:bidi="ar"/>
        </w:rPr>
        <w:t>（一）评价结论。</w:t>
      </w:r>
    </w:p>
    <w:p>
      <w:pPr>
        <w:pStyle w:val="2"/>
        <w:keepNext w:val="0"/>
        <w:keepLines w:val="0"/>
        <w:pageBreakBefore w:val="0"/>
        <w:widowControl/>
        <w:kinsoku/>
        <w:wordWrap/>
        <w:overflowPunct/>
        <w:topLinePunct w:val="0"/>
        <w:bidi w:val="0"/>
        <w:spacing w:beforeAutospacing="0" w:afterAutospacing="0" w:line="600" w:lineRule="exact"/>
        <w:ind w:leftChars="0" w:right="0" w:rightChars="0"/>
        <w:textAlignment w:val="auto"/>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000000"/>
          <w:kern w:val="0"/>
          <w:sz w:val="32"/>
          <w:szCs w:val="32"/>
          <w:shd w:val="clear" w:fill="FFFFFF"/>
        </w:rPr>
        <w:t xml:space="preserve"> </w:t>
      </w:r>
      <w:r>
        <w:rPr>
          <w:rFonts w:hint="eastAsia" w:ascii="仿宋" w:hAnsi="仿宋" w:eastAsia="仿宋" w:cs="仿宋"/>
          <w:color w:val="auto"/>
          <w:kern w:val="2"/>
          <w:sz w:val="32"/>
          <w:szCs w:val="32"/>
          <w:highlight w:val="none"/>
          <w:lang w:val="en-US" w:eastAsia="zh-CN" w:bidi="ar-SA"/>
        </w:rPr>
        <w:t xml:space="preserve">   我单位自评得分90分。</w:t>
      </w:r>
    </w:p>
    <w:p>
      <w:pPr>
        <w:keepNext w:val="0"/>
        <w:keepLines w:val="0"/>
        <w:pageBreakBefore w:val="0"/>
        <w:widowControl w:val="0"/>
        <w:suppressLineNumbers w:val="0"/>
        <w:kinsoku/>
        <w:wordWrap/>
        <w:overflowPunct/>
        <w:topLinePunct w:val="0"/>
        <w:bidi w:val="0"/>
        <w:adjustRightInd w:val="0"/>
        <w:snapToGrid w:val="0"/>
        <w:spacing w:beforeAutospacing="0" w:afterAutospacing="0" w:line="600" w:lineRule="exact"/>
        <w:ind w:left="0" w:right="0" w:rightChars="0" w:firstLine="720"/>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（二）存在问题。</w:t>
      </w:r>
    </w:p>
    <w:p>
      <w:pPr>
        <w:keepNext w:val="0"/>
        <w:keepLines w:val="0"/>
        <w:pageBreakBefore w:val="0"/>
        <w:kinsoku/>
        <w:wordWrap/>
        <w:overflowPunct/>
        <w:topLinePunct w:val="0"/>
        <w:autoSpaceDE w:val="0"/>
        <w:autoSpaceDN w:val="0"/>
        <w:bidi w:val="0"/>
        <w:adjustRightInd w:val="0"/>
        <w:spacing w:beforeAutospacing="0" w:afterAutospacing="0" w:line="600" w:lineRule="exact"/>
        <w:ind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会计核算中科目核有待完整，由于公安工作的特殊性，如特情耳目费、侦查破案费等特殊科目无法列入财政统一的核算科目。</w:t>
      </w:r>
    </w:p>
    <w:p>
      <w:pPr>
        <w:keepNext w:val="0"/>
        <w:keepLines w:val="0"/>
        <w:pageBreakBefore w:val="0"/>
        <w:widowControl w:val="0"/>
        <w:suppressLineNumbers w:val="0"/>
        <w:kinsoku/>
        <w:wordWrap/>
        <w:overflowPunct/>
        <w:topLinePunct w:val="0"/>
        <w:bidi w:val="0"/>
        <w:adjustRightInd w:val="0"/>
        <w:snapToGrid w:val="0"/>
        <w:spacing w:beforeAutospacing="0" w:afterAutospacing="0" w:line="600" w:lineRule="exact"/>
        <w:ind w:left="0" w:right="0" w:rightChars="0" w:firstLine="800" w:firstLineChars="250"/>
        <w:jc w:val="left"/>
        <w:textAlignment w:val="auto"/>
        <w:outlineLvl w:val="9"/>
        <w:rPr>
          <w:rFonts w:hint="eastAsia" w:ascii="仿宋" w:hAnsi="仿宋" w:eastAsia="仿宋" w:cs="仿宋"/>
          <w:color w:val="000000"/>
          <w:kern w:val="0"/>
          <w:sz w:val="32"/>
          <w:szCs w:val="32"/>
          <w:shd w:val="clear" w:fill="FFFFFF"/>
        </w:rPr>
      </w:pPr>
      <w:r>
        <w:rPr>
          <w:rFonts w:hint="eastAsia" w:ascii="仿宋" w:hAnsi="仿宋" w:eastAsia="仿宋" w:cs="仿宋"/>
          <w:color w:val="000000"/>
          <w:kern w:val="0"/>
          <w:sz w:val="32"/>
          <w:szCs w:val="32"/>
          <w:shd w:val="clear" w:fill="FFFFFF"/>
          <w:lang w:val="en-US" w:eastAsia="zh-CN" w:bidi="ar"/>
        </w:rPr>
        <w:t>（三）改进建议。</w:t>
      </w:r>
    </w:p>
    <w:p>
      <w:pPr>
        <w:keepNext w:val="0"/>
        <w:keepLines w:val="0"/>
        <w:pageBreakBefore w:val="0"/>
        <w:kinsoku/>
        <w:wordWrap/>
        <w:overflowPunct/>
        <w:topLinePunct w:val="0"/>
        <w:autoSpaceDE w:val="0"/>
        <w:autoSpaceDN w:val="0"/>
        <w:bidi w:val="0"/>
        <w:adjustRightInd w:val="0"/>
        <w:spacing w:beforeAutospacing="0" w:afterAutospacing="0" w:line="600" w:lineRule="exact"/>
        <w:ind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针对上述存在的问题及整体支出管理工作的需要，拟实施的改进措施如下：</w:t>
      </w:r>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b w:val="0"/>
          <w:color w:val="222222"/>
          <w:kern w:val="0"/>
          <w:sz w:val="32"/>
          <w:szCs w:val="32"/>
          <w:shd w:val="clear" w:fill="FFFFFF"/>
          <w:lang w:val="en-US" w:eastAsia="zh-CN" w:bidi="ar"/>
        </w:rPr>
        <w:t>1</w:t>
      </w:r>
      <w:r>
        <w:rPr>
          <w:rFonts w:hint="eastAsia" w:ascii="仿宋" w:hAnsi="仿宋" w:eastAsia="仿宋" w:cs="仿宋"/>
          <w:color w:val="auto"/>
          <w:sz w:val="32"/>
          <w:szCs w:val="32"/>
          <w:highlight w:val="none"/>
          <w:lang w:val="en-US" w:eastAsia="zh-CN"/>
        </w:rPr>
        <w:t>. 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 加强财务管理，严格财务审核。在费用报账支付时，按照预算规定的费用项目和用途进行资金使用审核、列报支付、财务核算，杜绝超标超支现象的发生。</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持续抓好“三公”经费控制管理。严格控制“三公”经费的规模和比例，把关“三公”经费支出的审核、审批，杜绝挪用和挤占其他预算资金行为；进一步细化“三公”经费的管理，合理压缩“三公”经费支出。</w:t>
      </w:r>
      <w:bookmarkEnd w:id="66"/>
    </w:p>
    <w:p>
      <w:pPr>
        <w:pStyle w:val="2"/>
        <w:numPr>
          <w:ilvl w:val="0"/>
          <w:numId w:val="0"/>
        </w:numPr>
        <w:ind w:leftChars="0"/>
      </w:pPr>
    </w:p>
    <w:p>
      <w:pPr>
        <w:pStyle w:val="2"/>
        <w:numPr>
          <w:ilvl w:val="0"/>
          <w:numId w:val="0"/>
        </w:numPr>
        <w:ind w:leftChars="0"/>
      </w:pPr>
    </w:p>
    <w:p>
      <w:pPr>
        <w:pStyle w:val="2"/>
        <w:numPr>
          <w:ilvl w:val="0"/>
          <w:numId w:val="0"/>
        </w:numPr>
        <w:ind w:leftChars="0"/>
      </w:pPr>
    </w:p>
    <w:p>
      <w:pPr>
        <w:pStyle w:val="2"/>
        <w:numPr>
          <w:ilvl w:val="0"/>
          <w:numId w:val="0"/>
        </w:numPr>
        <w:ind w:leftChars="0"/>
      </w:pPr>
    </w:p>
    <w:p>
      <w:pPr>
        <w:pStyle w:val="2"/>
        <w:numPr>
          <w:ilvl w:val="0"/>
          <w:numId w:val="0"/>
        </w:numPr>
        <w:ind w:leftChars="0"/>
      </w:pPr>
    </w:p>
    <w:p>
      <w:pPr>
        <w:spacing w:line="600" w:lineRule="exact"/>
        <w:jc w:val="both"/>
        <w:outlineLvl w:val="0"/>
        <w:rPr>
          <w:rFonts w:hint="eastAsia" w:ascii="黑体" w:hAnsi="黑体" w:eastAsia="黑体"/>
          <w:color w:val="auto"/>
          <w:sz w:val="44"/>
          <w:szCs w:val="44"/>
          <w:highlight w:val="none"/>
        </w:rPr>
      </w:pPr>
      <w:bookmarkStart w:id="53"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w:t>
      </w:r>
      <w:r>
        <w:rPr>
          <w:rStyle w:val="27"/>
          <w:rFonts w:hint="eastAsia" w:ascii="仿宋" w:hAnsi="仿宋" w:eastAsia="仿宋"/>
          <w:b w:val="0"/>
          <w:bCs w:val="0"/>
          <w:color w:val="auto"/>
          <w:highlight w:val="none"/>
          <w:lang w:eastAsia="zh-CN"/>
        </w:rPr>
        <w:t>明细</w:t>
      </w:r>
      <w:r>
        <w:rPr>
          <w:rStyle w:val="27"/>
          <w:rFonts w:hint="eastAsia" w:ascii="仿宋" w:hAnsi="仿宋" w:eastAsia="仿宋"/>
          <w:b w:val="0"/>
          <w:bCs w:val="0"/>
          <w:color w:val="auto"/>
          <w:highlight w:val="none"/>
        </w:rPr>
        <w:t>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p>
    <w:bookmarkEnd w:id="63"/>
    <w:p>
      <w:pPr>
        <w:pStyle w:val="4"/>
        <w:numPr>
          <w:ilvl w:val="0"/>
          <w:numId w:val="10"/>
        </w:numPr>
        <w:rPr>
          <w:rStyle w:val="27"/>
          <w:rFonts w:hint="eastAsia" w:ascii="仿宋" w:hAnsi="仿宋" w:eastAsia="仿宋"/>
          <w:b w:val="0"/>
          <w:bCs w:val="0"/>
          <w:color w:val="auto"/>
          <w:highlight w:val="none"/>
        </w:rPr>
      </w:pPr>
      <w:bookmarkStart w:id="64" w:name="_Toc15396630"/>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p>
    <w:p>
      <w:pPr>
        <w:pStyle w:val="4"/>
        <w:numPr>
          <w:ilvl w:val="0"/>
          <w:numId w:val="10"/>
        </w:numPr>
        <w:rPr>
          <w:rStyle w:val="27"/>
          <w:rFonts w:hint="eastAsia" w:ascii="仿宋" w:hAnsi="仿宋" w:eastAsia="仿宋"/>
          <w:b w:val="0"/>
          <w:bCs w:val="0"/>
          <w:color w:val="auto"/>
          <w:highlight w:val="none"/>
          <w:lang w:eastAsia="zh-CN"/>
        </w:rPr>
      </w:pPr>
      <w:r>
        <w:rPr>
          <w:rStyle w:val="27"/>
          <w:rFonts w:hint="eastAsia" w:ascii="仿宋" w:hAnsi="仿宋" w:eastAsia="仿宋"/>
          <w:b w:val="0"/>
          <w:bCs w:val="0"/>
          <w:color w:val="auto"/>
          <w:highlight w:val="none"/>
          <w:lang w:eastAsia="zh-CN"/>
        </w:rPr>
        <w:t>国有资本经营预算财政拨款支出决算表</w:t>
      </w:r>
      <w:bookmarkEnd w:id="64"/>
      <w:bookmarkStart w:id="65" w:name="_Toc15396631"/>
    </w:p>
    <w:p>
      <w:pPr>
        <w:pStyle w:val="4"/>
        <w:numPr>
          <w:ilvl w:val="0"/>
          <w:numId w:val="0"/>
        </w:numPr>
        <w:rPr>
          <w:rFonts w:hint="eastAsia" w:eastAsia="仿宋"/>
          <w:color w:val="auto"/>
          <w:highlight w:val="none"/>
          <w:lang w:eastAsia="zh-CN"/>
        </w:rPr>
      </w:pPr>
      <w:r>
        <w:rPr>
          <w:rStyle w:val="27"/>
          <w:rFonts w:hint="eastAsia" w:ascii="仿宋" w:hAnsi="仿宋" w:eastAsia="仿宋"/>
          <w:b w:val="0"/>
          <w:bCs w:val="0"/>
          <w:color w:val="auto"/>
          <w:highlight w:val="none"/>
        </w:rPr>
        <w:t>十三、</w:t>
      </w:r>
      <w:bookmarkEnd w:id="65"/>
      <w:r>
        <w:rPr>
          <w:rStyle w:val="27"/>
          <w:rFonts w:hint="eastAsia" w:ascii="仿宋" w:hAnsi="仿宋" w:eastAsia="仿宋"/>
          <w:b w:val="0"/>
          <w:bCs w:val="0"/>
          <w:color w:val="auto"/>
          <w:highlight w:val="none"/>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Franklin Gothic Medium Cond">
    <w:panose1 w:val="020B0606030402020204"/>
    <w:charset w:val="00"/>
    <w:family w:val="swiss"/>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CESI仿宋-GB2312">
    <w:altName w:val="仿宋"/>
    <w:panose1 w:val="00000000000000000000"/>
    <w:charset w:val="86"/>
    <w:family w:val="auto"/>
    <w:pitch w:val="default"/>
    <w:sig w:usb0="00000000" w:usb1="00000000" w:usb2="00000010"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302E2AC"/>
    <w:multiLevelType w:val="singleLevel"/>
    <w:tmpl w:val="6302E2AC"/>
    <w:lvl w:ilvl="0" w:tentative="0">
      <w:start w:val="1"/>
      <w:numFmt w:val="chineseCounting"/>
      <w:suff w:val="nothing"/>
      <w:lvlText w:val="%1、"/>
      <w:lvlJc w:val="left"/>
    </w:lvl>
  </w:abstractNum>
  <w:abstractNum w:abstractNumId="4">
    <w:nsid w:val="64E45BAD"/>
    <w:multiLevelType w:val="multilevel"/>
    <w:tmpl w:val="64E45BAD"/>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4E45BB8"/>
    <w:multiLevelType w:val="multilevel"/>
    <w:tmpl w:val="64E45BB8"/>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4E45BC3"/>
    <w:multiLevelType w:val="multilevel"/>
    <w:tmpl w:val="64E45BC3"/>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4E45BCE"/>
    <w:multiLevelType w:val="multilevel"/>
    <w:tmpl w:val="64E45BCE"/>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64E45BD9"/>
    <w:multiLevelType w:val="multilevel"/>
    <w:tmpl w:val="64E45BD9"/>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64E45EF9"/>
    <w:multiLevelType w:val="singleLevel"/>
    <w:tmpl w:val="64E45EF9"/>
    <w:lvl w:ilvl="0" w:tentative="0">
      <w:start w:val="11"/>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7B9"/>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4CF6"/>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420B"/>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6CF9"/>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A7CB7"/>
    <w:rsid w:val="01DA783A"/>
    <w:rsid w:val="01E41AE6"/>
    <w:rsid w:val="01EB77D0"/>
    <w:rsid w:val="0215623C"/>
    <w:rsid w:val="021E6A8F"/>
    <w:rsid w:val="02B44137"/>
    <w:rsid w:val="0323487B"/>
    <w:rsid w:val="03976B40"/>
    <w:rsid w:val="03A676E4"/>
    <w:rsid w:val="03F91BE1"/>
    <w:rsid w:val="03FB3F80"/>
    <w:rsid w:val="04480F50"/>
    <w:rsid w:val="054A5909"/>
    <w:rsid w:val="05995A4B"/>
    <w:rsid w:val="059D0B2B"/>
    <w:rsid w:val="059D5591"/>
    <w:rsid w:val="069E13D3"/>
    <w:rsid w:val="06AB712D"/>
    <w:rsid w:val="06BF511E"/>
    <w:rsid w:val="06D21C61"/>
    <w:rsid w:val="06D57844"/>
    <w:rsid w:val="071740B4"/>
    <w:rsid w:val="07283DAD"/>
    <w:rsid w:val="073E33FD"/>
    <w:rsid w:val="07AD257F"/>
    <w:rsid w:val="081E6F4E"/>
    <w:rsid w:val="084A5FBA"/>
    <w:rsid w:val="085C65C8"/>
    <w:rsid w:val="08D416DB"/>
    <w:rsid w:val="08F81212"/>
    <w:rsid w:val="091F34A2"/>
    <w:rsid w:val="095626BD"/>
    <w:rsid w:val="096106D7"/>
    <w:rsid w:val="099B7544"/>
    <w:rsid w:val="09A6662F"/>
    <w:rsid w:val="0A2032A3"/>
    <w:rsid w:val="0A215552"/>
    <w:rsid w:val="0A2F573D"/>
    <w:rsid w:val="0A8A475A"/>
    <w:rsid w:val="0AC728FB"/>
    <w:rsid w:val="0B14347D"/>
    <w:rsid w:val="0B187F61"/>
    <w:rsid w:val="0B2773CD"/>
    <w:rsid w:val="0B8A37D8"/>
    <w:rsid w:val="0BDC2217"/>
    <w:rsid w:val="0C293899"/>
    <w:rsid w:val="0CC80806"/>
    <w:rsid w:val="0DAB231C"/>
    <w:rsid w:val="0DB65253"/>
    <w:rsid w:val="0E03598B"/>
    <w:rsid w:val="0E4A7194"/>
    <w:rsid w:val="0F7A203A"/>
    <w:rsid w:val="0FC03F90"/>
    <w:rsid w:val="0FC713D2"/>
    <w:rsid w:val="104277CE"/>
    <w:rsid w:val="10635D1E"/>
    <w:rsid w:val="108E76EC"/>
    <w:rsid w:val="109A7DA7"/>
    <w:rsid w:val="10C055FF"/>
    <w:rsid w:val="10E3437F"/>
    <w:rsid w:val="118107EC"/>
    <w:rsid w:val="11A12D13"/>
    <w:rsid w:val="11DD6519"/>
    <w:rsid w:val="120810BE"/>
    <w:rsid w:val="1214121C"/>
    <w:rsid w:val="123C141A"/>
    <w:rsid w:val="125D3A3A"/>
    <w:rsid w:val="12724790"/>
    <w:rsid w:val="12896F3D"/>
    <w:rsid w:val="12F04A8C"/>
    <w:rsid w:val="132A79E1"/>
    <w:rsid w:val="13540FA1"/>
    <w:rsid w:val="141C0FF1"/>
    <w:rsid w:val="14330A00"/>
    <w:rsid w:val="144C0CF9"/>
    <w:rsid w:val="14525B68"/>
    <w:rsid w:val="14B032AA"/>
    <w:rsid w:val="14E40685"/>
    <w:rsid w:val="14E461CE"/>
    <w:rsid w:val="156B04D7"/>
    <w:rsid w:val="15F61DE0"/>
    <w:rsid w:val="15F96156"/>
    <w:rsid w:val="16737FFE"/>
    <w:rsid w:val="16BB723D"/>
    <w:rsid w:val="173B0C23"/>
    <w:rsid w:val="174B23F9"/>
    <w:rsid w:val="177E40D1"/>
    <w:rsid w:val="17C16B9E"/>
    <w:rsid w:val="18015F3F"/>
    <w:rsid w:val="18283A73"/>
    <w:rsid w:val="18CA78A5"/>
    <w:rsid w:val="196E4CAB"/>
    <w:rsid w:val="199C55AB"/>
    <w:rsid w:val="1A4B50DC"/>
    <w:rsid w:val="1A713B19"/>
    <w:rsid w:val="1ABF45A7"/>
    <w:rsid w:val="1AE4780E"/>
    <w:rsid w:val="1B4309F3"/>
    <w:rsid w:val="1BE8440E"/>
    <w:rsid w:val="1C560AB9"/>
    <w:rsid w:val="1C89607E"/>
    <w:rsid w:val="1CF44BE9"/>
    <w:rsid w:val="1D155CEE"/>
    <w:rsid w:val="1D315D8C"/>
    <w:rsid w:val="1D7342A9"/>
    <w:rsid w:val="1DC100B6"/>
    <w:rsid w:val="1EE53C55"/>
    <w:rsid w:val="1FAF055B"/>
    <w:rsid w:val="1FBD3DAB"/>
    <w:rsid w:val="1FBE1966"/>
    <w:rsid w:val="206413D3"/>
    <w:rsid w:val="20F57F95"/>
    <w:rsid w:val="214D116C"/>
    <w:rsid w:val="21A45C08"/>
    <w:rsid w:val="222D3604"/>
    <w:rsid w:val="224629A2"/>
    <w:rsid w:val="224E20B6"/>
    <w:rsid w:val="23F2203B"/>
    <w:rsid w:val="23F87FE3"/>
    <w:rsid w:val="240371BF"/>
    <w:rsid w:val="240F0743"/>
    <w:rsid w:val="245A0889"/>
    <w:rsid w:val="25C741E6"/>
    <w:rsid w:val="25CD4ABE"/>
    <w:rsid w:val="26445B4C"/>
    <w:rsid w:val="26482ABB"/>
    <w:rsid w:val="26611481"/>
    <w:rsid w:val="26671A05"/>
    <w:rsid w:val="27412E0F"/>
    <w:rsid w:val="277F3C5E"/>
    <w:rsid w:val="27842671"/>
    <w:rsid w:val="27D74BFA"/>
    <w:rsid w:val="27FB24DE"/>
    <w:rsid w:val="289A787D"/>
    <w:rsid w:val="298329BA"/>
    <w:rsid w:val="298E41A3"/>
    <w:rsid w:val="299F2111"/>
    <w:rsid w:val="29C246B6"/>
    <w:rsid w:val="29DC4A5E"/>
    <w:rsid w:val="29FD04D3"/>
    <w:rsid w:val="2A6B3512"/>
    <w:rsid w:val="2ABE7A3E"/>
    <w:rsid w:val="2ABF5366"/>
    <w:rsid w:val="2AF336FC"/>
    <w:rsid w:val="2B2407A6"/>
    <w:rsid w:val="2B673382"/>
    <w:rsid w:val="2CED756D"/>
    <w:rsid w:val="2D2935F6"/>
    <w:rsid w:val="2D871B79"/>
    <w:rsid w:val="2E1E652E"/>
    <w:rsid w:val="2E2912EF"/>
    <w:rsid w:val="2E657A22"/>
    <w:rsid w:val="2EFA178C"/>
    <w:rsid w:val="2F1719A2"/>
    <w:rsid w:val="2FB123CF"/>
    <w:rsid w:val="30B46D73"/>
    <w:rsid w:val="30D25E0B"/>
    <w:rsid w:val="31331FB7"/>
    <w:rsid w:val="319F7F4E"/>
    <w:rsid w:val="31CE4DBC"/>
    <w:rsid w:val="320D028D"/>
    <w:rsid w:val="33500A4A"/>
    <w:rsid w:val="3356445E"/>
    <w:rsid w:val="33594308"/>
    <w:rsid w:val="336D0577"/>
    <w:rsid w:val="337500D1"/>
    <w:rsid w:val="347A3A7B"/>
    <w:rsid w:val="34AD445D"/>
    <w:rsid w:val="34FA1E78"/>
    <w:rsid w:val="35250D91"/>
    <w:rsid w:val="35AE0798"/>
    <w:rsid w:val="35D83AB7"/>
    <w:rsid w:val="368C1CE4"/>
    <w:rsid w:val="36E27BF5"/>
    <w:rsid w:val="37B52B00"/>
    <w:rsid w:val="37B9433E"/>
    <w:rsid w:val="38624BFC"/>
    <w:rsid w:val="39242A76"/>
    <w:rsid w:val="395E0E2C"/>
    <w:rsid w:val="39AE70AB"/>
    <w:rsid w:val="3A433D48"/>
    <w:rsid w:val="3A4C40D1"/>
    <w:rsid w:val="3AF964A1"/>
    <w:rsid w:val="3B393BDA"/>
    <w:rsid w:val="3C0C0783"/>
    <w:rsid w:val="3CF13488"/>
    <w:rsid w:val="3DDC4548"/>
    <w:rsid w:val="3E080D67"/>
    <w:rsid w:val="3E247723"/>
    <w:rsid w:val="3EC23B05"/>
    <w:rsid w:val="3F9F3A96"/>
    <w:rsid w:val="3FAB79EF"/>
    <w:rsid w:val="3FAE7E54"/>
    <w:rsid w:val="3FC01DE9"/>
    <w:rsid w:val="3FD05B50"/>
    <w:rsid w:val="402E62D0"/>
    <w:rsid w:val="410D6968"/>
    <w:rsid w:val="41275B64"/>
    <w:rsid w:val="415A0140"/>
    <w:rsid w:val="41AB6D84"/>
    <w:rsid w:val="425B0375"/>
    <w:rsid w:val="42B73578"/>
    <w:rsid w:val="430155A2"/>
    <w:rsid w:val="444819DD"/>
    <w:rsid w:val="45400BF2"/>
    <w:rsid w:val="466F3FFC"/>
    <w:rsid w:val="468A5753"/>
    <w:rsid w:val="46920E76"/>
    <w:rsid w:val="47331AA1"/>
    <w:rsid w:val="474F58C2"/>
    <w:rsid w:val="47701D69"/>
    <w:rsid w:val="47C83B91"/>
    <w:rsid w:val="48261CD1"/>
    <w:rsid w:val="482973BB"/>
    <w:rsid w:val="482C04AD"/>
    <w:rsid w:val="487D000E"/>
    <w:rsid w:val="493C27E9"/>
    <w:rsid w:val="495E72C7"/>
    <w:rsid w:val="496F39ED"/>
    <w:rsid w:val="49AB2B68"/>
    <w:rsid w:val="49FF41D3"/>
    <w:rsid w:val="4A0D2640"/>
    <w:rsid w:val="4A394962"/>
    <w:rsid w:val="4A4B13F2"/>
    <w:rsid w:val="4A6461B1"/>
    <w:rsid w:val="4A6C01AD"/>
    <w:rsid w:val="4A810556"/>
    <w:rsid w:val="4A8B6CD4"/>
    <w:rsid w:val="4ABD1A54"/>
    <w:rsid w:val="4B2B2DFE"/>
    <w:rsid w:val="4B3E0BCD"/>
    <w:rsid w:val="4B5C4324"/>
    <w:rsid w:val="4BA871EB"/>
    <w:rsid w:val="4BE068DB"/>
    <w:rsid w:val="4BF6002B"/>
    <w:rsid w:val="4C2D7ACE"/>
    <w:rsid w:val="4C2F476C"/>
    <w:rsid w:val="4C495C1C"/>
    <w:rsid w:val="4C7430C6"/>
    <w:rsid w:val="4CA00A0B"/>
    <w:rsid w:val="4CF3141A"/>
    <w:rsid w:val="4D3E1BDE"/>
    <w:rsid w:val="4DDC72AB"/>
    <w:rsid w:val="4ECE2238"/>
    <w:rsid w:val="4F070099"/>
    <w:rsid w:val="4F0F51DF"/>
    <w:rsid w:val="4FD66367"/>
    <w:rsid w:val="4FE92615"/>
    <w:rsid w:val="4FFE2549"/>
    <w:rsid w:val="501212BC"/>
    <w:rsid w:val="50244BE7"/>
    <w:rsid w:val="50513CD5"/>
    <w:rsid w:val="50877934"/>
    <w:rsid w:val="508873B1"/>
    <w:rsid w:val="508C779A"/>
    <w:rsid w:val="50C87EFD"/>
    <w:rsid w:val="51C13544"/>
    <w:rsid w:val="51DB4B86"/>
    <w:rsid w:val="52383414"/>
    <w:rsid w:val="527E761A"/>
    <w:rsid w:val="52986A09"/>
    <w:rsid w:val="530656EA"/>
    <w:rsid w:val="53E40042"/>
    <w:rsid w:val="54823070"/>
    <w:rsid w:val="54D16C1D"/>
    <w:rsid w:val="55333C3E"/>
    <w:rsid w:val="553C6EA3"/>
    <w:rsid w:val="555C73B8"/>
    <w:rsid w:val="55987AB5"/>
    <w:rsid w:val="55A3741D"/>
    <w:rsid w:val="567A0A8C"/>
    <w:rsid w:val="56D20D85"/>
    <w:rsid w:val="570849C8"/>
    <w:rsid w:val="57A3730D"/>
    <w:rsid w:val="57AE140B"/>
    <w:rsid w:val="58A079BA"/>
    <w:rsid w:val="58AA3FEC"/>
    <w:rsid w:val="58DF426C"/>
    <w:rsid w:val="58FC54F9"/>
    <w:rsid w:val="594301DE"/>
    <w:rsid w:val="5973240F"/>
    <w:rsid w:val="599D2950"/>
    <w:rsid w:val="59DE0EEA"/>
    <w:rsid w:val="5A5C4F66"/>
    <w:rsid w:val="5BE2440A"/>
    <w:rsid w:val="5C9709BC"/>
    <w:rsid w:val="5D29423B"/>
    <w:rsid w:val="5D5740EB"/>
    <w:rsid w:val="5D865C58"/>
    <w:rsid w:val="5D925A32"/>
    <w:rsid w:val="5DA77753"/>
    <w:rsid w:val="5E1607BD"/>
    <w:rsid w:val="5E5C4DF3"/>
    <w:rsid w:val="5E5D6F55"/>
    <w:rsid w:val="5E60724E"/>
    <w:rsid w:val="5E8E7841"/>
    <w:rsid w:val="5E9010A7"/>
    <w:rsid w:val="5FD5257C"/>
    <w:rsid w:val="600F2A8C"/>
    <w:rsid w:val="6037212F"/>
    <w:rsid w:val="606520FA"/>
    <w:rsid w:val="60722C2E"/>
    <w:rsid w:val="61500747"/>
    <w:rsid w:val="6169334F"/>
    <w:rsid w:val="61E30A6F"/>
    <w:rsid w:val="6258669A"/>
    <w:rsid w:val="62660781"/>
    <w:rsid w:val="628F03B2"/>
    <w:rsid w:val="629011E4"/>
    <w:rsid w:val="638E384B"/>
    <w:rsid w:val="64327F6C"/>
    <w:rsid w:val="64594225"/>
    <w:rsid w:val="64CA39A1"/>
    <w:rsid w:val="64D91580"/>
    <w:rsid w:val="64EB7F23"/>
    <w:rsid w:val="654337D3"/>
    <w:rsid w:val="6545080D"/>
    <w:rsid w:val="65BD28DE"/>
    <w:rsid w:val="65DD216A"/>
    <w:rsid w:val="66043DE3"/>
    <w:rsid w:val="660F0D2E"/>
    <w:rsid w:val="66691C38"/>
    <w:rsid w:val="66CE053D"/>
    <w:rsid w:val="679745BF"/>
    <w:rsid w:val="68187785"/>
    <w:rsid w:val="683575BC"/>
    <w:rsid w:val="685225E8"/>
    <w:rsid w:val="69017212"/>
    <w:rsid w:val="69CD66CC"/>
    <w:rsid w:val="6AAD0122"/>
    <w:rsid w:val="6B440A26"/>
    <w:rsid w:val="6B4577B6"/>
    <w:rsid w:val="6B975BB8"/>
    <w:rsid w:val="6BAB6589"/>
    <w:rsid w:val="6C4A05C8"/>
    <w:rsid w:val="6CD35983"/>
    <w:rsid w:val="6D177E03"/>
    <w:rsid w:val="6D8F01DD"/>
    <w:rsid w:val="6DC27ED3"/>
    <w:rsid w:val="6DD749FA"/>
    <w:rsid w:val="6F5B5F45"/>
    <w:rsid w:val="6F604E41"/>
    <w:rsid w:val="70651E79"/>
    <w:rsid w:val="70A00880"/>
    <w:rsid w:val="70AF1D04"/>
    <w:rsid w:val="70F8424D"/>
    <w:rsid w:val="712E37AE"/>
    <w:rsid w:val="71655A7A"/>
    <w:rsid w:val="71F46E20"/>
    <w:rsid w:val="72227965"/>
    <w:rsid w:val="72734D90"/>
    <w:rsid w:val="72E22C22"/>
    <w:rsid w:val="737E5F8C"/>
    <w:rsid w:val="73F426A4"/>
    <w:rsid w:val="740226B5"/>
    <w:rsid w:val="742404C3"/>
    <w:rsid w:val="74C8583F"/>
    <w:rsid w:val="74ED41DA"/>
    <w:rsid w:val="754A1E5F"/>
    <w:rsid w:val="77633123"/>
    <w:rsid w:val="77700D26"/>
    <w:rsid w:val="7818338B"/>
    <w:rsid w:val="78301CCA"/>
    <w:rsid w:val="78CF5BFC"/>
    <w:rsid w:val="79042E40"/>
    <w:rsid w:val="79163EF4"/>
    <w:rsid w:val="79666C59"/>
    <w:rsid w:val="79E7B28D"/>
    <w:rsid w:val="79F94FBB"/>
    <w:rsid w:val="7A562522"/>
    <w:rsid w:val="7B4E48EB"/>
    <w:rsid w:val="7BA2014B"/>
    <w:rsid w:val="7BC67999"/>
    <w:rsid w:val="7C0F7990"/>
    <w:rsid w:val="7CB439E1"/>
    <w:rsid w:val="7D1A6C51"/>
    <w:rsid w:val="7D6C72BC"/>
    <w:rsid w:val="7DFB2B90"/>
    <w:rsid w:val="7EDF09D4"/>
    <w:rsid w:val="7F2207FC"/>
    <w:rsid w:val="7F617730"/>
    <w:rsid w:val="7F9F20EE"/>
    <w:rsid w:val="7FB5132D"/>
    <w:rsid w:val="7FC05196"/>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List Number"/>
    <w:basedOn w:val="1"/>
    <w:unhideWhenUsed/>
    <w:qFormat/>
    <w:uiPriority w:val="99"/>
    <w:pPr>
      <w:keepNext w:val="0"/>
      <w:keepLines w:val="0"/>
      <w:widowControl w:val="0"/>
      <w:suppressLineNumbers w:val="0"/>
      <w:ind w:left="360" w:hanging="360"/>
      <w:jc w:val="both"/>
    </w:pPr>
    <w:rPr>
      <w:rFonts w:hint="default" w:ascii="Times New Roman" w:hAnsi="Times New Roman" w:eastAsia="仿宋_GB2312" w:cs="Times New Roman"/>
      <w:kern w:val="2"/>
      <w:sz w:val="32"/>
      <w:szCs w:val="32"/>
      <w:lang w:val="en-US" w:eastAsia="zh-CN" w:bidi="ar"/>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s1"/>
    <w:basedOn w:val="14"/>
    <w:qFormat/>
    <w:uiPriority w:val="99"/>
  </w:style>
  <w:style w:type="paragraph" w:customStyle="1" w:styleId="33">
    <w:name w:val="图表名"/>
    <w:basedOn w:val="1"/>
    <w:uiPriority w:val="0"/>
    <w:pPr>
      <w:keepNext w:val="0"/>
      <w:keepLines w:val="0"/>
      <w:widowControl w:val="0"/>
      <w:suppressLineNumbers w:val="0"/>
      <w:spacing w:before="60" w:beforeAutospacing="0" w:after="60" w:afterAutospacing="0"/>
      <w:jc w:val="center"/>
    </w:pPr>
    <w:rPr>
      <w:rFonts w:hint="default" w:ascii="Times New Roman" w:hAnsi="Times New Roman" w:eastAsia="仿宋_GB2312" w:cs="Times New Roman"/>
      <w:b/>
      <w:kern w:val="0"/>
      <w:sz w:val="24"/>
      <w:szCs w:val="24"/>
      <w:lang w:val="en-US" w:eastAsia="zh-CN" w:bidi="ar"/>
    </w:rPr>
  </w:style>
  <w:style w:type="paragraph" w:customStyle="1" w:styleId="34">
    <w:name w:val="报告正文"/>
    <w:basedOn w:val="1"/>
    <w:uiPriority w:val="0"/>
    <w:pPr>
      <w:keepNext w:val="0"/>
      <w:keepLines w:val="0"/>
      <w:widowControl w:val="0"/>
      <w:suppressLineNumbers w:val="0"/>
      <w:spacing w:before="0" w:beforeAutospacing="0" w:after="0" w:afterAutospacing="0" w:line="600" w:lineRule="exact"/>
      <w:ind w:left="0" w:right="0" w:firstLine="200" w:firstLineChars="200"/>
      <w:jc w:val="both"/>
    </w:pPr>
    <w:rPr>
      <w:rFonts w:hint="default" w:ascii="Times New Roman" w:hAnsi="Times New Roman" w:eastAsia="仿宋" w:cs="Times New Roman"/>
      <w:kern w:val="0"/>
      <w:sz w:val="32"/>
      <w:szCs w:val="32"/>
      <w:lang w:val="en-US" w:eastAsia="zh-CN" w:bidi="ar"/>
    </w:rPr>
  </w:style>
  <w:style w:type="paragraph" w:customStyle="1" w:styleId="35">
    <w:name w:val="表文字"/>
    <w:basedOn w:val="34"/>
    <w:uiPriority w:val="0"/>
    <w:pPr>
      <w:keepNext w:val="0"/>
      <w:keepLines w:val="0"/>
      <w:widowControl/>
      <w:suppressLineNumbers w:val="0"/>
      <w:spacing w:before="0" w:beforeAutospacing="0" w:after="0" w:afterAutospacing="0" w:line="320" w:lineRule="exact"/>
      <w:ind w:left="0" w:right="0" w:firstLine="0" w:firstLineChars="0"/>
      <w:jc w:val="center"/>
    </w:pPr>
    <w:rPr>
      <w:rFonts w:hint="default" w:ascii="Times New Roman" w:hAnsi="Times New Roman" w:eastAsia="仿宋" w:cs="宋体"/>
      <w:color w:val="000000"/>
      <w:kern w:val="0"/>
      <w:sz w:val="22"/>
      <w:szCs w:val="22"/>
      <w:lang w:val="en-US" w:eastAsia="zh-CN" w:bidi="ar"/>
    </w:rPr>
  </w:style>
  <w:style w:type="paragraph" w:customStyle="1" w:styleId="36">
    <w:name w:val="汇政正文-最终版"/>
    <w:basedOn w:val="1"/>
    <w:qFormat/>
    <w:uiPriority w:val="0"/>
    <w:pPr>
      <w:keepNext w:val="0"/>
      <w:keepLines w:val="0"/>
      <w:widowControl w:val="0"/>
      <w:suppressLineNumbers w:val="0"/>
      <w:spacing w:before="0" w:beforeAutospacing="0" w:after="0" w:afterAutospacing="0" w:line="600" w:lineRule="exact"/>
      <w:ind w:left="0" w:right="0" w:firstLine="200" w:firstLineChars="200"/>
      <w:jc w:val="both"/>
    </w:pPr>
    <w:rPr>
      <w:rFonts w:hint="default" w:ascii="Times New Roman" w:hAnsi="Times New Roman" w:eastAsia="仿宋_GB2312"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4842.4</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4734.68</c:v>
                </c:pt>
              </c:numCache>
            </c:numRef>
          </c:val>
        </c:ser>
        <c:dLbls>
          <c:showLegendKey val="0"/>
          <c:showVal val="1"/>
          <c:showCatName val="0"/>
          <c:showSerName val="0"/>
          <c:showPercent val="0"/>
          <c:showBubbleSize val="0"/>
        </c:dLbls>
        <c:gapWidth val="219"/>
        <c:overlap val="-27"/>
        <c:axId val="694208431"/>
        <c:axId val="367882405"/>
      </c:barChart>
      <c:catAx>
        <c:axId val="6942084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882405"/>
        <c:crosses val="autoZero"/>
        <c:auto val="1"/>
        <c:lblAlgn val="ctr"/>
        <c:lblOffset val="100"/>
        <c:noMultiLvlLbl val="0"/>
      </c:catAx>
      <c:valAx>
        <c:axId val="36788240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208431"/>
        <c:crosses val="autoZero"/>
        <c:crossBetween val="between"/>
      </c:valAx>
      <c:spPr>
        <a:noFill/>
        <a:ln>
          <a:noFill/>
        </a:ln>
        <a:effectLst/>
      </c:spPr>
    </c:plotArea>
    <c:legend>
      <c:legendPos val="b"/>
      <c:layout>
        <c:manualLayout>
          <c:xMode val="edge"/>
          <c:yMode val="edge"/>
          <c:x val="0.4120625"/>
          <c:y val="0.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a:ln w="25400" cap="flat" cmpd="sng" algn="ctr">
              <a:solidFill>
                <a:schemeClr val="accent1">
                  <a:shade val="50000"/>
                </a:schemeClr>
              </a:solidFill>
              <a:prstDash val="solid"/>
            </a:ln>
            <a:sp3d>
              <a:extrusionClr>
                <a:srgbClr val="FFFFFF"/>
              </a:extrusionClr>
              <a:contourClr>
                <a:srgbClr val="FFFFFF"/>
              </a:contourClr>
            </a:sp3d>
          </c:spPr>
          <c:explosion val="0"/>
          <c:dPt>
            <c:idx val="0"/>
            <c:bubble3D val="0"/>
            <c:spPr>
              <a:solidFill>
                <a:schemeClr val="accent1"/>
              </a:solidFill>
              <a:ln w="25400" cap="flat" cmpd="sng" algn="ctr">
                <a:solidFill>
                  <a:schemeClr val="accent1">
                    <a:shade val="50000"/>
                  </a:schemeClr>
                </a:solidFill>
                <a:prstDash val="solid"/>
              </a:ln>
              <a:effectLst/>
              <a:sp3d>
                <a:extrusionClr>
                  <a:srgbClr val="FFFFFF"/>
                </a:extrusionClr>
                <a:contourClr>
                  <a:srgbClr val="FFFFFF"/>
                </a:contourClr>
              </a:sp3d>
            </c:spPr>
          </c:dPt>
          <c:dPt>
            <c:idx val="1"/>
            <c:bubble3D val="0"/>
            <c:spPr>
              <a:solidFill>
                <a:schemeClr val="accent2"/>
              </a:solidFill>
              <a:ln w="25400" cap="flat" cmpd="sng" algn="ctr">
                <a:solidFill>
                  <a:schemeClr val="accent1">
                    <a:shade val="50000"/>
                  </a:schemeClr>
                </a:solidFill>
                <a:prstDash val="solid"/>
              </a:ln>
              <a:effectLst/>
              <a:sp3d>
                <a:extrusionClr>
                  <a:srgbClr val="FFFFFF"/>
                </a:extrusionClr>
                <a:contourClr>
                  <a:srgbClr val="FFFFFF"/>
                </a:contourClr>
              </a:sp3d>
            </c:spPr>
          </c:dPt>
          <c:dLbls>
            <c:dLbl>
              <c:idx val="0"/>
              <c:layout>
                <c:manualLayout>
                  <c:x val="0.109998234692871"/>
                  <c:y val="-0.01884388177669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70.09%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2498242224947"/>
                  <c:y val="0.01134388878258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29.91%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3321.13</c:v>
                </c:pt>
                <c:pt idx="1">
                  <c:v>1417.48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dLbl>
              <c:idx val="0"/>
              <c:layout>
                <c:manualLayout>
                  <c:x val="0.0457839738268714"/>
                  <c:y val="0.021791365551169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65.55%</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453397824059556"/>
                  <c:y val="-0.091791356147953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34.45%</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3140.89</c:v>
                </c:pt>
                <c:pt idx="1">
                  <c:v>1650.51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Sheet1!$A$1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3321.13</c:v>
                </c:pt>
              </c:numCache>
            </c:numRef>
          </c:val>
        </c:ser>
        <c:ser>
          <c:idx val="1"/>
          <c:order val="1"/>
          <c:tx>
            <c:strRef>
              <c:f>Sheet1!$B$1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3159.11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Sheet1!#REF!</c:f>
              <c:numCache>
                <c:ptCount val="0"/>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42590229"/>
        <c:axId val="831455420"/>
      </c:barChart>
      <c:catAx>
        <c:axId val="7425902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455420"/>
        <c:crosses val="autoZero"/>
        <c:auto val="1"/>
        <c:lblAlgn val="ctr"/>
        <c:lblOffset val="100"/>
        <c:noMultiLvlLbl val="0"/>
      </c:catAx>
      <c:valAx>
        <c:axId val="8314554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59022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Sheet1!$A$1</c:f>
              <c:strCache>
                <c:ptCount val="1"/>
                <c:pt idx="0">
                  <c:v>2022年</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3321.13</c:v>
                </c:pt>
              </c:numCache>
            </c:numRef>
          </c:val>
        </c:ser>
        <c:ser>
          <c:idx val="1"/>
          <c:order val="1"/>
          <c:tx>
            <c:strRef>
              <c:f>Sheet1!$B$1</c:f>
              <c:strCache>
                <c:ptCount val="1"/>
                <c:pt idx="0">
                  <c:v>2021年</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3243.97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Sheet1!#REF!</c:f>
              <c:numCache>
                <c:ptCount val="0"/>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61334447"/>
        <c:axId val="200310868"/>
      </c:barChart>
      <c:catAx>
        <c:axId val="7613344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10868"/>
        <c:crosses val="autoZero"/>
        <c:auto val="1"/>
        <c:lblAlgn val="ctr"/>
        <c:lblOffset val="100"/>
        <c:noMultiLvlLbl val="0"/>
      </c:catAx>
      <c:valAx>
        <c:axId val="2003108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33444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6">
                  <a:lumMod val="60000"/>
                  <a:lumOff val="40000"/>
                </a:schemeClr>
              </a:solidFill>
              <a:ln w="19050">
                <a:solidFill>
                  <a:schemeClr val="lt1"/>
                </a:solidFill>
              </a:ln>
              <a:effectLst/>
            </c:spPr>
          </c:dPt>
          <c:dLbls>
            <c:dLbl>
              <c:idx val="0"/>
              <c:layout>
                <c:manualLayout>
                  <c:x val="0.100270808270959"/>
                  <c:y val="0.00699485980619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1465595917211"/>
                  <c:y val="0.02986707313705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9284120996248"/>
                  <c:y val="-0.02664431818470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9933313386645"/>
                  <c:y val="-0.02637574819518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c:v>
                </c:pt>
                <c:pt idx="2">
                  <c:v>卫生健康支出</c:v>
                </c:pt>
                <c:pt idx="3">
                  <c:v>住房保障支出</c:v>
                </c:pt>
              </c:strCache>
            </c:strRef>
          </c:cat>
          <c:val>
            <c:numRef>
              <c:f>Sheet1!$B$2:$B$5</c:f>
              <c:numCache>
                <c:formatCode>0.00%</c:formatCode>
                <c:ptCount val="4"/>
                <c:pt idx="0">
                  <c:v>0.8542</c:v>
                </c:pt>
                <c:pt idx="1">
                  <c:v>0.053</c:v>
                </c:pt>
                <c:pt idx="2">
                  <c:v>0.0299</c:v>
                </c:pt>
                <c:pt idx="3">
                  <c:v>0.0629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4375"/>
                  <c:y val="0.007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1643790669678"/>
                  <c:y val="-0.02623295212876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205376443168"/>
                  <c:y val="0.003561357627535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0%</c:formatCode>
                <c:ptCount val="3"/>
                <c:pt idx="0">
                  <c:v>0</c:v>
                </c:pt>
                <c:pt idx="1" c:formatCode="0.00%">
                  <c:v>1</c:v>
                </c:pt>
                <c:pt idx="2"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1299</Words>
  <Characters>7410</Characters>
  <Lines>1</Lines>
  <Paragraphs>1</Paragraphs>
  <ScaleCrop>false</ScaleCrop>
  <LinksUpToDate>false</LinksUpToDate>
  <CharactersWithSpaces>8692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2023-08-23T01:38:03Z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