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7" w:name="_GoBack"/>
      <w:bookmarkEnd w:id="67"/>
      <w:bookmarkStart w:id="1" w:name="_Toc15396475"/>
      <w:bookmarkStart w:id="2" w:name="_Toc15377193"/>
      <w:bookmarkStart w:id="3" w:name="_Toc15396597"/>
      <w:bookmarkStart w:id="4" w:name="_Toc15377425"/>
      <w:bookmarkStart w:id="5"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7194"/>
      <w:bookmarkStart w:id="8" w:name="_Toc15396476"/>
      <w:bookmarkStart w:id="9" w:name="_Toc15396598"/>
      <w:bookmarkStart w:id="10" w:name="_Toc15306268"/>
      <w:bookmarkStart w:id="11" w:name="_Toc15378442"/>
      <w:r>
        <w:rPr>
          <w:rFonts w:hint="eastAsia" w:ascii="方正小标宋简体" w:hAnsi="宋体" w:eastAsia="方正小标宋简体"/>
          <w:color w:val="000000"/>
          <w:sz w:val="72"/>
          <w:szCs w:val="72"/>
        </w:rPr>
        <w:t>四川省遂宁市公安局森林警察支队</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w:t>
      </w:r>
      <w:r>
        <w:rPr>
          <w:rFonts w:hint="eastAsia"/>
          <w:lang w:val="en-US" w:eastAsia="zh-CN"/>
        </w:rPr>
        <w:t>9</w:t>
      </w:r>
      <w:r>
        <w:rPr>
          <w:rFonts w:hint="eastAsia"/>
        </w:rPr>
        <w:t>月2日</w:t>
      </w:r>
    </w:p>
    <w:p/>
    <w:p>
      <w:pPr>
        <w:pStyle w:val="10"/>
        <w:adjustRightInd w:val="0"/>
        <w:snapToGrid w:val="0"/>
        <w:spacing w:before="0" w:line="440" w:lineRule="exact"/>
        <w:jc w:val="left"/>
        <w:rPr>
          <w:rFonts w:cstheme="minorBidi"/>
          <w:sz w:val="24"/>
          <w:szCs w:val="24"/>
        </w:rPr>
      </w:pPr>
      <w:r>
        <w:rPr>
          <w:rFonts w:hint="eastAsia"/>
          <w:sz w:val="24"/>
        </w:rPr>
        <w:t>第一部分单位概况.............................................4</w:t>
      </w:r>
    </w:p>
    <w:p>
      <w:pPr>
        <w:pStyle w:val="11"/>
        <w:adjustRightInd w:val="0"/>
        <w:snapToGrid w:val="0"/>
        <w:spacing w:line="440" w:lineRule="exact"/>
        <w:jc w:val="left"/>
        <w:rPr>
          <w:sz w:val="24"/>
        </w:rPr>
      </w:pPr>
      <w:r>
        <w:rPr>
          <w:rFonts w:hint="eastAsia"/>
          <w:sz w:val="24"/>
        </w:rPr>
        <w:t>一、职能简介...........................................................................................4</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二、2021年重点工作完成情况...............................4</w:t>
      </w:r>
    </w:p>
    <w:p>
      <w:pPr>
        <w:pStyle w:val="10"/>
        <w:adjustRightInd w:val="0"/>
        <w:snapToGrid w:val="0"/>
        <w:spacing w:before="0" w:line="440" w:lineRule="exact"/>
        <w:jc w:val="left"/>
        <w:rPr>
          <w:sz w:val="24"/>
          <w:szCs w:val="24"/>
        </w:rPr>
      </w:pPr>
      <w:r>
        <w:rPr>
          <w:rFonts w:hint="eastAsia"/>
          <w:sz w:val="24"/>
        </w:rPr>
        <w:t>第二部分 2021年度单位决算情况说明 ...........................5</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一、收入支出决算总体情况说明............................................................5</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二、收入决算情况说明............................................................................5</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三、支出决算情况说明............................................................................6</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四、财政拨款收入支出决算总体情况说明............................................7</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五、一般公共预算财政拨款支出决算情况说明....................................9</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六、一般公共预算财政拨款基本支出决算情况说明............................9</w:t>
      </w:r>
    </w:p>
    <w:p>
      <w:pPr>
        <w:pStyle w:val="11"/>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七、“三公”经费财政拨款支出决算情况说明......................................11</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八、政府性基金预算支出决算情况说明................................................11</w:t>
      </w:r>
    </w:p>
    <w:p>
      <w:pPr>
        <w:pStyle w:val="11"/>
        <w:adjustRightInd w:val="0"/>
        <w:snapToGrid w:val="0"/>
        <w:spacing w:line="440" w:lineRule="exact"/>
        <w:jc w:val="left"/>
        <w:rPr>
          <w:sz w:val="24"/>
        </w:rPr>
      </w:pPr>
      <w:r>
        <w:rPr>
          <w:rFonts w:hint="eastAsia"/>
          <w:sz w:val="24"/>
        </w:rPr>
        <w:t>九、国有资本经营预算支出决算情况说明............................................11</w:t>
      </w:r>
    </w:p>
    <w:p>
      <w:pPr>
        <w:pStyle w:val="11"/>
        <w:adjustRightInd w:val="0"/>
        <w:snapToGrid w:val="0"/>
        <w:spacing w:line="440" w:lineRule="exact"/>
        <w:jc w:val="left"/>
        <w:rPr>
          <w:sz w:val="24"/>
        </w:rPr>
      </w:pPr>
      <w:r>
        <w:rPr>
          <w:rFonts w:hint="eastAsia"/>
          <w:sz w:val="24"/>
        </w:rPr>
        <w:t>十、其他重要事项的情况说明................................................................12</w:t>
      </w:r>
    </w:p>
    <w:p>
      <w:pPr>
        <w:pStyle w:val="10"/>
        <w:adjustRightInd w:val="0"/>
        <w:snapToGrid w:val="0"/>
        <w:spacing w:before="0" w:line="440" w:lineRule="exact"/>
        <w:jc w:val="left"/>
        <w:rPr>
          <w:rFonts w:cstheme="minorBidi"/>
          <w:sz w:val="24"/>
          <w:szCs w:val="24"/>
        </w:rPr>
      </w:pPr>
      <w:r>
        <w:rPr>
          <w:rFonts w:hint="eastAsia"/>
          <w:sz w:val="24"/>
        </w:rPr>
        <w:t>第三部分名词解释.............................................15</w:t>
      </w:r>
    </w:p>
    <w:p>
      <w:pPr>
        <w:pStyle w:val="10"/>
        <w:adjustRightInd w:val="0"/>
        <w:snapToGrid w:val="0"/>
        <w:spacing w:before="0" w:line="440" w:lineRule="exact"/>
        <w:jc w:val="left"/>
        <w:rPr>
          <w:rFonts w:cstheme="minorBidi"/>
          <w:sz w:val="24"/>
          <w:szCs w:val="24"/>
        </w:rPr>
      </w:pPr>
      <w:r>
        <w:rPr>
          <w:rFonts w:hint="eastAsia"/>
          <w:sz w:val="24"/>
        </w:rPr>
        <w:t>第四部分附件.................................................19</w:t>
      </w:r>
    </w:p>
    <w:p>
      <w:pPr>
        <w:pStyle w:val="10"/>
        <w:adjustRightInd w:val="0"/>
        <w:snapToGrid w:val="0"/>
        <w:spacing w:before="0" w:line="440" w:lineRule="exact"/>
        <w:jc w:val="left"/>
        <w:rPr>
          <w:rFonts w:cstheme="minorBidi"/>
          <w:sz w:val="24"/>
          <w:szCs w:val="24"/>
        </w:rPr>
      </w:pPr>
      <w:r>
        <w:rPr>
          <w:rFonts w:hint="eastAsia"/>
          <w:sz w:val="24"/>
        </w:rPr>
        <w:t>第五部分附表.................................................20</w:t>
      </w:r>
    </w:p>
    <w:p>
      <w:pPr>
        <w:pStyle w:val="11"/>
        <w:adjustRightInd w:val="0"/>
        <w:snapToGrid w:val="0"/>
        <w:spacing w:line="440" w:lineRule="exact"/>
        <w:jc w:val="left"/>
        <w:rPr>
          <w:sz w:val="24"/>
        </w:rPr>
      </w:pPr>
      <w:r>
        <w:rPr>
          <w:rFonts w:hint="eastAsia"/>
          <w:sz w:val="24"/>
        </w:rPr>
        <w:t>一、收入支出决算总表...........................................................................20</w:t>
      </w:r>
    </w:p>
    <w:p>
      <w:pPr>
        <w:pStyle w:val="11"/>
        <w:adjustRightInd w:val="0"/>
        <w:snapToGrid w:val="0"/>
        <w:spacing w:line="440" w:lineRule="exact"/>
        <w:jc w:val="left"/>
        <w:rPr>
          <w:sz w:val="24"/>
        </w:rPr>
      </w:pPr>
      <w:r>
        <w:rPr>
          <w:rFonts w:hint="eastAsia"/>
          <w:sz w:val="24"/>
        </w:rPr>
        <w:t>二、收入决算表.......................................................................................20</w:t>
      </w:r>
    </w:p>
    <w:p>
      <w:pPr>
        <w:pStyle w:val="11"/>
        <w:adjustRightInd w:val="0"/>
        <w:snapToGrid w:val="0"/>
        <w:spacing w:line="440" w:lineRule="exact"/>
        <w:jc w:val="left"/>
        <w:rPr>
          <w:sz w:val="24"/>
        </w:rPr>
      </w:pPr>
      <w:r>
        <w:rPr>
          <w:rFonts w:hint="eastAsia"/>
          <w:sz w:val="24"/>
        </w:rPr>
        <w:t>三、支出决算表.......................................................................................20</w:t>
      </w:r>
    </w:p>
    <w:p>
      <w:pPr>
        <w:pStyle w:val="11"/>
        <w:adjustRightInd w:val="0"/>
        <w:snapToGrid w:val="0"/>
        <w:spacing w:line="440" w:lineRule="exact"/>
        <w:jc w:val="left"/>
        <w:rPr>
          <w:sz w:val="24"/>
        </w:rPr>
      </w:pPr>
      <w:r>
        <w:rPr>
          <w:rFonts w:hint="eastAsia"/>
          <w:sz w:val="24"/>
        </w:rPr>
        <w:t>四、财政拨款收入支出决算总表...........................................................20</w:t>
      </w:r>
    </w:p>
    <w:p>
      <w:pPr>
        <w:pStyle w:val="11"/>
        <w:adjustRightInd w:val="0"/>
        <w:snapToGrid w:val="0"/>
        <w:spacing w:line="440" w:lineRule="exact"/>
        <w:jc w:val="left"/>
        <w:rPr>
          <w:sz w:val="24"/>
        </w:rPr>
      </w:pPr>
      <w:r>
        <w:rPr>
          <w:rFonts w:hint="eastAsia"/>
          <w:sz w:val="24"/>
        </w:rPr>
        <w:t>五、财政拨款支出决算明细表...............................................................20</w:t>
      </w:r>
    </w:p>
    <w:p>
      <w:pPr>
        <w:pStyle w:val="11"/>
        <w:adjustRightInd w:val="0"/>
        <w:snapToGrid w:val="0"/>
        <w:spacing w:line="440" w:lineRule="exact"/>
        <w:jc w:val="left"/>
        <w:rPr>
          <w:sz w:val="24"/>
        </w:rPr>
      </w:pPr>
      <w:r>
        <w:rPr>
          <w:rFonts w:hint="eastAsia"/>
          <w:sz w:val="24"/>
        </w:rPr>
        <w:t>六、一般公共预算财政拨款支出决算表...............................................20</w:t>
      </w:r>
    </w:p>
    <w:p>
      <w:pPr>
        <w:pStyle w:val="11"/>
        <w:adjustRightInd w:val="0"/>
        <w:snapToGrid w:val="0"/>
        <w:spacing w:line="440" w:lineRule="exact"/>
        <w:jc w:val="left"/>
        <w:rPr>
          <w:sz w:val="24"/>
        </w:rPr>
      </w:pPr>
      <w:r>
        <w:rPr>
          <w:rFonts w:hint="eastAsia"/>
          <w:sz w:val="24"/>
        </w:rPr>
        <w:t>七、一般公共预算财政拨款支出决算明细表.......................................20</w:t>
      </w:r>
    </w:p>
    <w:p>
      <w:pPr>
        <w:pStyle w:val="11"/>
        <w:adjustRightInd w:val="0"/>
        <w:snapToGrid w:val="0"/>
        <w:spacing w:line="440" w:lineRule="exact"/>
        <w:jc w:val="left"/>
        <w:rPr>
          <w:sz w:val="24"/>
        </w:rPr>
      </w:pPr>
      <w:r>
        <w:rPr>
          <w:rFonts w:hint="eastAsia"/>
          <w:sz w:val="24"/>
        </w:rPr>
        <w:t>八、一般公共预算财政拨款基本支出决算表.......................................20</w:t>
      </w:r>
    </w:p>
    <w:p>
      <w:pPr>
        <w:pStyle w:val="11"/>
        <w:adjustRightInd w:val="0"/>
        <w:snapToGrid w:val="0"/>
        <w:spacing w:line="440" w:lineRule="exact"/>
        <w:jc w:val="left"/>
        <w:rPr>
          <w:sz w:val="24"/>
        </w:rPr>
      </w:pPr>
      <w:r>
        <w:rPr>
          <w:rFonts w:hint="eastAsia"/>
          <w:sz w:val="24"/>
        </w:rPr>
        <w:t>九、一般公共预算财政拨款项目支出决算表.......................................20</w:t>
      </w:r>
    </w:p>
    <w:p>
      <w:pPr>
        <w:pStyle w:val="11"/>
        <w:adjustRightInd w:val="0"/>
        <w:snapToGrid w:val="0"/>
        <w:spacing w:line="440" w:lineRule="exact"/>
        <w:jc w:val="left"/>
        <w:rPr>
          <w:sz w:val="24"/>
        </w:rPr>
      </w:pPr>
      <w:r>
        <w:rPr>
          <w:rFonts w:hint="eastAsia"/>
          <w:sz w:val="24"/>
        </w:rPr>
        <w:t>十、一般公共预算财政拨款“三公”经费支出决算表.....................20</w:t>
      </w:r>
    </w:p>
    <w:p>
      <w:pPr>
        <w:pStyle w:val="11"/>
        <w:adjustRightInd w:val="0"/>
        <w:snapToGrid w:val="0"/>
        <w:spacing w:line="440" w:lineRule="exact"/>
        <w:jc w:val="left"/>
        <w:rPr>
          <w:sz w:val="24"/>
        </w:rPr>
      </w:pPr>
      <w:r>
        <w:rPr>
          <w:rFonts w:hint="eastAsia"/>
          <w:sz w:val="24"/>
        </w:rPr>
        <w:t>十一、政府性基金预算财政拨款收入支出决算表.............................20</w:t>
      </w:r>
    </w:p>
    <w:p>
      <w:pPr>
        <w:pStyle w:val="11"/>
        <w:adjustRightInd w:val="0"/>
        <w:snapToGrid w:val="0"/>
        <w:spacing w:line="440" w:lineRule="exact"/>
        <w:jc w:val="left"/>
        <w:rPr>
          <w:sz w:val="24"/>
        </w:rPr>
      </w:pPr>
      <w:r>
        <w:rPr>
          <w:rFonts w:hint="eastAsia"/>
          <w:sz w:val="24"/>
        </w:rPr>
        <w:t>十二、政府性基金预算财政拨款“三公”经费支出决算表.............20</w:t>
      </w:r>
    </w:p>
    <w:p>
      <w:pPr>
        <w:pStyle w:val="11"/>
        <w:adjustRightInd w:val="0"/>
        <w:snapToGrid w:val="0"/>
        <w:spacing w:line="440" w:lineRule="exact"/>
        <w:jc w:val="left"/>
        <w:rPr>
          <w:sz w:val="24"/>
        </w:rPr>
      </w:pPr>
      <w:r>
        <w:rPr>
          <w:rFonts w:hint="eastAsia"/>
          <w:sz w:val="24"/>
        </w:rPr>
        <w:t>十三、国有资本经营预算财政拨款收入支出决算表.........................20</w:t>
      </w:r>
    </w:p>
    <w:p>
      <w:pPr>
        <w:pStyle w:val="11"/>
        <w:adjustRightInd w:val="0"/>
        <w:snapToGrid w:val="0"/>
        <w:spacing w:line="440" w:lineRule="exact"/>
        <w:jc w:val="left"/>
        <w:rPr>
          <w:sz w:val="24"/>
        </w:rPr>
      </w:pPr>
      <w:r>
        <w:rPr>
          <w:rFonts w:hint="eastAsia"/>
          <w:sz w:val="24"/>
        </w:rPr>
        <w:t>十四、国有资本经营预算财政拨款支出决算表.................................20</w:t>
      </w:r>
    </w:p>
    <w:p>
      <w:pPr>
        <w:widowControl/>
        <w:adjustRightInd w:val="0"/>
        <w:snapToGrid w:val="0"/>
        <w:spacing w:line="440" w:lineRule="exact"/>
        <w:ind w:firstLine="1320" w:firstLineChars="550"/>
        <w:jc w:val="left"/>
        <w:rPr>
          <w:rFonts w:ascii="仿宋" w:hAnsi="仿宋" w:eastAsia="仿宋"/>
          <w:sz w:val="24"/>
          <w:highlight w:val="cyan"/>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rPr>
          <w:rStyle w:val="26"/>
          <w:rFonts w:ascii="黑体" w:hAnsi="黑体" w:eastAsia="黑体"/>
          <w:b w:val="0"/>
          <w:bCs w:val="0"/>
        </w:rPr>
      </w:pPr>
      <w:bookmarkStart w:id="14" w:name="_Toc15396600"/>
      <w:bookmarkStart w:id="15" w:name="_Toc15377197"/>
      <w:r>
        <w:rPr>
          <w:rStyle w:val="26"/>
          <w:rFonts w:hint="eastAsia" w:ascii="黑体" w:hAnsi="黑体" w:eastAsia="黑体"/>
          <w:b w:val="0"/>
          <w:bCs w:val="0"/>
        </w:rPr>
        <w:t>一、职能简介</w:t>
      </w:r>
    </w:p>
    <w:p>
      <w:pPr>
        <w:jc w:val="left"/>
      </w:pPr>
      <w:r>
        <w:rPr>
          <w:rFonts w:hint="eastAsia" w:ascii="仿宋" w:hAnsi="仿宋" w:eastAsia="仿宋" w:cs="仿宋"/>
          <w:sz w:val="32"/>
          <w:szCs w:val="32"/>
        </w:rPr>
        <w:t xml:space="preserve">    主要职责为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打击食药环类犯罪。</w:t>
      </w:r>
    </w:p>
    <w:p>
      <w:pPr>
        <w:pStyle w:val="4"/>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widowControl/>
        <w:spacing w:line="580" w:lineRule="exact"/>
        <w:ind w:firstLine="640" w:firstLineChars="200"/>
        <w:jc w:val="left"/>
        <w:rPr>
          <w:rFonts w:ascii="仿宋" w:hAnsi="仿宋" w:eastAsia="仿宋" w:cs="仿宋"/>
          <w:sz w:val="32"/>
          <w:szCs w:val="32"/>
        </w:rPr>
      </w:pPr>
      <w:r>
        <w:rPr>
          <w:rFonts w:hint="eastAsia" w:ascii="仿宋_GB2312" w:hAnsi="仿宋_GB2312" w:eastAsia="仿宋_GB2312" w:cs="仿宋_GB2312"/>
          <w:sz w:val="32"/>
          <w:szCs w:val="32"/>
        </w:rPr>
        <w:t>狠抓“护旗”“昆仑2021”系列行动等重点工作攻坚，扎实开展队伍教育整顿暨党史学习教育。</w:t>
      </w:r>
      <w:r>
        <w:rPr>
          <w:rFonts w:hint="eastAsia" w:ascii="仿宋_GB2312" w:hAnsi="仿宋" w:eastAsia="仿宋_GB2312" w:cs="仿宋"/>
          <w:sz w:val="32"/>
          <w:szCs w:val="32"/>
        </w:rPr>
        <w:t>市公安局被市委市政府评为“2020年度禁渔退捕工作先进集体”，牵头办理的“新景源环境污染案”得到了景临副书记、杨林副市长的批示肯定，</w:t>
      </w:r>
      <w:r>
        <w:rPr>
          <w:rFonts w:hint="eastAsia" w:ascii="仿宋_GB2312" w:eastAsia="仿宋_GB2312" w:cs="黑体"/>
          <w:kern w:val="0"/>
          <w:sz w:val="32"/>
          <w:szCs w:val="32"/>
          <w:lang w:val="zh-CN"/>
        </w:rPr>
        <w:t>森林防灭火专项整治工作</w:t>
      </w:r>
      <w:r>
        <w:rPr>
          <w:rFonts w:hint="eastAsia" w:ascii="仿宋_GB2312" w:hAnsi="仿宋" w:eastAsia="仿宋_GB2312" w:cs="仿宋"/>
          <w:sz w:val="32"/>
          <w:szCs w:val="32"/>
        </w:rPr>
        <w:t>被省厅红榜加分，并</w:t>
      </w:r>
      <w:r>
        <w:rPr>
          <w:rFonts w:hint="eastAsia" w:ascii="仿宋_GB2312" w:hAnsi="仿宋_GB2312" w:eastAsia="仿宋_GB2312" w:cs="仿宋_GB2312"/>
          <w:sz w:val="32"/>
          <w:szCs w:val="32"/>
        </w:rPr>
        <w:t>得到杨林副市长、陈良副局长的批示肯定。全年共办理相关案件113件，已送起诉67件98人。</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16" w:name="_Toc15396602"/>
      <w:bookmarkStart w:id="17" w:name="_Toc15377204"/>
      <w:r>
        <w:rPr>
          <w:rFonts w:hint="eastAsia" w:ascii="黑体" w:hAnsi="黑体" w:eastAsia="黑体"/>
          <w:b w:val="0"/>
        </w:rPr>
        <w:t>第二部分 2021年度</w:t>
      </w:r>
      <w:r>
        <w:rPr>
          <w:rStyle w:val="25"/>
          <w:rFonts w:hint="eastAsia" w:ascii="黑体" w:hAnsi="黑体" w:eastAsia="黑体"/>
          <w:b w:val="0"/>
          <w:bCs/>
        </w:rPr>
        <w:t>单位决算情况说明</w:t>
      </w:r>
      <w:bookmarkEnd w:id="16"/>
      <w:bookmarkEnd w:id="17"/>
    </w:p>
    <w:p/>
    <w:p>
      <w:pPr>
        <w:pStyle w:val="24"/>
        <w:numPr>
          <w:ilvl w:val="0"/>
          <w:numId w:val="1"/>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2021年度收、支总计411.17万元。与2020年相比，收、支总计各增加94.58万元，增长29.87</w:t>
      </w:r>
      <w:r>
        <w:rPr>
          <w:rFonts w:ascii="仿宋" w:hAnsi="仿宋" w:eastAsia="仿宋"/>
          <w:sz w:val="32"/>
          <w:szCs w:val="32"/>
        </w:rPr>
        <w:t>%</w:t>
      </w:r>
      <w:r>
        <w:rPr>
          <w:rFonts w:hint="eastAsia" w:ascii="仿宋" w:hAnsi="仿宋" w:eastAsia="仿宋"/>
          <w:sz w:val="32"/>
          <w:szCs w:val="32"/>
        </w:rPr>
        <w:t>。主要变动原因是新增“新景源”办案经费23.40万元等。</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rPr>
          <w:sz w:val="32"/>
          <w:szCs w:val="32"/>
        </w:rPr>
      </w:pPr>
      <w:r>
        <w:drawing>
          <wp:inline distT="0" distB="0" distL="114300" distR="114300">
            <wp:extent cx="5431790" cy="2342515"/>
            <wp:effectExtent l="4445" t="4445" r="12065" b="15240"/>
            <wp:docPr id="2" name="图表 1"/>
            <wp:cNvGraphicFramePr>
              <a:graphicFrameLocks xmlns:a="http://schemas.openxmlformats.org/drawingml/2006/main" noGrp="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21年本年收入合计406.74元，其中：一般公共预算财政拨款收入406.74万元，占100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
        <w:spacing w:before="93"/>
        <w:rPr>
          <w:sz w:val="32"/>
          <w:szCs w:val="32"/>
        </w:rPr>
      </w:pPr>
      <w:r>
        <w:drawing>
          <wp:inline distT="0" distB="0" distL="114300" distR="114300">
            <wp:extent cx="4791075" cy="1828165"/>
            <wp:effectExtent l="4445" t="4445" r="5080" b="15240"/>
            <wp:docPr id="1" name="图表 1"/>
            <wp:cNvGraphicFramePr>
              <a:graphicFrameLocks xmlns:a="http://schemas.openxmlformats.org/drawingml/2006/main" noGrp="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21年本年支出合计406.74万元，其中：基本支出325.29万元，占79.97</w:t>
      </w:r>
      <w:r>
        <w:rPr>
          <w:rFonts w:ascii="仿宋" w:hAnsi="仿宋" w:eastAsia="仿宋"/>
          <w:sz w:val="32"/>
          <w:szCs w:val="32"/>
        </w:rPr>
        <w:t>%</w:t>
      </w:r>
      <w:r>
        <w:rPr>
          <w:rFonts w:hint="eastAsia" w:ascii="仿宋" w:hAnsi="仿宋" w:eastAsia="仿宋"/>
          <w:sz w:val="32"/>
          <w:szCs w:val="32"/>
        </w:rPr>
        <w:t>；项目支出81.45万元，占20.03</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pStyle w:val="2"/>
        <w:spacing w:before="93"/>
        <w:rPr>
          <w:sz w:val="32"/>
          <w:szCs w:val="32"/>
        </w:rPr>
      </w:pPr>
      <w:r>
        <w:drawing>
          <wp:inline distT="0" distB="0" distL="114300" distR="114300">
            <wp:extent cx="4800600" cy="1610995"/>
            <wp:effectExtent l="5080" t="4445" r="13970" b="22860"/>
            <wp:docPr id="3" name="图表 1"/>
            <wp:cNvGraphicFramePr>
              <a:graphicFrameLocks xmlns:a="http://schemas.openxmlformats.org/drawingml/2006/main" noGrp="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21年财政拨款收、支总计406.74万元。与</w:t>
      </w:r>
      <w:r>
        <w:rPr>
          <w:rFonts w:ascii="仿宋" w:hAnsi="仿宋" w:eastAsia="仿宋"/>
          <w:sz w:val="32"/>
          <w:szCs w:val="32"/>
        </w:rPr>
        <w:t>20</w:t>
      </w:r>
      <w:r>
        <w:rPr>
          <w:rFonts w:hint="eastAsia" w:ascii="仿宋" w:hAnsi="仿宋" w:eastAsia="仿宋"/>
          <w:sz w:val="32"/>
          <w:szCs w:val="32"/>
        </w:rPr>
        <w:t>20年相比，财政拨款收、支总计各增加90.18万元，增长28.49</w:t>
      </w:r>
      <w:r>
        <w:rPr>
          <w:rFonts w:ascii="仿宋" w:hAnsi="仿宋" w:eastAsia="仿宋"/>
          <w:sz w:val="32"/>
          <w:szCs w:val="32"/>
        </w:rPr>
        <w:t>%</w:t>
      </w:r>
      <w:r>
        <w:rPr>
          <w:rFonts w:hint="eastAsia" w:ascii="仿宋" w:hAnsi="仿宋" w:eastAsia="仿宋"/>
          <w:sz w:val="32"/>
          <w:szCs w:val="32"/>
        </w:rPr>
        <w:t>。主要变动原因是新增“新景源”办案经费23.40万元等。</w:t>
      </w:r>
    </w:p>
    <w:p>
      <w:pPr>
        <w:spacing w:line="600" w:lineRule="exact"/>
        <w:ind w:firstLine="640" w:firstLineChars="200"/>
      </w:pPr>
      <w:r>
        <w:rPr>
          <w:rFonts w:hint="eastAsia" w:ascii="仿宋" w:hAnsi="仿宋" w:eastAsia="仿宋"/>
          <w:sz w:val="32"/>
          <w:szCs w:val="32"/>
        </w:rPr>
        <w:t>（图4：财政拨款收、支决算总计变动情况）（柱状图）</w:t>
      </w:r>
    </w:p>
    <w:p>
      <w:pPr>
        <w:pStyle w:val="2"/>
        <w:spacing w:before="93"/>
        <w:rPr>
          <w:rFonts w:ascii="仿宋" w:hAnsi="仿宋" w:eastAsia="仿宋"/>
          <w:sz w:val="32"/>
          <w:szCs w:val="32"/>
        </w:rPr>
      </w:pPr>
      <w:r>
        <w:drawing>
          <wp:inline distT="0" distB="0" distL="114300" distR="114300">
            <wp:extent cx="5572125" cy="2000250"/>
            <wp:effectExtent l="5080" t="4445" r="4445" b="14605"/>
            <wp:docPr id="4" name="图表 1"/>
            <wp:cNvGraphicFramePr>
              <a:graphicFrameLocks xmlns:a="http://schemas.openxmlformats.org/drawingml/2006/main" noGrp="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21年一般公共预算财政拨款支出406.74万元，占本年支出合计的100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20年相比，一般公共预算财政拨款支出增加94.58万元，增长30.30</w:t>
      </w:r>
      <w:r>
        <w:rPr>
          <w:rFonts w:ascii="仿宋" w:hAnsi="仿宋" w:eastAsia="仿宋"/>
          <w:sz w:val="32"/>
          <w:szCs w:val="32"/>
        </w:rPr>
        <w:t>%</w:t>
      </w:r>
      <w:r>
        <w:rPr>
          <w:rFonts w:hint="eastAsia" w:ascii="仿宋" w:hAnsi="仿宋" w:eastAsia="仿宋"/>
          <w:sz w:val="32"/>
          <w:szCs w:val="32"/>
        </w:rPr>
        <w:t>。主要变动原因是新增“新景源”办案经费23.4万元等。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rPr>
          <w:rFonts w:ascii="仿宋" w:hAnsi="仿宋" w:eastAsia="仿宋"/>
          <w:sz w:val="32"/>
          <w:szCs w:val="32"/>
        </w:rPr>
      </w:pPr>
      <w:r>
        <w:drawing>
          <wp:inline distT="0" distB="0" distL="114300" distR="114300">
            <wp:extent cx="5273040" cy="1946275"/>
            <wp:effectExtent l="4445" t="4445" r="18415" b="11430"/>
            <wp:docPr id="5" name="图表 1"/>
            <wp:cNvGraphicFramePr>
              <a:graphicFrameLocks xmlns:a="http://schemas.openxmlformats.org/drawingml/2006/main" noGrp="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21年一般公共预算财政拨款支出406.74万元，主要用于以下方面</w:t>
      </w:r>
      <w:r>
        <w:rPr>
          <w:rFonts w:ascii="仿宋" w:hAnsi="仿宋" w:eastAsia="仿宋"/>
          <w:sz w:val="32"/>
          <w:szCs w:val="32"/>
        </w:rPr>
        <w:t>:</w:t>
      </w:r>
      <w:r>
        <w:rPr>
          <w:rFonts w:hint="eastAsia" w:ascii="仿宋" w:hAnsi="仿宋" w:eastAsia="仿宋"/>
          <w:b/>
          <w:sz w:val="32"/>
          <w:szCs w:val="32"/>
        </w:rPr>
        <w:t>公共安全支出（204）</w:t>
      </w:r>
      <w:r>
        <w:rPr>
          <w:rFonts w:hint="eastAsia" w:ascii="仿宋" w:hAnsi="仿宋" w:eastAsia="仿宋"/>
          <w:sz w:val="32"/>
          <w:szCs w:val="32"/>
        </w:rPr>
        <w:t>359.20万元，占88.31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社会保障和就业支出（208）</w:t>
      </w:r>
      <w:r>
        <w:rPr>
          <w:rFonts w:hint="eastAsia" w:ascii="仿宋" w:hAnsi="仿宋" w:eastAsia="仿宋"/>
          <w:sz w:val="32"/>
          <w:szCs w:val="32"/>
        </w:rPr>
        <w:t>18.46万元，占4.54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卫生健康支出（210）</w:t>
      </w:r>
      <w:r>
        <w:rPr>
          <w:rFonts w:hint="eastAsia" w:ascii="仿宋" w:hAnsi="仿宋" w:eastAsia="仿宋"/>
          <w:sz w:val="32"/>
          <w:szCs w:val="32"/>
        </w:rPr>
        <w:t>10.18万元，占2.50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住房保障支出（221）18.90万元，</w:t>
      </w:r>
      <w:r>
        <w:rPr>
          <w:rFonts w:hint="eastAsia" w:ascii="仿宋" w:hAnsi="仿宋" w:eastAsia="仿宋"/>
          <w:sz w:val="32"/>
          <w:szCs w:val="32"/>
        </w:rPr>
        <w:t>占4.65%。</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rPr>
          <w:rFonts w:ascii="仿宋" w:hAnsi="仿宋" w:eastAsia="仿宋"/>
          <w:sz w:val="32"/>
          <w:szCs w:val="32"/>
        </w:rPr>
      </w:pPr>
      <w:r>
        <w:drawing>
          <wp:inline distT="0" distB="0" distL="114300" distR="114300">
            <wp:extent cx="5078730" cy="2548890"/>
            <wp:effectExtent l="4445" t="4445" r="22225" b="18415"/>
            <wp:docPr id="6" name="图表 1"/>
            <wp:cNvGraphicFramePr>
              <a:graphicFrameLocks xmlns:a="http://schemas.openxmlformats.org/drawingml/2006/main" noGrp="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2021年一般公共预算支出决算数为406.74万元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公共安全支出（204）公安（02）行政运行（01）</w:t>
      </w:r>
      <w:r>
        <w:rPr>
          <w:rStyle w:val="15"/>
          <w:rFonts w:ascii="仿宋" w:hAnsi="仿宋" w:eastAsia="仿宋"/>
          <w:bCs/>
          <w:sz w:val="32"/>
          <w:szCs w:val="32"/>
        </w:rPr>
        <w:t>:</w:t>
      </w:r>
      <w:r>
        <w:rPr>
          <w:rStyle w:val="15"/>
          <w:rFonts w:hint="eastAsia" w:ascii="仿宋" w:hAnsi="仿宋" w:eastAsia="仿宋"/>
          <w:b w:val="0"/>
          <w:bCs/>
          <w:sz w:val="32"/>
          <w:szCs w:val="32"/>
        </w:rPr>
        <w:t>支出决算为277.75万元，完成预算100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2.</w:t>
      </w:r>
      <w:r>
        <w:rPr>
          <w:rStyle w:val="15"/>
          <w:rFonts w:hint="eastAsia" w:ascii="仿宋" w:hAnsi="仿宋" w:eastAsia="仿宋"/>
          <w:bCs/>
          <w:sz w:val="32"/>
          <w:szCs w:val="32"/>
        </w:rPr>
        <w:t>公共安全支出（204）公安（02）一般行政管理事务（02）</w:t>
      </w:r>
      <w:r>
        <w:rPr>
          <w:rStyle w:val="15"/>
          <w:rFonts w:ascii="仿宋" w:hAnsi="仿宋" w:eastAsia="仿宋"/>
          <w:bCs/>
          <w:sz w:val="32"/>
          <w:szCs w:val="32"/>
        </w:rPr>
        <w:t>:</w:t>
      </w:r>
      <w:r>
        <w:rPr>
          <w:rStyle w:val="15"/>
          <w:rFonts w:hint="eastAsia" w:ascii="仿宋" w:hAnsi="仿宋" w:eastAsia="仿宋"/>
          <w:b w:val="0"/>
          <w:bCs/>
          <w:sz w:val="32"/>
          <w:szCs w:val="32"/>
        </w:rPr>
        <w:t>支出决算为32.53万元，完成预算100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3.</w:t>
      </w:r>
      <w:r>
        <w:rPr>
          <w:rStyle w:val="15"/>
          <w:rFonts w:hint="eastAsia" w:ascii="仿宋" w:hAnsi="仿宋" w:eastAsia="仿宋"/>
          <w:bCs/>
          <w:sz w:val="32"/>
          <w:szCs w:val="32"/>
        </w:rPr>
        <w:t>公共安全支出（204）公安（02）执法办案（20）</w:t>
      </w:r>
      <w:r>
        <w:rPr>
          <w:rStyle w:val="15"/>
          <w:rFonts w:ascii="仿宋" w:hAnsi="仿宋" w:eastAsia="仿宋"/>
          <w:bCs/>
          <w:sz w:val="32"/>
          <w:szCs w:val="32"/>
        </w:rPr>
        <w:t>:</w:t>
      </w:r>
      <w:r>
        <w:rPr>
          <w:rStyle w:val="15"/>
          <w:rFonts w:hint="eastAsia" w:ascii="仿宋" w:hAnsi="仿宋" w:eastAsia="仿宋"/>
          <w:b w:val="0"/>
          <w:bCs/>
          <w:sz w:val="32"/>
          <w:szCs w:val="32"/>
        </w:rPr>
        <w:t>支出决算为48.92万元，完成预算100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4.</w:t>
      </w:r>
      <w:r>
        <w:rPr>
          <w:rStyle w:val="15"/>
          <w:rFonts w:hint="eastAsia" w:ascii="仿宋" w:hAnsi="仿宋" w:eastAsia="仿宋"/>
          <w:bCs/>
          <w:sz w:val="32"/>
          <w:szCs w:val="32"/>
        </w:rPr>
        <w:t>社会保障和就业支出（208）行政事业单位养老支出（05）行政单位离退休（01）</w:t>
      </w:r>
      <w:r>
        <w:rPr>
          <w:rStyle w:val="15"/>
          <w:rFonts w:ascii="仿宋" w:hAnsi="仿宋" w:eastAsia="仿宋"/>
          <w:bCs/>
          <w:sz w:val="32"/>
          <w:szCs w:val="32"/>
        </w:rPr>
        <w:t>:</w:t>
      </w:r>
      <w:r>
        <w:rPr>
          <w:rStyle w:val="15"/>
          <w:rFonts w:hint="eastAsia" w:ascii="仿宋" w:hAnsi="仿宋" w:eastAsia="仿宋"/>
          <w:b w:val="0"/>
          <w:bCs/>
          <w:sz w:val="32"/>
          <w:szCs w:val="32"/>
        </w:rPr>
        <w:t>支出决算为1.50万元，完成预算100%。</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5.</w:t>
      </w:r>
      <w:r>
        <w:rPr>
          <w:rStyle w:val="15"/>
          <w:rFonts w:hint="eastAsia" w:ascii="仿宋" w:hAnsi="仿宋" w:eastAsia="仿宋"/>
          <w:bCs/>
          <w:sz w:val="32"/>
          <w:szCs w:val="32"/>
        </w:rPr>
        <w:t>社会保障和就业支出（208）行政事业单位养老支出（05）机关事业单位基本养老保险缴费支出（05）</w:t>
      </w:r>
      <w:r>
        <w:rPr>
          <w:rStyle w:val="15"/>
          <w:rFonts w:ascii="仿宋" w:hAnsi="仿宋" w:eastAsia="仿宋"/>
          <w:bCs/>
          <w:sz w:val="32"/>
          <w:szCs w:val="32"/>
        </w:rPr>
        <w:t>:</w:t>
      </w:r>
      <w:r>
        <w:rPr>
          <w:rStyle w:val="15"/>
          <w:rFonts w:hint="eastAsia" w:ascii="仿宋" w:hAnsi="仿宋" w:eastAsia="仿宋"/>
          <w:b w:val="0"/>
          <w:bCs/>
          <w:sz w:val="32"/>
          <w:szCs w:val="32"/>
        </w:rPr>
        <w:t>支出决算为16.96万元，完成预算100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6.</w:t>
      </w:r>
      <w:r>
        <w:rPr>
          <w:rFonts w:hint="eastAsia" w:ascii="仿宋" w:hAnsi="仿宋" w:eastAsia="仿宋"/>
          <w:b/>
          <w:bCs/>
          <w:sz w:val="32"/>
          <w:szCs w:val="32"/>
        </w:rPr>
        <w:t>卫生健康支出</w:t>
      </w:r>
      <w:r>
        <w:rPr>
          <w:rStyle w:val="15"/>
          <w:rFonts w:hint="eastAsia" w:ascii="仿宋" w:hAnsi="仿宋" w:eastAsia="仿宋"/>
          <w:bCs/>
          <w:sz w:val="32"/>
          <w:szCs w:val="32"/>
        </w:rPr>
        <w:t>（210）行政事业单位医疗（11）行政单位医疗（01）</w:t>
      </w:r>
      <w:r>
        <w:rPr>
          <w:rStyle w:val="15"/>
          <w:rFonts w:ascii="仿宋" w:hAnsi="仿宋" w:eastAsia="仿宋"/>
          <w:bCs/>
          <w:sz w:val="32"/>
          <w:szCs w:val="32"/>
        </w:rPr>
        <w:t>:</w:t>
      </w:r>
      <w:r>
        <w:rPr>
          <w:rStyle w:val="15"/>
          <w:rFonts w:hint="eastAsia" w:ascii="仿宋" w:hAnsi="仿宋" w:eastAsia="仿宋"/>
          <w:b w:val="0"/>
          <w:bCs/>
          <w:sz w:val="32"/>
          <w:szCs w:val="32"/>
        </w:rPr>
        <w:t>支出决算为10.18万元，完成预算100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bCs/>
          <w:sz w:val="32"/>
          <w:szCs w:val="32"/>
        </w:rPr>
        <w:t>7.住房保障支出</w:t>
      </w:r>
      <w:r>
        <w:rPr>
          <w:rStyle w:val="15"/>
          <w:rFonts w:hint="eastAsia" w:ascii="仿宋" w:hAnsi="仿宋" w:eastAsia="仿宋"/>
          <w:bCs/>
          <w:sz w:val="32"/>
          <w:szCs w:val="32"/>
        </w:rPr>
        <w:t>（221）住房改革支出（02）  住房公积金（01）</w:t>
      </w:r>
      <w:r>
        <w:rPr>
          <w:rStyle w:val="15"/>
          <w:rFonts w:ascii="仿宋" w:hAnsi="仿宋" w:eastAsia="仿宋"/>
          <w:bCs/>
          <w:sz w:val="32"/>
          <w:szCs w:val="32"/>
        </w:rPr>
        <w:t>:</w:t>
      </w:r>
      <w:r>
        <w:rPr>
          <w:rStyle w:val="15"/>
          <w:rFonts w:hint="eastAsia" w:ascii="仿宋" w:hAnsi="仿宋" w:eastAsia="仿宋"/>
          <w:b w:val="0"/>
          <w:bCs/>
          <w:sz w:val="32"/>
          <w:szCs w:val="32"/>
        </w:rPr>
        <w:t>支出决算为18.90万元，完成预算100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tabs>
          <w:tab w:val="right" w:pos="8306"/>
        </w:tabs>
        <w:spacing w:line="600" w:lineRule="exact"/>
        <w:ind w:firstLine="640"/>
        <w:outlineLvl w:val="1"/>
        <w:rPr>
          <w:rStyle w:val="26"/>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21年一般公共预算财政拨款基本支出325.28万元，其中：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250.23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75.05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36" w:name="_Toc15377215"/>
      <w:bookmarkStart w:id="37"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21年“三公”经费财政拨款支出决算为12.62万元，完成预算100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；公务用车购置及运行维护费支出决算12.23万元，占96.91</w:t>
      </w:r>
      <w:r>
        <w:rPr>
          <w:rFonts w:ascii="仿宋" w:hAnsi="仿宋" w:eastAsia="仿宋"/>
          <w:sz w:val="32"/>
          <w:szCs w:val="32"/>
        </w:rPr>
        <w:t>%</w:t>
      </w:r>
      <w:r>
        <w:rPr>
          <w:rFonts w:hint="eastAsia" w:ascii="仿宋" w:hAnsi="仿宋" w:eastAsia="仿宋"/>
          <w:sz w:val="32"/>
          <w:szCs w:val="32"/>
        </w:rPr>
        <w:t>；公务接待费支出决算0.39万元，占3.09</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rPr>
          <w:rFonts w:ascii="仿宋" w:hAnsi="仿宋" w:eastAsia="仿宋"/>
          <w:sz w:val="32"/>
          <w:szCs w:val="32"/>
        </w:rPr>
      </w:pPr>
      <w:r>
        <w:drawing>
          <wp:inline distT="0" distB="0" distL="114300" distR="114300">
            <wp:extent cx="4961255" cy="2177415"/>
            <wp:effectExtent l="4445" t="4445" r="6350" b="8890"/>
            <wp:docPr id="8" name="图表 1"/>
            <wp:cNvGraphicFramePr>
              <a:graphicFrameLocks xmlns:a="http://schemas.openxmlformats.org/drawingml/2006/main" noGrp="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spacing w:before="93"/>
        <w:rPr>
          <w:rFonts w:ascii="仿宋" w:hAnsi="仿宋" w:eastAsia="仿宋"/>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w:t>
      </w:r>
    </w:p>
    <w:p>
      <w:p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12.23万元,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20年减少1.31万元，下降9.69</w:t>
      </w:r>
      <w:r>
        <w:rPr>
          <w:rFonts w:ascii="仿宋_GB2312" w:eastAsia="仿宋_GB2312"/>
          <w:sz w:val="32"/>
          <w:szCs w:val="32"/>
        </w:rPr>
        <w:t>%</w:t>
      </w:r>
      <w:r>
        <w:rPr>
          <w:rFonts w:hint="eastAsia" w:ascii="仿宋_GB2312" w:eastAsia="仿宋_GB2312"/>
          <w:sz w:val="32"/>
          <w:szCs w:val="32"/>
        </w:rPr>
        <w:t>。主要原因是厉行节约 2021年公车费用大幅度减少。</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月底，单位共有执法执勤用车3辆，其中：轿车0辆、越野车3辆、载客汽车0辆。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12.23万元。主要用于单位</w:t>
      </w:r>
      <w:r>
        <w:rPr>
          <w:rFonts w:hint="eastAsia" w:ascii="仿宋" w:hAnsi="仿宋" w:eastAsia="仿宋" w:cs="仿宋"/>
          <w:color w:val="000000"/>
          <w:sz w:val="32"/>
          <w:szCs w:val="32"/>
          <w:shd w:val="clear" w:color="auto" w:fill="FFFFFF"/>
        </w:rPr>
        <w:t>不动产登记相关工作等所需的公务用车燃料费、维修费、过路过桥费、保险费等支出</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0.39万元，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20年减少0.42万元，下降51.69</w:t>
      </w:r>
      <w:r>
        <w:rPr>
          <w:rFonts w:ascii="仿宋_GB2312" w:eastAsia="仿宋_GB2312"/>
          <w:sz w:val="32"/>
          <w:szCs w:val="32"/>
        </w:rPr>
        <w:t>%</w:t>
      </w:r>
      <w:r>
        <w:rPr>
          <w:rFonts w:hint="eastAsia" w:ascii="仿宋_GB2312" w:eastAsia="仿宋_GB2312"/>
          <w:sz w:val="32"/>
          <w:szCs w:val="32"/>
        </w:rPr>
        <w:t>。主要原因是厉行节约，2021年减少公务接待经费。其中：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0.39</w:t>
      </w:r>
      <w:r>
        <w:rPr>
          <w:rFonts w:hint="eastAsia" w:ascii="仿宋_GB2312" w:eastAsia="仿宋_GB2312"/>
          <w:sz w:val="32"/>
          <w:szCs w:val="32"/>
        </w:rPr>
        <w:t>万元，主要用于执行公务、开展业务活动开支的交通费、住宿费、用餐费等。国内公务接待6批次，48人次（不包括陪同人员），共计支出0.39万元，具体内容包括：接待大英县森警大队汇报工作餐费718元等。</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bookmarkStart w:id="40" w:name="_Toc15377218"/>
      <w:bookmarkStart w:id="41"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26"/>
          <w:rFonts w:ascii="黑体" w:hAnsi="黑体" w:eastAsia="黑体"/>
          <w:b w:val="0"/>
        </w:rPr>
      </w:pPr>
      <w:bookmarkStart w:id="42" w:name="_Toc15396611"/>
      <w:bookmarkStart w:id="43" w:name="_Toc15377219"/>
      <w:r>
        <w:rPr>
          <w:rStyle w:val="26"/>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21年，遂宁市公安局森林警察支队机关运行经费支出75.05万元，比</w:t>
      </w:r>
      <w:r>
        <w:rPr>
          <w:rFonts w:ascii="仿宋_GB2312" w:eastAsia="仿宋_GB2312"/>
          <w:sz w:val="32"/>
          <w:szCs w:val="32"/>
        </w:rPr>
        <w:t>20</w:t>
      </w:r>
      <w:r>
        <w:rPr>
          <w:rFonts w:hint="eastAsia" w:ascii="仿宋_GB2312" w:eastAsia="仿宋_GB2312"/>
          <w:sz w:val="32"/>
          <w:szCs w:val="32"/>
        </w:rPr>
        <w:t>20年增加5.89万元，增长8.52</w:t>
      </w:r>
      <w:r>
        <w:rPr>
          <w:rFonts w:ascii="仿宋_GB2312" w:eastAsia="仿宋_GB2312"/>
          <w:sz w:val="32"/>
          <w:szCs w:val="32"/>
        </w:rPr>
        <w:t>%</w:t>
      </w:r>
      <w:r>
        <w:rPr>
          <w:rFonts w:hint="eastAsia" w:ascii="仿宋_GB2312" w:eastAsia="仿宋_GB2312"/>
          <w:sz w:val="32"/>
          <w:szCs w:val="32"/>
        </w:rPr>
        <w:t>。主要原因是2021年支队人员增加4人，运行成本相对增加。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21年，，遂宁市公安局森林警察支队政府采购支出总额0万元，其中：政府采购货物支出0万元、政府采购工程支出0万元、政府采购服务支出0万元。授予中小企业合同金额0万元，占政府采购支出总额的0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日，遂宁市公安局森林警察支队共有车辆3辆，其中：主要领导干部用车0辆、机要通信用车0辆、应急保障用车0辆、执法执勤用车3辆、其他用车0辆，单价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_GB2312" w:eastAsia="仿宋_GB2312" w:cs="仿宋_GB2312"/>
          <w:color w:val="000000"/>
          <w:kern w:val="0"/>
          <w:sz w:val="32"/>
          <w:szCs w:val="32"/>
          <w:shd w:val="clear" w:color="auto" w:fill="FFFFFF"/>
        </w:rPr>
        <w:t>办案</w:t>
      </w:r>
      <w:r>
        <w:rPr>
          <w:rFonts w:ascii="仿宋_GB2312" w:eastAsia="仿宋_GB2312" w:cs="仿宋_GB2312"/>
          <w:color w:val="000000"/>
          <w:kern w:val="0"/>
          <w:sz w:val="32"/>
          <w:szCs w:val="32"/>
          <w:shd w:val="clear" w:color="auto" w:fill="FFFFFF"/>
        </w:rPr>
        <w:t>专项资金</w:t>
      </w:r>
      <w:r>
        <w:rPr>
          <w:rFonts w:hint="eastAsia" w:ascii="仿宋_GB2312" w:eastAsia="仿宋_GB2312" w:cs="仿宋_GB2312"/>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警务辅助人员专项资金</w:t>
      </w:r>
      <w:r>
        <w:rPr>
          <w:rFonts w:hint="eastAsia" w:ascii="仿宋_GB2312" w:hAnsi="仿宋_GB2312" w:eastAsia="仿宋_GB2312" w:cs="仿宋_GB2312"/>
          <w:sz w:val="32"/>
          <w:szCs w:val="32"/>
        </w:rPr>
        <w:t>等2个项目开展了预算事前绩效评估，对2个项目编制了绩效目标，预算执行过程中，选取2个项目开展绩效监控，年终执行完毕后，对2个项目开展了绩效自评，2021年特定目标类部门预算项目绩效目标自评表见附件（第四部分）。</w:t>
      </w:r>
    </w:p>
    <w:p>
      <w:pPr>
        <w:pStyle w:val="2"/>
        <w:spacing w:before="93"/>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pStyle w:val="12"/>
        <w:widowControl/>
        <w:shd w:val="clear" w:color="auto" w:fill="FFFFFF"/>
        <w:spacing w:beforeAutospacing="0" w:afterAutospacing="0"/>
        <w:jc w:val="both"/>
        <w:rPr>
          <w:rFonts w:ascii="仿宋" w:hAnsi="仿宋" w:eastAsia="仿宋" w:cs="仿宋"/>
          <w:color w:val="333333"/>
          <w:sz w:val="32"/>
          <w:szCs w:val="32"/>
          <w:shd w:val="clear" w:color="auto" w:fill="FFFFFF"/>
        </w:rPr>
      </w:pPr>
      <w:r>
        <w:rPr>
          <w:rFonts w:ascii="仿宋" w:hAnsi="仿宋" w:eastAsia="仿宋" w:cs="仿宋"/>
          <w:color w:val="333333"/>
          <w:sz w:val="32"/>
          <w:szCs w:val="32"/>
          <w:shd w:val="clear" w:color="auto" w:fill="FFFFFF"/>
        </w:rPr>
        <w:t>1.</w:t>
      </w:r>
      <w:r>
        <w:rPr>
          <w:rFonts w:hint="eastAsia" w:ascii="仿宋" w:hAnsi="仿宋" w:eastAsia="仿宋" w:cs="仿宋"/>
          <w:color w:val="333333"/>
          <w:sz w:val="32"/>
          <w:szCs w:val="32"/>
          <w:shd w:val="clear" w:color="auto" w:fill="FFFFFF"/>
        </w:rPr>
        <w:t>财政拨款收入：指单位从同级财政部门取得的财政预算资金。</w:t>
      </w:r>
    </w:p>
    <w:p>
      <w:pPr>
        <w:pStyle w:val="12"/>
        <w:widowControl/>
        <w:shd w:val="clear" w:color="auto" w:fill="FFFFFF"/>
        <w:spacing w:beforeAutospacing="0" w:afterAutospacing="0"/>
        <w:jc w:val="both"/>
        <w:rPr>
          <w:color w:val="333333"/>
          <w:sz w:val="21"/>
          <w:szCs w:val="21"/>
        </w:rPr>
      </w:pPr>
      <w:r>
        <w:rPr>
          <w:rFonts w:hint="eastAsia" w:ascii="仿宋" w:hAnsi="仿宋" w:eastAsia="仿宋" w:cs="仿宋"/>
          <w:color w:val="333333"/>
          <w:sz w:val="32"/>
          <w:szCs w:val="32"/>
          <w:shd w:val="clear" w:color="auto" w:fill="FFFFFF"/>
        </w:rPr>
        <w:t>2.事业收入：指事业单位开展专业业务活动及辅助活动取得的收入。</w:t>
      </w:r>
    </w:p>
    <w:p>
      <w:pPr>
        <w:pStyle w:val="12"/>
        <w:widowControl/>
        <w:shd w:val="clear" w:color="auto" w:fill="FFFFFF"/>
        <w:spacing w:beforeAutospacing="0" w:afterAutospacing="0"/>
        <w:jc w:val="both"/>
        <w:rPr>
          <w:color w:val="333333"/>
          <w:sz w:val="21"/>
          <w:szCs w:val="21"/>
        </w:rPr>
      </w:pPr>
      <w:r>
        <w:rPr>
          <w:rFonts w:hint="eastAsia" w:ascii="仿宋" w:hAnsi="仿宋" w:eastAsia="仿宋" w:cs="仿宋"/>
          <w:color w:val="333333"/>
          <w:sz w:val="32"/>
          <w:szCs w:val="32"/>
          <w:shd w:val="clear" w:color="auto" w:fill="FFFFFF"/>
        </w:rPr>
        <w:t>3.经营收入：指事业单位在专业业务活动及其辅助活动之外开展非独立核算经营活动取得的收入。</w:t>
      </w:r>
    </w:p>
    <w:p>
      <w:pPr>
        <w:pStyle w:val="12"/>
        <w:widowControl/>
        <w:shd w:val="clear" w:color="auto" w:fill="FFFFFF"/>
        <w:spacing w:beforeAutospacing="0" w:afterAutospacing="0"/>
        <w:jc w:val="both"/>
        <w:rPr>
          <w:color w:val="333333"/>
          <w:sz w:val="21"/>
          <w:szCs w:val="21"/>
        </w:rPr>
      </w:pPr>
      <w:r>
        <w:rPr>
          <w:rFonts w:hint="eastAsia" w:ascii="仿宋" w:hAnsi="仿宋" w:eastAsia="仿宋" w:cs="仿宋"/>
          <w:color w:val="333333"/>
          <w:sz w:val="32"/>
          <w:szCs w:val="32"/>
          <w:shd w:val="clear" w:color="auto" w:fill="FFFFFF"/>
        </w:rPr>
        <w:t>4.其他收入：指单位取得的除上述收入以外的各项收入。</w:t>
      </w:r>
    </w:p>
    <w:p>
      <w:pPr>
        <w:pStyle w:val="12"/>
        <w:widowControl/>
        <w:shd w:val="clear" w:color="auto" w:fill="FFFFFF"/>
        <w:spacing w:beforeAutospacing="0" w:afterAutospacing="0"/>
        <w:jc w:val="both"/>
        <w:rPr>
          <w:color w:val="333333"/>
          <w:sz w:val="32"/>
          <w:szCs w:val="32"/>
          <w:shd w:val="clear" w:color="auto" w:fill="FFFFFF"/>
        </w:rPr>
      </w:pPr>
      <w:r>
        <w:rPr>
          <w:rFonts w:hint="eastAsia" w:ascii="仿宋" w:hAnsi="仿宋" w:eastAsia="仿宋" w:cs="仿宋"/>
          <w:color w:val="333333"/>
          <w:sz w:val="32"/>
          <w:szCs w:val="32"/>
          <w:shd w:val="clear" w:color="auto" w:fill="FFFFFF"/>
        </w:rPr>
        <w:t>5.使用非财政拨款结余：指事业单位使用以前年度积累的非财政拨款结余弥补当年收支差额的金额。</w:t>
      </w:r>
      <w:r>
        <w:rPr>
          <w:color w:val="333333"/>
          <w:sz w:val="32"/>
          <w:szCs w:val="32"/>
          <w:shd w:val="clear" w:color="auto" w:fill="FFFFFF"/>
        </w:rPr>
        <w:t> </w:t>
      </w:r>
    </w:p>
    <w:p>
      <w:pPr>
        <w:pStyle w:val="12"/>
        <w:widowControl/>
        <w:shd w:val="clear" w:color="auto" w:fill="FFFFFF"/>
        <w:spacing w:beforeAutospacing="0" w:afterAutospacing="0"/>
        <w:jc w:val="both"/>
        <w:rPr>
          <w:color w:val="333333"/>
          <w:sz w:val="32"/>
          <w:szCs w:val="32"/>
          <w:shd w:val="clear" w:color="auto" w:fill="FFFFFF"/>
        </w:rPr>
      </w:pPr>
      <w:r>
        <w:rPr>
          <w:rFonts w:hint="eastAsia" w:ascii="仿宋" w:hAnsi="仿宋" w:eastAsia="仿宋" w:cs="仿宋"/>
          <w:color w:val="333333"/>
          <w:sz w:val="32"/>
          <w:szCs w:val="32"/>
          <w:shd w:val="clear" w:color="auto" w:fill="FFFFFF"/>
        </w:rPr>
        <w:t>6.年初结转和结余：指以前年度尚未完成、结转到本年按有关规定继续使用的资金。</w:t>
      </w:r>
      <w:r>
        <w:rPr>
          <w:color w:val="333333"/>
          <w:sz w:val="32"/>
          <w:szCs w:val="32"/>
          <w:shd w:val="clear" w:color="auto" w:fill="FFFFFF"/>
        </w:rPr>
        <w:t> </w:t>
      </w:r>
    </w:p>
    <w:p>
      <w:pPr>
        <w:pStyle w:val="12"/>
        <w:widowControl/>
        <w:shd w:val="clear" w:color="auto" w:fill="FFFFFF"/>
        <w:spacing w:beforeAutospacing="0" w:afterAutospacing="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7.结余分配：指事业单位按照会计制度规定缴纳的所得税、提取的专用结余以及转入非财政拨款结余的金额等。</w:t>
      </w:r>
    </w:p>
    <w:p>
      <w:pPr>
        <w:pStyle w:val="12"/>
        <w:widowControl/>
        <w:shd w:val="clear" w:color="auto" w:fill="FFFFFF"/>
        <w:spacing w:beforeAutospacing="0" w:afterAutospacing="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8、年末结转和结余：指单位按有关规定结转到下年或以后年度继续使用的资金。</w:t>
      </w:r>
    </w:p>
    <w:p>
      <w:pPr>
        <w:pStyle w:val="12"/>
        <w:widowControl/>
        <w:shd w:val="clear" w:color="auto" w:fill="FFFFFF"/>
        <w:spacing w:beforeAutospacing="0" w:afterAutospacing="0"/>
        <w:jc w:val="both"/>
        <w:rPr>
          <w:rFonts w:hint="eastAsia"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公共安全支出（204）公安（02）行政运行（01）</w:t>
      </w:r>
      <w:r>
        <w:rPr>
          <w:rFonts w:ascii="仿宋_GB2312" w:eastAsia="仿宋_GB2312"/>
          <w:sz w:val="32"/>
          <w:szCs w:val="32"/>
        </w:rPr>
        <w:t xml:space="preserve">: </w:t>
      </w:r>
      <w:r>
        <w:rPr>
          <w:rFonts w:hint="eastAsia" w:ascii="仿宋_GB2312" w:eastAsia="仿宋_GB2312"/>
          <w:sz w:val="32"/>
          <w:szCs w:val="32"/>
        </w:rPr>
        <w:t>反映行政单位（包括实行公务员管理的事业单位）的基本支出。10</w:t>
      </w:r>
      <w:r>
        <w:rPr>
          <w:rFonts w:ascii="仿宋_GB2312" w:eastAsia="仿宋_GB2312"/>
          <w:sz w:val="32"/>
          <w:szCs w:val="32"/>
        </w:rPr>
        <w:t>.</w:t>
      </w:r>
      <w:r>
        <w:rPr>
          <w:rFonts w:hint="eastAsia" w:ascii="仿宋_GB2312" w:eastAsia="仿宋_GB2312"/>
          <w:sz w:val="32"/>
          <w:szCs w:val="32"/>
        </w:rPr>
        <w:t>公共安全支出（204）公安（02）一般行政管理事务（02）</w:t>
      </w:r>
      <w:r>
        <w:rPr>
          <w:rFonts w:ascii="仿宋_GB2312" w:eastAsia="仿宋_GB2312"/>
          <w:sz w:val="32"/>
          <w:szCs w:val="32"/>
        </w:rPr>
        <w:t xml:space="preserve">: </w:t>
      </w:r>
      <w:r>
        <w:rPr>
          <w:rFonts w:hint="eastAsia" w:ascii="仿宋_GB2312" w:eastAsia="仿宋_GB2312"/>
          <w:sz w:val="32"/>
          <w:szCs w:val="32"/>
        </w:rPr>
        <w:t>反映行政单位（包括实行公务员管理的事业单位）未单独设置项级科目的其他项目支出。</w:t>
      </w:r>
    </w:p>
    <w:p>
      <w:pPr>
        <w:pStyle w:val="12"/>
        <w:widowControl/>
        <w:shd w:val="clear" w:color="auto" w:fill="FFFFFF"/>
        <w:spacing w:beforeAutospacing="0" w:afterAutospacing="0"/>
        <w:jc w:val="both"/>
        <w:rPr>
          <w:rFonts w:hint="eastAsia"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公共安全支出（204）公安（02）执法办案（20）</w:t>
      </w:r>
      <w:r>
        <w:rPr>
          <w:rFonts w:ascii="仿宋_GB2312" w:eastAsia="仿宋_GB2312"/>
          <w:sz w:val="32"/>
          <w:szCs w:val="32"/>
        </w:rPr>
        <w:t>:</w:t>
      </w:r>
      <w:r>
        <w:rPr>
          <w:rFonts w:hint="eastAsia" w:ascii="仿宋_GB2312" w:eastAsia="仿宋_GB2312"/>
          <w:sz w:val="32"/>
          <w:szCs w:val="32"/>
        </w:rPr>
        <w:t>反映公安机关从事行政执法、刑事司法及侦查办案等相关活动的支出。</w:t>
      </w:r>
    </w:p>
    <w:p>
      <w:pPr>
        <w:pStyle w:val="12"/>
        <w:widowControl/>
        <w:shd w:val="clear" w:color="auto" w:fill="FFFFFF"/>
        <w:spacing w:beforeAutospacing="0" w:afterAutospacing="0"/>
        <w:jc w:val="both"/>
        <w:rPr>
          <w:rFonts w:ascii="仿宋" w:hAnsi="仿宋" w:eastAsia="仿宋" w:cs="仿宋"/>
          <w:color w:val="333333"/>
          <w:sz w:val="32"/>
          <w:szCs w:val="32"/>
          <w:shd w:val="clear" w:color="auto" w:fill="FFFFFF"/>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社会保障和就业支出（208）行政事业单位养老支出（05）行政单位离退休（01）</w:t>
      </w:r>
      <w:r>
        <w:rPr>
          <w:rFonts w:ascii="仿宋_GB2312" w:eastAsia="仿宋_GB2312"/>
          <w:sz w:val="32"/>
          <w:szCs w:val="32"/>
        </w:rPr>
        <w:t xml:space="preserve">: </w:t>
      </w:r>
      <w:r>
        <w:rPr>
          <w:rFonts w:hint="eastAsia" w:ascii="仿宋_GB2312" w:eastAsia="仿宋_GB2312"/>
          <w:sz w:val="32"/>
          <w:szCs w:val="32"/>
        </w:rPr>
        <w:t>反映行政单位（包括实行公务员管理的事业单位）开支的离退休经费。</w:t>
      </w:r>
    </w:p>
    <w:p>
      <w:pPr>
        <w:pStyle w:val="12"/>
        <w:widowControl/>
        <w:shd w:val="clear" w:color="auto" w:fill="FFFFFF"/>
        <w:spacing w:beforeAutospacing="0" w:afterAutospacing="0"/>
        <w:jc w:val="both"/>
        <w:rPr>
          <w:rFonts w:ascii="仿宋" w:hAnsi="仿宋" w:eastAsia="仿宋" w:cs="仿宋"/>
          <w:sz w:val="32"/>
          <w:szCs w:val="32"/>
          <w:shd w:val="clear" w:color="auto" w:fill="FFFFFF"/>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社会保障和就业支出（208）行政事业单位养老支出（05）机关事业单位基本养老保险缴费支出（05）</w:t>
      </w:r>
      <w:r>
        <w:rPr>
          <w:rFonts w:ascii="仿宋_GB2312" w:eastAsia="仿宋_GB2312"/>
          <w:sz w:val="32"/>
          <w:szCs w:val="32"/>
        </w:rPr>
        <w:t xml:space="preserve">: </w:t>
      </w:r>
      <w:r>
        <w:rPr>
          <w:rFonts w:hint="eastAsia" w:ascii="仿宋" w:hAnsi="仿宋" w:eastAsia="仿宋" w:cs="仿宋"/>
          <w:sz w:val="32"/>
          <w:szCs w:val="32"/>
          <w:shd w:val="clear" w:color="auto" w:fill="FFFFFF"/>
        </w:rPr>
        <w:t>指反映机关事业单位实施养老保险制度由单位缴纳的基本养老保险费支出。</w:t>
      </w:r>
    </w:p>
    <w:p>
      <w:pPr>
        <w:pStyle w:val="12"/>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卫生健康支出（210）行政事业单位医疗（11）行政单位医疗（01）</w:t>
      </w:r>
      <w:r>
        <w:rPr>
          <w:rFonts w:ascii="仿宋_GB2312" w:eastAsia="仿宋_GB2312"/>
          <w:sz w:val="32"/>
          <w:szCs w:val="32"/>
        </w:rPr>
        <w:t>:</w:t>
      </w:r>
      <w:r>
        <w:rPr>
          <w:rFonts w:hint="eastAsia" w:ascii="仿宋" w:hAnsi="仿宋" w:eastAsia="仿宋" w:cs="仿宋"/>
          <w:sz w:val="32"/>
          <w:szCs w:val="32"/>
          <w:shd w:val="clear" w:color="auto" w:fill="FFFFFF"/>
        </w:rPr>
        <w:t>指反映财政部门安排的行政单位（包括实行公务员管理的单位，下同）基本医疗保险缴费经费，未参加医疗保险的行政单位的公费医疗经费，按国家规定享受离休人员、红军老战士待遇人员的医疗经费。</w:t>
      </w:r>
    </w:p>
    <w:p>
      <w:pPr>
        <w:pStyle w:val="12"/>
        <w:widowControl/>
        <w:shd w:val="clear" w:color="auto" w:fill="FFFFFF"/>
        <w:spacing w:beforeAutospacing="0" w:afterAutospacing="0"/>
        <w:jc w:val="both"/>
        <w:rPr>
          <w:rFonts w:hint="eastAsia" w:ascii="仿宋" w:hAnsi="仿宋" w:eastAsia="仿宋" w:cs="仿宋"/>
          <w:sz w:val="32"/>
          <w:szCs w:val="32"/>
          <w:shd w:val="clear" w:color="auto" w:fill="FFFFFF"/>
        </w:rPr>
      </w:pPr>
      <w:r>
        <w:rPr>
          <w:rFonts w:hint="eastAsia" w:ascii="仿宋_GB2312" w:eastAsia="仿宋_GB2312"/>
          <w:sz w:val="32"/>
          <w:szCs w:val="32"/>
        </w:rPr>
        <w:t>15.住房保障支出（221）住房改革支出（02）住房公积金（01）</w:t>
      </w:r>
      <w:r>
        <w:rPr>
          <w:rFonts w:ascii="仿宋_GB2312" w:eastAsia="仿宋_GB2312"/>
          <w:sz w:val="32"/>
          <w:szCs w:val="32"/>
        </w:rPr>
        <w:t>:</w:t>
      </w:r>
      <w:r>
        <w:rPr>
          <w:rFonts w:hint="eastAsia" w:ascii="仿宋" w:hAnsi="仿宋" w:eastAsia="仿宋" w:cs="仿宋"/>
          <w:sz w:val="32"/>
          <w:szCs w:val="32"/>
          <w:shd w:val="clear" w:color="auto" w:fill="FFFFFF"/>
        </w:rPr>
        <w:t>指反映行政事业单位按人力资源和社会保障部、财政部规定的基本工资和津贴补贴以及规定比例为职工缴纳的住房公积金。</w:t>
      </w:r>
    </w:p>
    <w:p>
      <w:pPr>
        <w:pStyle w:val="12"/>
        <w:widowControl/>
        <w:shd w:val="clear" w:color="auto" w:fill="FFFFFF"/>
        <w:spacing w:beforeAutospacing="0" w:afterAutospacing="0"/>
        <w:jc w:val="both"/>
        <w:rPr>
          <w:rFonts w:hint="eastAsia"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12"/>
        <w:widowControl/>
        <w:shd w:val="clear" w:color="auto" w:fill="FFFFFF"/>
        <w:spacing w:beforeAutospacing="0" w:afterAutospacing="0"/>
        <w:jc w:val="both"/>
        <w:rPr>
          <w:rFonts w:hint="eastAsia"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12"/>
        <w:widowControl/>
        <w:shd w:val="clear" w:color="auto" w:fill="FFFFFF"/>
        <w:spacing w:beforeAutospacing="0" w:afterAutospacing="0"/>
        <w:jc w:val="both"/>
        <w:rPr>
          <w:rFonts w:hint="eastAsia"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12"/>
        <w:widowControl/>
        <w:shd w:val="clear" w:color="auto" w:fill="FFFFFF"/>
        <w:spacing w:beforeAutospacing="0" w:afterAutospacing="0"/>
        <w:jc w:val="both"/>
        <w:rPr>
          <w:rFonts w:hint="eastAsia"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2"/>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5"/>
          <w:rFonts w:hint="eastAsia" w:ascii="黑体" w:hAnsi="黑体" w:eastAsia="黑体"/>
          <w:b w:val="0"/>
        </w:rPr>
        <w:t>四部分 附件</w:t>
      </w:r>
      <w:bookmarkEnd w:id="52"/>
    </w:p>
    <w:p>
      <w:pPr>
        <w:spacing w:line="680" w:lineRule="exact"/>
        <w:jc w:val="center"/>
        <w:rPr>
          <w:rFonts w:hint="eastAsia" w:ascii="方正小标宋简体" w:hAnsi="宋体" w:eastAsia="方正小标宋简体"/>
          <w:sz w:val="44"/>
          <w:szCs w:val="44"/>
          <w:lang w:val="zh-CN"/>
        </w:rPr>
      </w:pPr>
      <w:bookmarkStart w:id="53" w:name="_Toc15396618"/>
    </w:p>
    <w:p>
      <w:pPr>
        <w:spacing w:line="680" w:lineRule="exact"/>
        <w:jc w:val="center"/>
        <w:rPr>
          <w:rFonts w:ascii="方正小标宋简体" w:hAnsi="宋体" w:eastAsia="方正小标宋简体"/>
          <w:sz w:val="44"/>
          <w:szCs w:val="44"/>
          <w:lang w:val="zh-CN"/>
        </w:rPr>
      </w:pPr>
      <w:r>
        <w:rPr>
          <w:rFonts w:hint="eastAsia" w:ascii="方正小标宋简体" w:hAnsi="宋体" w:eastAsia="方正小标宋简体"/>
          <w:sz w:val="44"/>
          <w:szCs w:val="44"/>
          <w:lang w:val="zh-CN"/>
        </w:rPr>
        <w:t>遂宁公安局森林警察支队</w:t>
      </w:r>
    </w:p>
    <w:p>
      <w:pPr>
        <w:spacing w:line="68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关于2021年部门整体支出绩效的</w:t>
      </w:r>
    </w:p>
    <w:p>
      <w:pPr>
        <w:spacing w:line="680" w:lineRule="exact"/>
        <w:jc w:val="center"/>
        <w:rPr>
          <w:rFonts w:ascii="方正小标宋简体" w:hAnsi="宋体" w:eastAsia="方正小标宋简体"/>
          <w:sz w:val="44"/>
          <w:szCs w:val="44"/>
          <w:shd w:val="clear" w:color="auto" w:fill="FFFFFF"/>
        </w:rPr>
      </w:pPr>
      <w:r>
        <w:rPr>
          <w:rFonts w:hint="eastAsia" w:ascii="方正小标宋简体" w:hAnsi="宋体" w:eastAsia="方正小标宋简体" w:cs="宋体"/>
          <w:bCs/>
          <w:sz w:val="44"/>
          <w:szCs w:val="44"/>
        </w:rPr>
        <w:t>报  告</w:t>
      </w:r>
    </w:p>
    <w:p>
      <w:pPr>
        <w:spacing w:line="540" w:lineRule="exact"/>
        <w:rPr>
          <w:rFonts w:eastAsia="黑体"/>
          <w:color w:val="000000"/>
          <w:kern w:val="0"/>
          <w:sz w:val="24"/>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（一）机构组成</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本单位为独立编制机构，原下设机构遂宁市森林公安局办公室、案件侦查大队、西山派出所分别调整为遂宁市公安局森林警察支队办公室、案件侦查一大队、案件侦查二大队。</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遂宁市公安局森林警察支队原为遂宁市森林公安局，更名后调整为遂宁市公安局的内设机构，实行队建制。</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（二）机构职能</w:t>
      </w:r>
    </w:p>
    <w:p>
      <w:pPr>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职责为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（三）人员概况</w:t>
      </w:r>
    </w:p>
    <w:p>
      <w:pPr>
        <w:snapToGrid w:val="0"/>
        <w:spacing w:line="58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本单位有在岗民警17人，其中：二级高级警长1人，四级高级警长1人，一级警长6人，二级警长4人，三级警长2人，四级警长3人。财政保障辅警6人，以及纳入市社保局统一管理的退休人员4名。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（一）部门财政资金收入情况</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本年总收入406.74万元，其中一般公共预算拨款收入406.74万元，其他收入0万元。</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hAnsi="宋体" w:cs="宋体"/>
          <w:color w:val="000000"/>
          <w:kern w:val="0"/>
          <w:sz w:val="32"/>
          <w:szCs w:val="32"/>
          <w:shd w:val="clear" w:color="auto" w:fill="FFFFFF"/>
          <w:lang w:val="zh-CN"/>
        </w:rPr>
      </w:pPr>
      <w:r>
        <w:rPr>
          <w:rFonts w:hint="eastAsia" w:ascii="仿宋" w:hAnsi="仿宋" w:eastAsia="仿宋" w:cs="仿宋"/>
          <w:sz w:val="32"/>
          <w:szCs w:val="32"/>
        </w:rPr>
        <w:t>支出406.74万元。其中支出包括基本支出325.28万元、项目支出81.45万元。基本支出分为人员经费250.23万元、公用经费75.05万元；项目支出主要是辅警专项经费32.53工作万元、办案经费25.52万元、新景源办案经费23.40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（一）部门预算管理</w:t>
      </w:r>
    </w:p>
    <w:p>
      <w:pPr>
        <w:adjustRightInd w:val="0"/>
        <w:snapToGrid w:val="0"/>
        <w:spacing w:line="540" w:lineRule="exact"/>
        <w:ind w:firstLine="720"/>
        <w:rPr>
          <w:rFonts w:ascii="仿宋_GB2312" w:hAnsi="宋体" w:cs="宋体"/>
          <w:color w:val="000000"/>
          <w:kern w:val="0"/>
          <w:sz w:val="32"/>
          <w:szCs w:val="32"/>
          <w:shd w:val="clear" w:color="auto" w:fill="FFFFFF"/>
        </w:rPr>
      </w:pPr>
      <w:r>
        <w:rPr>
          <w:rFonts w:hint="eastAsia" w:ascii="仿宋" w:hAnsi="仿宋" w:eastAsia="仿宋" w:cs="黑体"/>
          <w:color w:val="000000"/>
          <w:kern w:val="0"/>
          <w:sz w:val="32"/>
          <w:szCs w:val="32"/>
          <w:shd w:val="clear" w:color="auto" w:fill="FFFFFF"/>
        </w:rPr>
        <w:t>我支队按照《预算法》有关规定和2021年部门预算编制政策口径，将2021年所有收入和支出均纳入部门预算管理。按要求完成了预算基础库、项目库、预算草案和项目绩效目标的编报工作。收入包括：一般公共预算拨款收入；支出包括：社会保障和就业支出、卫生健康支出、城乡社区支出、公安业务支出、住房保障支出等。</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（二）结果应用情况</w:t>
      </w:r>
    </w:p>
    <w:p>
      <w:pPr>
        <w:adjustRightInd w:val="0"/>
        <w:snapToGrid w:val="0"/>
        <w:spacing w:line="540" w:lineRule="exact"/>
        <w:ind w:firstLine="720"/>
        <w:rPr>
          <w:rFonts w:ascii="仿宋" w:hAnsi="仿宋" w:eastAsia="仿宋" w:cs="黑体"/>
          <w:color w:val="000000"/>
          <w:kern w:val="0"/>
          <w:sz w:val="32"/>
          <w:szCs w:val="32"/>
          <w:shd w:val="clear" w:color="auto" w:fill="FFFFFF"/>
        </w:rPr>
      </w:pPr>
      <w:r>
        <w:rPr>
          <w:rFonts w:hint="eastAsia" w:ascii="仿宋" w:hAnsi="仿宋" w:eastAsia="仿宋" w:cs="黑体"/>
          <w:color w:val="000000"/>
          <w:kern w:val="0"/>
          <w:sz w:val="32"/>
          <w:szCs w:val="32"/>
          <w:shd w:val="clear" w:color="auto" w:fill="FFFFFF"/>
        </w:rPr>
        <w:t>1.结转中省专款分配合规率。严格按照各项专项资金管理办法和下达的任务使用资金。</w:t>
      </w:r>
    </w:p>
    <w:p>
      <w:pPr>
        <w:adjustRightInd w:val="0"/>
        <w:snapToGrid w:val="0"/>
        <w:spacing w:line="540" w:lineRule="exact"/>
        <w:ind w:firstLine="720"/>
        <w:rPr>
          <w:rFonts w:ascii="仿宋" w:hAnsi="仿宋" w:eastAsia="仿宋" w:cs="黑体"/>
          <w:color w:val="000000"/>
          <w:kern w:val="0"/>
          <w:sz w:val="32"/>
          <w:szCs w:val="32"/>
          <w:shd w:val="clear" w:color="auto" w:fill="FFFFFF"/>
        </w:rPr>
      </w:pPr>
      <w:r>
        <w:rPr>
          <w:rFonts w:hint="eastAsia" w:ascii="仿宋" w:hAnsi="仿宋" w:eastAsia="仿宋" w:cs="黑体"/>
          <w:color w:val="000000"/>
          <w:kern w:val="0"/>
          <w:sz w:val="32"/>
          <w:szCs w:val="32"/>
          <w:shd w:val="clear" w:color="auto" w:fill="FFFFFF"/>
        </w:rPr>
        <w:t>2.部门预算执行进度情况。2021年财政下达预算资金</w:t>
      </w:r>
      <w:r>
        <w:rPr>
          <w:rFonts w:hint="eastAsia" w:ascii="仿宋" w:hAnsi="仿宋" w:eastAsia="仿宋" w:cs="仿宋_GB2312"/>
          <w:color w:val="000000"/>
          <w:kern w:val="0"/>
          <w:sz w:val="32"/>
          <w:szCs w:val="32"/>
          <w:shd w:val="clear" w:color="auto" w:fill="FFFFFF"/>
        </w:rPr>
        <w:t>406.74</w:t>
      </w:r>
      <w:r>
        <w:rPr>
          <w:rFonts w:hint="eastAsia" w:ascii="仿宋" w:hAnsi="仿宋" w:eastAsia="仿宋" w:cs="仿宋_GB2312"/>
          <w:color w:val="000000"/>
          <w:kern w:val="0"/>
          <w:sz w:val="32"/>
          <w:szCs w:val="32"/>
          <w:shd w:val="clear" w:color="auto" w:fill="FFFFFF"/>
          <w:lang w:val="zh-CN"/>
        </w:rPr>
        <w:t>万</w:t>
      </w:r>
      <w:r>
        <w:rPr>
          <w:rFonts w:hint="eastAsia" w:ascii="仿宋" w:hAnsi="仿宋" w:eastAsia="仿宋" w:cs="黑体"/>
          <w:color w:val="000000"/>
          <w:kern w:val="0"/>
          <w:sz w:val="32"/>
          <w:szCs w:val="32"/>
          <w:shd w:val="clear" w:color="auto" w:fill="FFFFFF"/>
        </w:rPr>
        <w:t>元，年度实际支付财政预算资金406.74万元，预算执行进度达到100%。</w:t>
      </w:r>
    </w:p>
    <w:p>
      <w:pPr>
        <w:adjustRightInd w:val="0"/>
        <w:snapToGrid w:val="0"/>
        <w:spacing w:line="540" w:lineRule="exact"/>
        <w:ind w:firstLine="720"/>
        <w:rPr>
          <w:rFonts w:ascii="仿宋" w:hAnsi="仿宋" w:eastAsia="仿宋" w:cs="黑体"/>
          <w:color w:val="000000"/>
          <w:kern w:val="0"/>
          <w:sz w:val="32"/>
          <w:szCs w:val="32"/>
          <w:shd w:val="clear" w:color="auto" w:fill="FFFFFF"/>
        </w:rPr>
      </w:pPr>
      <w:r>
        <w:rPr>
          <w:rFonts w:hint="eastAsia" w:ascii="仿宋" w:hAnsi="仿宋" w:eastAsia="仿宋" w:cs="黑体"/>
          <w:color w:val="000000"/>
          <w:kern w:val="0"/>
          <w:sz w:val="32"/>
          <w:szCs w:val="32"/>
          <w:shd w:val="clear" w:color="auto" w:fill="FFFFFF"/>
        </w:rPr>
        <w:t>3.节能降耗情况。本着厉行节约、反对铺张浪费的宗旨，充分利用电子办公，减少纸质文件资料的印刷和发放。同时也分别对水、电、气使用进行了合理监管。</w:t>
      </w:r>
    </w:p>
    <w:p>
      <w:pPr>
        <w:widowControl/>
        <w:adjustRightInd w:val="0"/>
        <w:snapToGrid w:val="0"/>
        <w:spacing w:line="580" w:lineRule="exact"/>
        <w:ind w:firstLine="640" w:firstLineChars="200"/>
        <w:contextualSpacing/>
        <w:jc w:val="left"/>
        <w:rPr>
          <w:rFonts w:ascii="仿宋" w:hAnsi="仿宋" w:eastAsia="仿宋" w:cs="黑体"/>
          <w:color w:val="000000"/>
          <w:kern w:val="0"/>
          <w:sz w:val="32"/>
          <w:szCs w:val="32"/>
          <w:shd w:val="clear" w:color="auto" w:fill="FFFFFF"/>
        </w:rPr>
      </w:pPr>
      <w:r>
        <w:rPr>
          <w:rFonts w:hint="eastAsia" w:ascii="仿宋" w:hAnsi="仿宋" w:eastAsia="仿宋" w:cs="黑体"/>
          <w:color w:val="000000"/>
          <w:kern w:val="0"/>
          <w:sz w:val="32"/>
          <w:szCs w:val="32"/>
          <w:shd w:val="clear" w:color="auto" w:fill="FFFFFF"/>
        </w:rPr>
        <w:t>4.</w:t>
      </w:r>
      <w:r>
        <w:rPr>
          <w:rFonts w:ascii="仿宋" w:hAnsi="仿宋" w:eastAsia="仿宋" w:cs="黑体"/>
          <w:color w:val="000000"/>
          <w:kern w:val="0"/>
          <w:sz w:val="32"/>
          <w:szCs w:val="32"/>
          <w:shd w:val="clear" w:color="auto" w:fill="FFFFFF"/>
        </w:rPr>
        <w:t>“</w:t>
      </w:r>
      <w:r>
        <w:rPr>
          <w:rFonts w:hint="eastAsia" w:ascii="仿宋" w:hAnsi="仿宋" w:eastAsia="仿宋" w:cs="黑体"/>
          <w:color w:val="000000"/>
          <w:kern w:val="0"/>
          <w:sz w:val="32"/>
          <w:szCs w:val="32"/>
          <w:shd w:val="clear" w:color="auto" w:fill="FFFFFF"/>
        </w:rPr>
        <w:t>三公</w:t>
      </w:r>
      <w:r>
        <w:rPr>
          <w:rFonts w:ascii="仿宋" w:hAnsi="仿宋" w:eastAsia="仿宋" w:cs="黑体"/>
          <w:color w:val="000000"/>
          <w:kern w:val="0"/>
          <w:sz w:val="32"/>
          <w:szCs w:val="32"/>
          <w:shd w:val="clear" w:color="auto" w:fill="FFFFFF"/>
        </w:rPr>
        <w:t>”</w:t>
      </w:r>
      <w:r>
        <w:rPr>
          <w:rFonts w:hint="eastAsia" w:ascii="仿宋" w:hAnsi="仿宋" w:eastAsia="仿宋" w:cs="黑体"/>
          <w:color w:val="000000"/>
          <w:kern w:val="0"/>
          <w:sz w:val="32"/>
          <w:szCs w:val="32"/>
          <w:shd w:val="clear" w:color="auto" w:fill="FFFFFF"/>
        </w:rPr>
        <w:t>经费预算执行情况。（1）公务用车运行维护费：2021年预算14.27万元，账列支出12.23万元；（2）公务接待费：2021年预算2.38万元，账列支出0.39万元；（3）无因公出国出境费用。</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（三）综合管理情况</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1.非税收入执收情况。202</w:t>
      </w:r>
      <w:r>
        <w:rPr>
          <w:rFonts w:hint="eastAsia"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lang w:val="zh-CN"/>
        </w:rPr>
        <w:t>年非税收入共计14元，为利息收入。所有非税收入均纳入预算管理并全部缴入本级国库。</w:t>
      </w:r>
    </w:p>
    <w:p>
      <w:pPr>
        <w:adjustRightInd w:val="0"/>
        <w:snapToGrid w:val="0"/>
        <w:spacing w:line="540" w:lineRule="exact"/>
        <w:ind w:firstLine="720"/>
        <w:rPr>
          <w:rFonts w:ascii="仿宋" w:hAnsi="仿宋" w:eastAsia="仿宋" w:cs="仿宋_GB2312"/>
          <w:color w:val="FF0000"/>
          <w:kern w:val="0"/>
          <w:sz w:val="32"/>
          <w:szCs w:val="32"/>
          <w:shd w:val="clear" w:color="auto" w:fill="FFFFFF"/>
          <w:lang w:val="zh-CN"/>
        </w:rPr>
      </w:pPr>
      <w:r>
        <w:rPr>
          <w:rFonts w:hint="eastAsia" w:ascii="仿宋" w:hAnsi="仿宋" w:eastAsia="仿宋" w:cs="仿宋_GB2312"/>
          <w:kern w:val="0"/>
          <w:sz w:val="32"/>
          <w:szCs w:val="32"/>
          <w:shd w:val="clear" w:color="auto" w:fill="FFFFFF"/>
          <w:lang w:val="zh-CN"/>
        </w:rPr>
        <w:t>2.</w:t>
      </w:r>
      <w:r>
        <w:rPr>
          <w:rFonts w:hint="eastAsia" w:ascii="仿宋" w:hAnsi="仿宋" w:eastAsia="仿宋" w:cs="仿宋_GB2312"/>
          <w:color w:val="000000"/>
          <w:kern w:val="0"/>
          <w:sz w:val="32"/>
          <w:szCs w:val="32"/>
          <w:shd w:val="clear" w:color="auto" w:fill="FFFFFF"/>
          <w:lang w:val="zh-CN"/>
        </w:rPr>
        <w:t>资产管理。202</w:t>
      </w:r>
      <w:r>
        <w:rPr>
          <w:rFonts w:hint="eastAsia"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lang w:val="zh-CN"/>
        </w:rPr>
        <w:t>年末，资产管理信息系统和财务会计账登记的固定资产原值均为</w:t>
      </w:r>
      <w:r>
        <w:rPr>
          <w:rFonts w:hint="eastAsia" w:ascii="仿宋" w:hAnsi="仿宋" w:eastAsia="仿宋" w:cs="仿宋_GB2312"/>
          <w:color w:val="000000"/>
          <w:kern w:val="0"/>
          <w:sz w:val="32"/>
          <w:szCs w:val="32"/>
          <w:shd w:val="clear" w:color="auto" w:fill="FFFFFF"/>
        </w:rPr>
        <w:t>275.96</w:t>
      </w:r>
      <w:r>
        <w:rPr>
          <w:rFonts w:hint="eastAsia" w:ascii="仿宋" w:hAnsi="仿宋" w:eastAsia="仿宋" w:cs="仿宋_GB2312"/>
          <w:color w:val="000000"/>
          <w:kern w:val="0"/>
          <w:sz w:val="32"/>
          <w:szCs w:val="32"/>
          <w:shd w:val="clear" w:color="auto" w:fill="FFFFFF"/>
          <w:lang w:val="zh-CN"/>
        </w:rPr>
        <w:t>万元，固定资产累计折旧均为</w:t>
      </w:r>
      <w:r>
        <w:rPr>
          <w:rFonts w:hint="eastAsia" w:ascii="仿宋" w:hAnsi="仿宋" w:eastAsia="仿宋" w:cs="仿宋_GB2312"/>
          <w:color w:val="000000"/>
          <w:kern w:val="0"/>
          <w:sz w:val="32"/>
          <w:szCs w:val="32"/>
          <w:shd w:val="clear" w:color="auto" w:fill="FFFFFF"/>
        </w:rPr>
        <w:t>250.07</w:t>
      </w:r>
      <w:r>
        <w:rPr>
          <w:rFonts w:hint="eastAsia" w:ascii="仿宋" w:hAnsi="仿宋" w:eastAsia="仿宋" w:cs="仿宋_GB2312"/>
          <w:color w:val="000000"/>
          <w:kern w:val="0"/>
          <w:sz w:val="32"/>
          <w:szCs w:val="32"/>
          <w:shd w:val="clear" w:color="auto" w:fill="FFFFFF"/>
          <w:lang w:val="zh-CN"/>
        </w:rPr>
        <w:t>万元，固定资产财务账与资产管理信息系统相符。</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3.内控制度管理。根据省财政厅要求进行内控管理，开展20</w:t>
      </w:r>
      <w:r>
        <w:rPr>
          <w:rFonts w:hint="eastAsia" w:ascii="仿宋" w:hAnsi="仿宋" w:eastAsia="仿宋" w:cs="仿宋_GB2312"/>
          <w:color w:val="000000"/>
          <w:kern w:val="0"/>
          <w:sz w:val="32"/>
          <w:szCs w:val="32"/>
          <w:shd w:val="clear" w:color="auto" w:fill="FFFFFF"/>
        </w:rPr>
        <w:t>20</w:t>
      </w:r>
      <w:r>
        <w:rPr>
          <w:rFonts w:hint="eastAsia" w:ascii="仿宋" w:hAnsi="仿宋" w:eastAsia="仿宋" w:cs="仿宋_GB2312"/>
          <w:color w:val="000000"/>
          <w:kern w:val="0"/>
          <w:sz w:val="32"/>
          <w:szCs w:val="32"/>
          <w:shd w:val="clear" w:color="auto" w:fill="FFFFFF"/>
          <w:lang w:val="zh-CN"/>
        </w:rPr>
        <w:t>年内控管理自评工作，形成了内控管理报告，对有所欠缺的方面及时进行了整改，推进全局内部管理工作有序开展。</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4.信息公开。按照规定及时在市政府网站公开202</w:t>
      </w:r>
      <w:r>
        <w:rPr>
          <w:rFonts w:hint="eastAsia"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lang w:val="zh-CN"/>
        </w:rPr>
        <w:t>年部门预算、“三公经费”预算和20</w:t>
      </w:r>
      <w:r>
        <w:rPr>
          <w:rFonts w:hint="eastAsia" w:ascii="仿宋" w:hAnsi="仿宋" w:eastAsia="仿宋" w:cs="仿宋_GB2312"/>
          <w:color w:val="000000"/>
          <w:kern w:val="0"/>
          <w:sz w:val="32"/>
          <w:szCs w:val="32"/>
          <w:shd w:val="clear" w:color="auto" w:fill="FFFFFF"/>
        </w:rPr>
        <w:t>20</w:t>
      </w:r>
      <w:r>
        <w:rPr>
          <w:rFonts w:hint="eastAsia" w:ascii="仿宋" w:hAnsi="仿宋" w:eastAsia="仿宋" w:cs="仿宋_GB2312"/>
          <w:color w:val="000000"/>
          <w:kern w:val="0"/>
          <w:sz w:val="32"/>
          <w:szCs w:val="32"/>
          <w:shd w:val="clear" w:color="auto" w:fill="FFFFFF"/>
          <w:lang w:val="zh-CN"/>
        </w:rPr>
        <w:t>年部门决算、“三公经费”决算，并安排做好了跟踪舆情、主动引导、及时解疑释惑的各项应对工作，自觉接受社会监督。</w:t>
      </w:r>
    </w:p>
    <w:p>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（四）整体绩效</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 xml:space="preserve">1.提升警务信息化与保障水平。主动与各单位各部门协调对接工作，落实民辅警体检、警服洗涤等惠警暖警措施。                    </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2.防范和打击涉林违法犯罪。全市共办理刑事案件107件，移送起诉53件63人。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adjustRightInd w:val="0"/>
        <w:snapToGrid w:val="0"/>
        <w:spacing w:line="540" w:lineRule="exact"/>
        <w:ind w:firstLine="720"/>
        <w:rPr>
          <w:rFonts w:ascii="楷体_GB2312" w:hAnsi="楷体" w:eastAsia="楷体_GB2312" w:cs="楷体"/>
          <w:b/>
          <w:color w:val="000000"/>
          <w:kern w:val="0"/>
          <w:sz w:val="32"/>
          <w:szCs w:val="32"/>
          <w:shd w:val="clear" w:color="auto" w:fill="FFFFFF"/>
          <w:lang w:val="zh-CN"/>
        </w:rPr>
      </w:pPr>
      <w:r>
        <w:rPr>
          <w:rFonts w:hint="eastAsia" w:ascii="楷体_GB2312" w:hAnsi="楷体" w:eastAsia="楷体_GB2312" w:cs="楷体"/>
          <w:b/>
          <w:color w:val="000000"/>
          <w:kern w:val="0"/>
          <w:sz w:val="32"/>
          <w:szCs w:val="32"/>
          <w:shd w:val="clear" w:color="auto" w:fill="FFFFFF"/>
          <w:lang w:val="zh-CN"/>
        </w:rPr>
        <w:t>（一）评价结论</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按照预算绩效管理要求，本部门对202</w:t>
      </w:r>
      <w:r>
        <w:rPr>
          <w:rFonts w:hint="eastAsia"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lang w:val="zh-CN"/>
        </w:rPr>
        <w:t>年整体支出开展绩效自评，自评得分81.60分。</w:t>
      </w:r>
    </w:p>
    <w:p>
      <w:pPr>
        <w:adjustRightInd w:val="0"/>
        <w:snapToGrid w:val="0"/>
        <w:spacing w:line="540" w:lineRule="exact"/>
        <w:ind w:firstLine="720"/>
        <w:rPr>
          <w:rFonts w:ascii="楷体_GB2312" w:hAnsi="楷体" w:eastAsia="楷体_GB2312" w:cs="楷体"/>
          <w:b/>
          <w:color w:val="000000"/>
          <w:kern w:val="0"/>
          <w:sz w:val="32"/>
          <w:szCs w:val="32"/>
          <w:shd w:val="clear" w:color="auto" w:fill="FFFFFF"/>
          <w:lang w:val="zh-CN"/>
        </w:rPr>
      </w:pPr>
      <w:r>
        <w:rPr>
          <w:rFonts w:hint="eastAsia" w:ascii="楷体_GB2312" w:hAnsi="楷体" w:eastAsia="楷体_GB2312" w:cs="楷体"/>
          <w:b/>
          <w:color w:val="000000"/>
          <w:kern w:val="0"/>
          <w:sz w:val="32"/>
          <w:szCs w:val="32"/>
          <w:shd w:val="clear" w:color="auto" w:fill="FFFFFF"/>
          <w:lang w:val="zh-CN"/>
        </w:rPr>
        <w:t>（二）存在问题</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1.预算执行率还不高。</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2.上年结转结余编制不够准确。</w:t>
      </w:r>
    </w:p>
    <w:p>
      <w:pPr>
        <w:adjustRightInd w:val="0"/>
        <w:snapToGrid w:val="0"/>
        <w:spacing w:line="540" w:lineRule="exact"/>
        <w:ind w:firstLine="720"/>
        <w:rPr>
          <w:rFonts w:ascii="楷体_GB2312" w:hAnsi="楷体" w:eastAsia="楷体_GB2312" w:cs="楷体"/>
          <w:b/>
          <w:color w:val="000000"/>
          <w:kern w:val="0"/>
          <w:sz w:val="32"/>
          <w:szCs w:val="32"/>
          <w:shd w:val="clear" w:color="auto" w:fill="FFFFFF"/>
          <w:lang w:val="zh-CN"/>
        </w:rPr>
      </w:pPr>
      <w:r>
        <w:rPr>
          <w:rFonts w:hint="eastAsia" w:ascii="楷体_GB2312" w:hAnsi="楷体" w:eastAsia="楷体_GB2312" w:cs="楷体"/>
          <w:b/>
          <w:color w:val="000000"/>
          <w:kern w:val="0"/>
          <w:sz w:val="32"/>
          <w:szCs w:val="32"/>
          <w:shd w:val="clear" w:color="auto" w:fill="FFFFFF"/>
          <w:lang w:val="zh-CN"/>
        </w:rPr>
        <w:t>（三）改进建议</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1.今后参照上年预算执行情况和当年支出需要科学合理编制“三公”经费预算，切实提高预算的科学性和执行效率。</w:t>
      </w:r>
    </w:p>
    <w:p>
      <w:pPr>
        <w:adjustRightInd w:val="0"/>
        <w:snapToGrid w:val="0"/>
        <w:spacing w:line="540" w:lineRule="exact"/>
        <w:ind w:firstLine="720"/>
        <w:rPr>
          <w:rFonts w:ascii="仿宋" w:hAnsi="仿宋" w:eastAsia="仿宋" w:cs="仿宋_GB2312"/>
          <w:color w:val="000000"/>
          <w:kern w:val="0"/>
          <w:sz w:val="32"/>
          <w:szCs w:val="32"/>
          <w:shd w:val="clear" w:color="auto" w:fill="FFFFFF"/>
          <w:lang w:val="zh-CN"/>
        </w:rPr>
      </w:pPr>
      <w:r>
        <w:rPr>
          <w:rFonts w:hint="eastAsia" w:ascii="仿宋" w:hAnsi="仿宋" w:eastAsia="仿宋" w:cs="仿宋_GB2312"/>
          <w:color w:val="000000"/>
          <w:kern w:val="0"/>
          <w:sz w:val="32"/>
          <w:szCs w:val="32"/>
          <w:shd w:val="clear" w:color="auto" w:fill="FFFFFF"/>
          <w:lang w:val="zh-CN"/>
        </w:rPr>
        <w:t>2.今后强化部门预算管理职责，加强对本单位编制预算的审核，准确编制部门预算。</w:t>
      </w:r>
    </w:p>
    <w:p>
      <w:pPr>
        <w:kinsoku w:val="0"/>
        <w:overflowPunct w:val="0"/>
        <w:spacing w:before="12"/>
        <w:rPr>
          <w:rFonts w:eastAsia="黑体"/>
          <w:sz w:val="32"/>
          <w:szCs w:val="32"/>
        </w:rPr>
      </w:pPr>
    </w:p>
    <w:p/>
    <w:p>
      <w:pPr>
        <w:spacing w:line="600" w:lineRule="exact"/>
        <w:jc w:val="center"/>
        <w:outlineLvl w:val="0"/>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25"/>
          <w:rFonts w:hint="eastAsia" w:ascii="黑体" w:hAnsi="黑体" w:eastAsia="黑体"/>
          <w:b w:val="0"/>
        </w:rPr>
      </w:pPr>
      <w:r>
        <w:rPr>
          <w:rFonts w:hint="eastAsia" w:ascii="黑体" w:hAnsi="黑体" w:eastAsia="黑体"/>
          <w:sz w:val="44"/>
          <w:szCs w:val="44"/>
        </w:rPr>
        <w:t>第</w:t>
      </w:r>
      <w:r>
        <w:rPr>
          <w:rStyle w:val="25"/>
          <w:rFonts w:hint="eastAsia" w:ascii="黑体" w:hAnsi="黑体" w:eastAsia="黑体"/>
          <w:b w:val="0"/>
        </w:rPr>
        <w:t>五部分 附表</w:t>
      </w:r>
      <w:bookmarkEnd w:id="51"/>
      <w:bookmarkEnd w:id="53"/>
      <w:bookmarkStart w:id="54" w:name="_Toc15396619"/>
    </w:p>
    <w:p>
      <w:pPr>
        <w:adjustRightInd w:val="0"/>
        <w:snapToGrid w:val="0"/>
        <w:spacing w:line="540" w:lineRule="exact"/>
        <w:ind w:firstLine="720"/>
        <w:rPr>
          <w:rFonts w:hint="eastAsia" w:ascii="仿宋_GB2312" w:eastAsia="仿宋_GB2312" w:cs="仿宋_GB2312"/>
          <w:bCs/>
          <w:color w:val="000000"/>
          <w:kern w:val="0"/>
          <w:sz w:val="32"/>
          <w:szCs w:val="32"/>
          <w:shd w:val="clear" w:color="auto" w:fill="FFFFFF"/>
          <w:lang w:val="zh-CN"/>
        </w:rPr>
      </w:pPr>
      <w:r>
        <w:rPr>
          <w:rFonts w:hint="eastAsia" w:ascii="仿宋_GB2312" w:eastAsia="仿宋_GB2312" w:cs="仿宋_GB2312"/>
          <w:bCs/>
          <w:color w:val="000000"/>
          <w:kern w:val="0"/>
          <w:sz w:val="32"/>
          <w:szCs w:val="32"/>
          <w:shd w:val="clear" w:color="auto" w:fill="FFFFFF"/>
          <w:lang w:val="zh-CN"/>
        </w:rPr>
        <w:t>一、收入支出决算总表</w:t>
      </w:r>
      <w:bookmarkEnd w:id="54"/>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bookmarkStart w:id="55" w:name="_Toc15396620"/>
      <w:r>
        <w:rPr>
          <w:rFonts w:hint="eastAsia" w:ascii="仿宋_GB2312" w:hAnsi="仿宋" w:eastAsia="仿宋_GB2312" w:cs="仿宋_GB2312"/>
          <w:color w:val="000000"/>
          <w:kern w:val="0"/>
          <w:sz w:val="32"/>
          <w:szCs w:val="32"/>
          <w:shd w:val="clear" w:color="auto" w:fill="FFFFFF"/>
          <w:lang w:val="zh-CN"/>
        </w:rPr>
        <w:t>二、收</w:t>
      </w:r>
      <w:r>
        <w:rPr>
          <w:rFonts w:hint="eastAsia" w:ascii="仿宋_GB2312" w:eastAsia="仿宋_GB2312" w:cs="仿宋_GB2312"/>
          <w:bCs/>
          <w:color w:val="000000"/>
          <w:kern w:val="0"/>
          <w:sz w:val="32"/>
          <w:szCs w:val="32"/>
          <w:shd w:val="clear" w:color="auto" w:fill="FFFFFF"/>
          <w:lang w:val="zh-CN"/>
        </w:rPr>
        <w:t>入决算表</w:t>
      </w:r>
      <w:bookmarkEnd w:id="55"/>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bookmarkStart w:id="56" w:name="_Toc15396621"/>
      <w:r>
        <w:rPr>
          <w:rFonts w:hint="eastAsia" w:ascii="仿宋_GB2312" w:eastAsia="仿宋_GB2312" w:cs="仿宋_GB2312"/>
          <w:bCs/>
          <w:color w:val="000000"/>
          <w:kern w:val="0"/>
          <w:sz w:val="32"/>
          <w:szCs w:val="32"/>
          <w:shd w:val="clear" w:color="auto" w:fill="FFFFFF"/>
          <w:lang w:val="zh-CN"/>
        </w:rPr>
        <w:t>三、</w:t>
      </w:r>
      <w:r>
        <w:rPr>
          <w:rFonts w:hint="eastAsia" w:ascii="仿宋_GB2312" w:hAnsi="仿宋" w:eastAsia="仿宋_GB2312" w:cs="仿宋_GB2312"/>
          <w:color w:val="000000"/>
          <w:kern w:val="0"/>
          <w:sz w:val="32"/>
          <w:szCs w:val="32"/>
          <w:shd w:val="clear" w:color="auto" w:fill="FFFFFF"/>
          <w:lang w:val="zh-CN"/>
        </w:rPr>
        <w:t>支</w:t>
      </w:r>
      <w:r>
        <w:rPr>
          <w:rFonts w:hint="eastAsia" w:ascii="仿宋_GB2312" w:eastAsia="仿宋_GB2312" w:cs="仿宋_GB2312"/>
          <w:bCs/>
          <w:color w:val="000000"/>
          <w:kern w:val="0"/>
          <w:sz w:val="32"/>
          <w:szCs w:val="32"/>
          <w:shd w:val="clear" w:color="auto" w:fill="FFFFFF"/>
          <w:lang w:val="zh-CN"/>
        </w:rPr>
        <w:t>出决算表</w:t>
      </w:r>
      <w:bookmarkEnd w:id="56"/>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bookmarkStart w:id="57" w:name="_Toc15396622"/>
      <w:r>
        <w:rPr>
          <w:rFonts w:hint="eastAsia" w:ascii="仿宋_GB2312" w:eastAsia="仿宋_GB2312" w:cs="仿宋_GB2312"/>
          <w:bCs/>
          <w:color w:val="000000"/>
          <w:kern w:val="0"/>
          <w:sz w:val="32"/>
          <w:szCs w:val="32"/>
          <w:shd w:val="clear" w:color="auto" w:fill="FFFFFF"/>
          <w:lang w:val="zh-CN"/>
        </w:rPr>
        <w:t>四、</w:t>
      </w:r>
      <w:r>
        <w:rPr>
          <w:rFonts w:hint="eastAsia" w:ascii="仿宋_GB2312" w:hAnsi="仿宋" w:eastAsia="仿宋_GB2312" w:cs="仿宋_GB2312"/>
          <w:color w:val="000000"/>
          <w:kern w:val="0"/>
          <w:sz w:val="32"/>
          <w:szCs w:val="32"/>
          <w:shd w:val="clear" w:color="auto" w:fill="FFFFFF"/>
          <w:lang w:val="zh-CN"/>
        </w:rPr>
        <w:t>财</w:t>
      </w:r>
      <w:r>
        <w:rPr>
          <w:rFonts w:hint="eastAsia" w:ascii="仿宋_GB2312" w:eastAsia="仿宋_GB2312" w:cs="仿宋_GB2312"/>
          <w:bCs/>
          <w:color w:val="000000"/>
          <w:kern w:val="0"/>
          <w:sz w:val="32"/>
          <w:szCs w:val="32"/>
          <w:shd w:val="clear" w:color="auto" w:fill="FFFFFF"/>
          <w:lang w:val="zh-CN"/>
        </w:rPr>
        <w:t>政拨款收入支出决算总表</w:t>
      </w:r>
      <w:bookmarkEnd w:id="57"/>
    </w:p>
    <w:p>
      <w:pPr>
        <w:adjustRightInd w:val="0"/>
        <w:snapToGrid w:val="0"/>
        <w:spacing w:line="540" w:lineRule="exact"/>
        <w:ind w:firstLine="720"/>
        <w:rPr>
          <w:rFonts w:hint="eastAsia" w:ascii="仿宋_GB2312" w:eastAsia="仿宋_GB2312" w:cs="仿宋_GB2312"/>
          <w:bCs/>
          <w:color w:val="000000"/>
          <w:kern w:val="0"/>
          <w:sz w:val="32"/>
          <w:szCs w:val="32"/>
          <w:shd w:val="clear" w:color="auto" w:fill="FFFFFF"/>
          <w:lang w:val="zh-CN"/>
        </w:rPr>
      </w:pPr>
      <w:bookmarkStart w:id="58" w:name="_Toc15396623"/>
      <w:r>
        <w:rPr>
          <w:rFonts w:hint="eastAsia" w:ascii="仿宋_GB2312" w:eastAsia="仿宋_GB2312" w:cs="仿宋_GB2312"/>
          <w:bCs/>
          <w:color w:val="000000"/>
          <w:kern w:val="0"/>
          <w:sz w:val="32"/>
          <w:szCs w:val="32"/>
          <w:shd w:val="clear" w:color="auto" w:fill="FFFFFF"/>
          <w:lang w:val="zh-CN"/>
        </w:rPr>
        <w:t>五、</w:t>
      </w:r>
      <w:r>
        <w:rPr>
          <w:rFonts w:hint="eastAsia" w:ascii="仿宋_GB2312" w:hAnsi="仿宋" w:eastAsia="仿宋_GB2312" w:cs="仿宋_GB2312"/>
          <w:color w:val="000000"/>
          <w:kern w:val="0"/>
          <w:sz w:val="32"/>
          <w:szCs w:val="32"/>
          <w:shd w:val="clear" w:color="auto" w:fill="FFFFFF"/>
          <w:lang w:val="zh-CN"/>
        </w:rPr>
        <w:t>财</w:t>
      </w:r>
      <w:r>
        <w:rPr>
          <w:rFonts w:hint="eastAsia" w:ascii="仿宋_GB2312" w:eastAsia="仿宋_GB2312" w:cs="仿宋_GB2312"/>
          <w:bCs/>
          <w:color w:val="000000"/>
          <w:kern w:val="0"/>
          <w:sz w:val="32"/>
          <w:szCs w:val="32"/>
          <w:shd w:val="clear" w:color="auto" w:fill="FFFFFF"/>
          <w:lang w:val="zh-CN"/>
        </w:rPr>
        <w:t>政拨款支出决算明细表</w:t>
      </w:r>
      <w:bookmarkEnd w:id="58"/>
      <w:bookmarkStart w:id="59" w:name="_Toc15396624"/>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r>
        <w:rPr>
          <w:rFonts w:hint="eastAsia" w:ascii="仿宋_GB2312" w:eastAsia="仿宋_GB2312" w:cs="仿宋_GB2312"/>
          <w:bCs/>
          <w:color w:val="000000"/>
          <w:kern w:val="0"/>
          <w:sz w:val="32"/>
          <w:szCs w:val="32"/>
          <w:shd w:val="clear" w:color="auto" w:fill="FFFFFF"/>
          <w:lang w:val="zh-CN"/>
        </w:rPr>
        <w:t>六、</w:t>
      </w:r>
      <w:r>
        <w:rPr>
          <w:rFonts w:hint="eastAsia" w:ascii="仿宋_GB2312" w:hAnsi="仿宋" w:eastAsia="仿宋_GB2312" w:cs="仿宋_GB2312"/>
          <w:color w:val="000000"/>
          <w:kern w:val="0"/>
          <w:sz w:val="32"/>
          <w:szCs w:val="32"/>
          <w:shd w:val="clear" w:color="auto" w:fill="FFFFFF"/>
          <w:lang w:val="zh-CN"/>
        </w:rPr>
        <w:t>一</w:t>
      </w:r>
      <w:r>
        <w:rPr>
          <w:rFonts w:hint="eastAsia" w:ascii="仿宋_GB2312" w:eastAsia="仿宋_GB2312" w:cs="仿宋_GB2312"/>
          <w:bCs/>
          <w:color w:val="000000"/>
          <w:kern w:val="0"/>
          <w:sz w:val="32"/>
          <w:szCs w:val="32"/>
          <w:shd w:val="clear" w:color="auto" w:fill="FFFFFF"/>
          <w:lang w:val="zh-CN"/>
        </w:rPr>
        <w:t>般公共预算财政拨款支出决算表</w:t>
      </w:r>
      <w:bookmarkEnd w:id="59"/>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bookmarkStart w:id="60" w:name="_Toc15396625"/>
      <w:r>
        <w:rPr>
          <w:rFonts w:hint="eastAsia" w:ascii="仿宋_GB2312" w:eastAsia="仿宋_GB2312" w:cs="仿宋_GB2312"/>
          <w:bCs/>
          <w:color w:val="000000"/>
          <w:kern w:val="0"/>
          <w:sz w:val="32"/>
          <w:szCs w:val="32"/>
          <w:shd w:val="clear" w:color="auto" w:fill="FFFFFF"/>
          <w:lang w:val="zh-CN"/>
        </w:rPr>
        <w:t>七、</w:t>
      </w:r>
      <w:r>
        <w:rPr>
          <w:rFonts w:hint="eastAsia" w:ascii="仿宋_GB2312" w:hAnsi="仿宋" w:eastAsia="仿宋_GB2312" w:cs="仿宋_GB2312"/>
          <w:color w:val="000000"/>
          <w:kern w:val="0"/>
          <w:sz w:val="32"/>
          <w:szCs w:val="32"/>
          <w:shd w:val="clear" w:color="auto" w:fill="FFFFFF"/>
          <w:lang w:val="zh-CN"/>
        </w:rPr>
        <w:t>一</w:t>
      </w:r>
      <w:r>
        <w:rPr>
          <w:rFonts w:hint="eastAsia" w:ascii="仿宋_GB2312" w:eastAsia="仿宋_GB2312" w:cs="仿宋_GB2312"/>
          <w:bCs/>
          <w:color w:val="000000"/>
          <w:kern w:val="0"/>
          <w:sz w:val="32"/>
          <w:szCs w:val="32"/>
          <w:shd w:val="clear" w:color="auto" w:fill="FFFFFF"/>
          <w:lang w:val="zh-CN"/>
        </w:rPr>
        <w:t>般公共预算财政拨款支出决算明细表</w:t>
      </w:r>
      <w:bookmarkEnd w:id="60"/>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bookmarkStart w:id="61" w:name="_Toc15396626"/>
      <w:r>
        <w:rPr>
          <w:rFonts w:hint="eastAsia" w:ascii="仿宋_GB2312" w:eastAsia="仿宋_GB2312" w:cs="仿宋_GB2312"/>
          <w:bCs/>
          <w:color w:val="000000"/>
          <w:kern w:val="0"/>
          <w:sz w:val="32"/>
          <w:szCs w:val="32"/>
          <w:shd w:val="clear" w:color="auto" w:fill="FFFFFF"/>
          <w:lang w:val="zh-CN"/>
        </w:rPr>
        <w:t>八、</w:t>
      </w:r>
      <w:r>
        <w:rPr>
          <w:rFonts w:hint="eastAsia" w:ascii="仿宋_GB2312" w:hAnsi="仿宋" w:eastAsia="仿宋_GB2312" w:cs="仿宋_GB2312"/>
          <w:color w:val="000000"/>
          <w:kern w:val="0"/>
          <w:sz w:val="32"/>
          <w:szCs w:val="32"/>
          <w:shd w:val="clear" w:color="auto" w:fill="FFFFFF"/>
          <w:lang w:val="zh-CN"/>
        </w:rPr>
        <w:t>一</w:t>
      </w:r>
      <w:r>
        <w:rPr>
          <w:rFonts w:hint="eastAsia" w:ascii="仿宋_GB2312" w:eastAsia="仿宋_GB2312" w:cs="仿宋_GB2312"/>
          <w:bCs/>
          <w:color w:val="000000"/>
          <w:kern w:val="0"/>
          <w:sz w:val="32"/>
          <w:szCs w:val="32"/>
          <w:shd w:val="clear" w:color="auto" w:fill="FFFFFF"/>
          <w:lang w:val="zh-CN"/>
        </w:rPr>
        <w:t>般公共预算财政拨款基本支出决算表</w:t>
      </w:r>
      <w:bookmarkEnd w:id="61"/>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bookmarkStart w:id="62" w:name="_Toc15396627"/>
      <w:r>
        <w:rPr>
          <w:rFonts w:hint="eastAsia" w:ascii="仿宋_GB2312" w:eastAsia="仿宋_GB2312" w:cs="仿宋_GB2312"/>
          <w:bCs/>
          <w:color w:val="000000"/>
          <w:kern w:val="0"/>
          <w:sz w:val="32"/>
          <w:szCs w:val="32"/>
          <w:shd w:val="clear" w:color="auto" w:fill="FFFFFF"/>
          <w:lang w:val="zh-CN"/>
        </w:rPr>
        <w:t>九、</w:t>
      </w:r>
      <w:r>
        <w:rPr>
          <w:rFonts w:hint="eastAsia" w:ascii="仿宋_GB2312" w:hAnsi="仿宋" w:eastAsia="仿宋_GB2312" w:cs="仿宋_GB2312"/>
          <w:color w:val="000000"/>
          <w:kern w:val="0"/>
          <w:sz w:val="32"/>
          <w:szCs w:val="32"/>
          <w:shd w:val="clear" w:color="auto" w:fill="FFFFFF"/>
          <w:lang w:val="zh-CN"/>
        </w:rPr>
        <w:t>一</w:t>
      </w:r>
      <w:r>
        <w:rPr>
          <w:rFonts w:hint="eastAsia" w:ascii="仿宋_GB2312" w:eastAsia="仿宋_GB2312" w:cs="仿宋_GB2312"/>
          <w:bCs/>
          <w:color w:val="000000"/>
          <w:kern w:val="0"/>
          <w:sz w:val="32"/>
          <w:szCs w:val="32"/>
          <w:shd w:val="clear" w:color="auto" w:fill="FFFFFF"/>
          <w:lang w:val="zh-CN"/>
        </w:rPr>
        <w:t>般公共预算财政拨款项目支出决算表</w:t>
      </w:r>
      <w:bookmarkEnd w:id="62"/>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bookmarkStart w:id="63" w:name="_Toc15396628"/>
      <w:r>
        <w:rPr>
          <w:rFonts w:hint="eastAsia" w:ascii="仿宋_GB2312" w:eastAsia="仿宋_GB2312" w:cs="仿宋_GB2312"/>
          <w:bCs/>
          <w:color w:val="000000"/>
          <w:kern w:val="0"/>
          <w:sz w:val="32"/>
          <w:szCs w:val="32"/>
          <w:shd w:val="clear" w:color="auto" w:fill="FFFFFF"/>
          <w:lang w:val="zh-CN"/>
        </w:rPr>
        <w:t>十、</w:t>
      </w:r>
      <w:r>
        <w:rPr>
          <w:rFonts w:hint="eastAsia" w:ascii="仿宋_GB2312" w:hAnsi="仿宋" w:eastAsia="仿宋_GB2312" w:cs="仿宋_GB2312"/>
          <w:color w:val="000000"/>
          <w:kern w:val="0"/>
          <w:sz w:val="32"/>
          <w:szCs w:val="32"/>
          <w:shd w:val="clear" w:color="auto" w:fill="FFFFFF"/>
          <w:lang w:val="zh-CN"/>
        </w:rPr>
        <w:t>一</w:t>
      </w:r>
      <w:r>
        <w:rPr>
          <w:rFonts w:hint="eastAsia" w:ascii="仿宋_GB2312" w:eastAsia="仿宋_GB2312" w:cs="仿宋_GB2312"/>
          <w:bCs/>
          <w:color w:val="000000"/>
          <w:kern w:val="0"/>
          <w:sz w:val="32"/>
          <w:szCs w:val="32"/>
          <w:shd w:val="clear" w:color="auto" w:fill="FFFFFF"/>
          <w:lang w:val="zh-CN"/>
        </w:rPr>
        <w:t>般公共预算财政拨款“三公”经费支出决算表</w:t>
      </w:r>
      <w:bookmarkEnd w:id="63"/>
    </w:p>
    <w:p>
      <w:pPr>
        <w:adjustRightInd w:val="0"/>
        <w:snapToGrid w:val="0"/>
        <w:spacing w:line="540" w:lineRule="exact"/>
        <w:ind w:firstLine="720"/>
        <w:rPr>
          <w:rFonts w:hint="eastAsia" w:ascii="仿宋_GB2312" w:eastAsia="仿宋_GB2312" w:cs="仿宋_GB2312"/>
          <w:bCs/>
          <w:color w:val="000000"/>
          <w:kern w:val="0"/>
          <w:sz w:val="32"/>
          <w:szCs w:val="32"/>
          <w:shd w:val="clear" w:color="auto" w:fill="FFFFFF"/>
          <w:lang w:val="zh-CN"/>
        </w:rPr>
      </w:pPr>
      <w:bookmarkStart w:id="64" w:name="_Toc15396629"/>
      <w:r>
        <w:rPr>
          <w:rFonts w:hint="eastAsia" w:ascii="仿宋_GB2312" w:eastAsia="仿宋_GB2312" w:cs="仿宋_GB2312"/>
          <w:bCs/>
          <w:color w:val="000000"/>
          <w:kern w:val="0"/>
          <w:sz w:val="32"/>
          <w:szCs w:val="32"/>
          <w:shd w:val="clear" w:color="auto" w:fill="FFFFFF"/>
          <w:lang w:val="zh-CN"/>
        </w:rPr>
        <w:t>十一、</w:t>
      </w:r>
      <w:r>
        <w:rPr>
          <w:rFonts w:hint="eastAsia" w:ascii="仿宋_GB2312" w:hAnsi="仿宋" w:eastAsia="仿宋_GB2312" w:cs="仿宋_GB2312"/>
          <w:color w:val="000000"/>
          <w:kern w:val="0"/>
          <w:sz w:val="32"/>
          <w:szCs w:val="32"/>
          <w:shd w:val="clear" w:color="auto" w:fill="FFFFFF"/>
          <w:lang w:val="zh-CN"/>
        </w:rPr>
        <w:t>政</w:t>
      </w:r>
      <w:r>
        <w:rPr>
          <w:rFonts w:hint="eastAsia" w:ascii="仿宋_GB2312" w:eastAsia="仿宋_GB2312" w:cs="仿宋_GB2312"/>
          <w:bCs/>
          <w:color w:val="000000"/>
          <w:kern w:val="0"/>
          <w:sz w:val="32"/>
          <w:szCs w:val="32"/>
          <w:shd w:val="clear" w:color="auto" w:fill="FFFFFF"/>
          <w:lang w:val="zh-CN"/>
        </w:rPr>
        <w:t>府性基金预算财政拨款收入支出决算表</w:t>
      </w:r>
      <w:bookmarkEnd w:id="64"/>
      <w:bookmarkStart w:id="65" w:name="_Toc15396630"/>
    </w:p>
    <w:p>
      <w:pPr>
        <w:adjustRightInd w:val="0"/>
        <w:snapToGrid w:val="0"/>
        <w:spacing w:line="540" w:lineRule="exact"/>
        <w:ind w:firstLine="720"/>
        <w:rPr>
          <w:rFonts w:hint="eastAsia" w:ascii="仿宋_GB2312" w:eastAsia="仿宋_GB2312" w:cs="仿宋_GB2312"/>
          <w:bCs/>
          <w:color w:val="000000"/>
          <w:kern w:val="0"/>
          <w:sz w:val="32"/>
          <w:szCs w:val="32"/>
          <w:shd w:val="clear" w:color="auto" w:fill="FFFFFF"/>
          <w:lang w:val="zh-CN"/>
        </w:rPr>
      </w:pPr>
      <w:r>
        <w:rPr>
          <w:rFonts w:hint="eastAsia" w:ascii="仿宋_GB2312" w:eastAsia="仿宋_GB2312" w:cs="仿宋_GB2312"/>
          <w:bCs/>
          <w:color w:val="000000"/>
          <w:kern w:val="0"/>
          <w:sz w:val="32"/>
          <w:szCs w:val="32"/>
          <w:shd w:val="clear" w:color="auto" w:fill="FFFFFF"/>
          <w:lang w:val="zh-CN"/>
        </w:rPr>
        <w:t>十二、</w:t>
      </w:r>
      <w:r>
        <w:rPr>
          <w:rFonts w:hint="eastAsia" w:ascii="仿宋_GB2312" w:hAnsi="仿宋" w:eastAsia="仿宋_GB2312" w:cs="仿宋_GB2312"/>
          <w:color w:val="000000"/>
          <w:kern w:val="0"/>
          <w:sz w:val="32"/>
          <w:szCs w:val="32"/>
          <w:shd w:val="clear" w:color="auto" w:fill="FFFFFF"/>
          <w:lang w:val="zh-CN"/>
        </w:rPr>
        <w:t>政</w:t>
      </w:r>
      <w:r>
        <w:rPr>
          <w:rFonts w:hint="eastAsia" w:ascii="仿宋_GB2312" w:eastAsia="仿宋_GB2312" w:cs="仿宋_GB2312"/>
          <w:bCs/>
          <w:color w:val="000000"/>
          <w:kern w:val="0"/>
          <w:sz w:val="32"/>
          <w:szCs w:val="32"/>
          <w:shd w:val="clear" w:color="auto" w:fill="FFFFFF"/>
          <w:lang w:val="zh-CN"/>
        </w:rPr>
        <w:t>府性基金预算财政拨款“三公”经费支出决算表</w:t>
      </w:r>
      <w:bookmarkEnd w:id="65"/>
    </w:p>
    <w:p>
      <w:pPr>
        <w:adjustRightInd w:val="0"/>
        <w:snapToGrid w:val="0"/>
        <w:spacing w:line="540" w:lineRule="exact"/>
        <w:ind w:firstLine="720"/>
        <w:rPr>
          <w:rFonts w:hint="eastAsia" w:ascii="仿宋_GB2312" w:eastAsia="仿宋_GB2312" w:cs="仿宋_GB2312"/>
          <w:bCs/>
          <w:color w:val="000000"/>
          <w:kern w:val="0"/>
          <w:sz w:val="32"/>
          <w:szCs w:val="32"/>
          <w:shd w:val="clear" w:color="auto" w:fill="FFFFFF"/>
          <w:lang w:val="zh-CN"/>
        </w:rPr>
      </w:pPr>
      <w:bookmarkStart w:id="66" w:name="_Toc15396631"/>
      <w:r>
        <w:rPr>
          <w:rFonts w:hint="eastAsia" w:ascii="仿宋_GB2312" w:eastAsia="仿宋_GB2312" w:cs="仿宋_GB2312"/>
          <w:bCs/>
          <w:color w:val="000000"/>
          <w:kern w:val="0"/>
          <w:sz w:val="32"/>
          <w:szCs w:val="32"/>
          <w:shd w:val="clear" w:color="auto" w:fill="FFFFFF"/>
          <w:lang w:val="zh-CN"/>
        </w:rPr>
        <w:t>十三、</w:t>
      </w:r>
      <w:r>
        <w:rPr>
          <w:rFonts w:hint="eastAsia" w:ascii="仿宋_GB2312" w:hAnsi="仿宋" w:eastAsia="仿宋_GB2312" w:cs="仿宋_GB2312"/>
          <w:color w:val="000000"/>
          <w:kern w:val="0"/>
          <w:sz w:val="32"/>
          <w:szCs w:val="32"/>
          <w:shd w:val="clear" w:color="auto" w:fill="FFFFFF"/>
          <w:lang w:val="zh-CN"/>
        </w:rPr>
        <w:t>国</w:t>
      </w:r>
      <w:r>
        <w:rPr>
          <w:rFonts w:hint="eastAsia" w:ascii="仿宋_GB2312" w:eastAsia="仿宋_GB2312" w:cs="仿宋_GB2312"/>
          <w:bCs/>
          <w:color w:val="000000"/>
          <w:kern w:val="0"/>
          <w:sz w:val="32"/>
          <w:szCs w:val="32"/>
          <w:shd w:val="clear" w:color="auto" w:fill="FFFFFF"/>
          <w:lang w:val="zh-CN"/>
        </w:rPr>
        <w:t>有资本经营预算财政拨款收入支出决算表</w:t>
      </w:r>
      <w:bookmarkEnd w:id="66"/>
    </w:p>
    <w:p>
      <w:pPr>
        <w:adjustRightInd w:val="0"/>
        <w:snapToGrid w:val="0"/>
        <w:spacing w:line="540" w:lineRule="exact"/>
        <w:ind w:firstLine="720"/>
        <w:rPr>
          <w:rFonts w:hint="eastAsia" w:ascii="仿宋_GB2312" w:hAnsi="仿宋" w:eastAsia="仿宋_GB2312" w:cs="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kZGFmMDBjYTE4MWY2YTMzZmQwNjdlZWJhMzM3YWEifQ=="/>
  </w:docVars>
  <w:rsids>
    <w:rsidRoot w:val="00F1361C"/>
    <w:rsid w:val="000222C6"/>
    <w:rsid w:val="0002549F"/>
    <w:rsid w:val="000468DB"/>
    <w:rsid w:val="0006487A"/>
    <w:rsid w:val="00065F8F"/>
    <w:rsid w:val="00070A43"/>
    <w:rsid w:val="000768F2"/>
    <w:rsid w:val="0009184B"/>
    <w:rsid w:val="00094236"/>
    <w:rsid w:val="0009593C"/>
    <w:rsid w:val="00097322"/>
    <w:rsid w:val="000A0D84"/>
    <w:rsid w:val="000A6A92"/>
    <w:rsid w:val="000B047F"/>
    <w:rsid w:val="000B5923"/>
    <w:rsid w:val="000B5A48"/>
    <w:rsid w:val="000B6FF3"/>
    <w:rsid w:val="000C3467"/>
    <w:rsid w:val="000C3CA6"/>
    <w:rsid w:val="000D1267"/>
    <w:rsid w:val="000D1D50"/>
    <w:rsid w:val="000D5782"/>
    <w:rsid w:val="000E6613"/>
    <w:rsid w:val="000E7119"/>
    <w:rsid w:val="000F285B"/>
    <w:rsid w:val="00114E9B"/>
    <w:rsid w:val="00133959"/>
    <w:rsid w:val="00142216"/>
    <w:rsid w:val="00144D6A"/>
    <w:rsid w:val="0014729F"/>
    <w:rsid w:val="00157BAB"/>
    <w:rsid w:val="001654D1"/>
    <w:rsid w:val="00174518"/>
    <w:rsid w:val="0018106D"/>
    <w:rsid w:val="001877A7"/>
    <w:rsid w:val="00191536"/>
    <w:rsid w:val="00196687"/>
    <w:rsid w:val="001C0962"/>
    <w:rsid w:val="001D0784"/>
    <w:rsid w:val="001D7531"/>
    <w:rsid w:val="001E737D"/>
    <w:rsid w:val="001F0592"/>
    <w:rsid w:val="001F7506"/>
    <w:rsid w:val="002006CD"/>
    <w:rsid w:val="00202B36"/>
    <w:rsid w:val="00204B7A"/>
    <w:rsid w:val="00204CDE"/>
    <w:rsid w:val="0021101A"/>
    <w:rsid w:val="00220536"/>
    <w:rsid w:val="0022506A"/>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243DE"/>
    <w:rsid w:val="00335A74"/>
    <w:rsid w:val="00364F71"/>
    <w:rsid w:val="0036561B"/>
    <w:rsid w:val="0037013F"/>
    <w:rsid w:val="00380C92"/>
    <w:rsid w:val="003A2260"/>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333E"/>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25C4"/>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703"/>
    <w:rsid w:val="00BC6B50"/>
    <w:rsid w:val="00BD0E25"/>
    <w:rsid w:val="00BF5BD6"/>
    <w:rsid w:val="00C03E31"/>
    <w:rsid w:val="00C04E7A"/>
    <w:rsid w:val="00C33E72"/>
    <w:rsid w:val="00C354B2"/>
    <w:rsid w:val="00C35554"/>
    <w:rsid w:val="00C42709"/>
    <w:rsid w:val="00C533CC"/>
    <w:rsid w:val="00C5751C"/>
    <w:rsid w:val="00C61BFC"/>
    <w:rsid w:val="00C62B85"/>
    <w:rsid w:val="00C65438"/>
    <w:rsid w:val="00C87FD8"/>
    <w:rsid w:val="00C91381"/>
    <w:rsid w:val="00C91A2C"/>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924DB"/>
    <w:rsid w:val="00EA010F"/>
    <w:rsid w:val="00ED0C8B"/>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5660"/>
    <w:rsid w:val="00F754A1"/>
    <w:rsid w:val="00F81FD9"/>
    <w:rsid w:val="00F841AA"/>
    <w:rsid w:val="00F84A94"/>
    <w:rsid w:val="00F87E96"/>
    <w:rsid w:val="00FA23E8"/>
    <w:rsid w:val="00FB7176"/>
    <w:rsid w:val="00FD3CC1"/>
    <w:rsid w:val="00FE14DD"/>
    <w:rsid w:val="00FF1E02"/>
    <w:rsid w:val="00FF30B4"/>
    <w:rsid w:val="0A2032A3"/>
    <w:rsid w:val="0B8A37D8"/>
    <w:rsid w:val="0FC07172"/>
    <w:rsid w:val="10C055FF"/>
    <w:rsid w:val="118107EC"/>
    <w:rsid w:val="11DD6519"/>
    <w:rsid w:val="16BB723D"/>
    <w:rsid w:val="18015F3F"/>
    <w:rsid w:val="1BE8440E"/>
    <w:rsid w:val="1C0D0F3A"/>
    <w:rsid w:val="1D155CEE"/>
    <w:rsid w:val="20F57F95"/>
    <w:rsid w:val="240371BF"/>
    <w:rsid w:val="25C741E6"/>
    <w:rsid w:val="27842671"/>
    <w:rsid w:val="29FD04D3"/>
    <w:rsid w:val="2ABE7A3E"/>
    <w:rsid w:val="2EFA178C"/>
    <w:rsid w:val="30B46D73"/>
    <w:rsid w:val="319F7F4E"/>
    <w:rsid w:val="350C0BBD"/>
    <w:rsid w:val="39AE70AB"/>
    <w:rsid w:val="3C0C0783"/>
    <w:rsid w:val="3F9F3A96"/>
    <w:rsid w:val="493C27E9"/>
    <w:rsid w:val="496F39ED"/>
    <w:rsid w:val="49FF41D3"/>
    <w:rsid w:val="4BE068DB"/>
    <w:rsid w:val="4BF6002B"/>
    <w:rsid w:val="4ECE2238"/>
    <w:rsid w:val="4FE410C0"/>
    <w:rsid w:val="51DB4B86"/>
    <w:rsid w:val="55333C3E"/>
    <w:rsid w:val="64CA39A1"/>
    <w:rsid w:val="64D6361D"/>
    <w:rsid w:val="6A887C85"/>
    <w:rsid w:val="6C4A05C8"/>
    <w:rsid w:val="6FE96E8A"/>
    <w:rsid w:val="72734D90"/>
    <w:rsid w:val="79E7B28D"/>
    <w:rsid w:val="7B8E35AF"/>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4920;%20&#22312;%20&#38468;&#20214;2&#65306;2021&#24180;&#21333;&#20301;&#20915;&#31639;&#20844;&#24320;&#32534;&#21046;&#35828;&#26126;&#33539;&#26412;-&#19981;&#21160;&#20135;&#30331;&#35760;&#20013;&#24515;1111.doc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4920;%20&#22312;%20&#38468;&#20214;2&#65306;2021&#24180;&#21333;&#20301;&#20915;&#31639;&#20844;&#24320;&#32534;&#21046;&#35828;&#26126;&#33539;&#26412;-&#19981;&#21160;&#20135;&#30331;&#35760;&#20013;&#24515;1111.docx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4920;%20&#22312;%20&#38468;&#20214;2&#65306;2021&#24180;&#21333;&#20301;&#20915;&#31639;&#20844;&#24320;&#32534;&#21046;&#35828;&#26126;&#33539;&#26412;-&#19981;&#21160;&#20135;&#30331;&#35760;&#20013;&#24515;1111.docx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4920;%20&#22312;%20&#38468;&#20214;2&#65306;2021&#24180;&#21333;&#20301;&#20915;&#31639;&#20844;&#24320;&#32534;&#21046;&#35828;&#26126;&#33539;&#26412;-&#19981;&#21160;&#20135;&#30331;&#35760;&#20013;&#24515;1111.doc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4920;%20&#22312;%20&#38468;&#20214;2&#65306;2021&#24180;&#21333;&#20301;&#20915;&#31639;&#20844;&#24320;&#32534;&#21046;&#35828;&#26126;&#33539;&#26412;-&#19981;&#21160;&#20135;&#30331;&#35760;&#20013;&#24515;1111.docx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4920;%20&#22312;%20&#38468;&#20214;2&#65306;2021&#24180;&#21333;&#20301;&#20915;&#31639;&#20844;&#24320;&#32534;&#21046;&#35828;&#26126;&#33539;&#26412;-&#19981;&#21160;&#20135;&#30331;&#35760;&#20013;&#24515;1111.docx3"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4920;%20&#22312;%20&#38468;&#20214;2&#65306;2021&#24180;&#21333;&#20301;&#20915;&#31639;&#20844;&#24320;&#32534;&#21046;&#35828;&#26126;&#33539;&#26412;-&#19981;&#21160;&#20135;&#30331;&#35760;&#20013;&#24515;1111.docx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49839477471494"/>
          <c:y val="0.0794392523364487"/>
          <c:w val="0.800066423115244"/>
          <c:h val="0.732207045291157"/>
        </c:manualLayout>
      </c:layout>
      <c:barChart>
        <c:barDir val="col"/>
        <c:grouping val="clustered"/>
        <c:varyColors val="0"/>
        <c:ser>
          <c:idx val="0"/>
          <c:order val="0"/>
          <c:tx>
            <c:strRef>
              <c:f>'[工作表 在 附件2：2021年单位决算公开编制说明范本-不动产登记中心1111.docx]Sheet1'!$B$1</c:f>
              <c:strCache>
                <c:ptCount val="1"/>
                <c:pt idx="0">
                  <c:v>2020</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0"/>
                <c15:leaderLines/>
              </c:ext>
            </c:extLst>
          </c:dLbls>
          <c:cat>
            <c:strRef>
              <c:f>'[工作表 在 附件2：2021年单位决算公开编制说明范本-不动产登记中心1111.docx]Sheet1'!$A$2:$A$4</c:f>
              <c:strCache>
                <c:ptCount val="3"/>
                <c:pt idx="0">
                  <c:v>收、支总计</c:v>
                </c:pt>
                <c:pt idx="2">
                  <c:v>单位：万元</c:v>
                </c:pt>
              </c:strCache>
            </c:strRef>
          </c:cat>
          <c:val>
            <c:numRef>
              <c:f>'[工作表 在 附件2：2021年单位决算公开编制说明范本-不动产登记中心1111.docx]Sheet1'!$B$2:$B$4</c:f>
              <c:numCache>
                <c:formatCode>General</c:formatCode>
                <c:ptCount val="3"/>
                <c:pt idx="0">
                  <c:v>316.59</c:v>
                </c:pt>
              </c:numCache>
            </c:numRef>
          </c:val>
        </c:ser>
        <c:ser>
          <c:idx val="1"/>
          <c:order val="1"/>
          <c:tx>
            <c:strRef>
              <c:f>'[工作表 在 附件2：2021年单位决算公开编制说明范本-不动产登记中心1111.docx]Sheet1'!$C$1</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'[工作表 在 附件2：2021年单位决算公开编制说明范本-不动产登记中心1111.docx]Sheet1'!$A$2:$A$4</c:f>
              <c:strCache>
                <c:ptCount val="3"/>
                <c:pt idx="0">
                  <c:v>收、支总计</c:v>
                </c:pt>
                <c:pt idx="2">
                  <c:v>单位：万元</c:v>
                </c:pt>
              </c:strCache>
            </c:strRef>
          </c:cat>
          <c:val>
            <c:numRef>
              <c:f>'[工作表 在 附件2：2021年单位决算公开编制说明范本-不动产登记中心1111.docx]Sheet1'!$C$2:$C$4</c:f>
              <c:numCache>
                <c:formatCode>#,##0.00</c:formatCode>
                <c:ptCount val="3"/>
                <c:pt idx="0">
                  <c:v>411.17</c:v>
                </c:pt>
              </c:numCache>
            </c:numRef>
          </c:val>
        </c:ser>
        <c:dLbls>
          <c:showLegendKey val="0"/>
          <c:showVal val="1"/>
          <c:showCatName val="0"/>
          <c:showSerName val="0"/>
          <c:showPercent val="0"/>
          <c:showBubbleSize val="0"/>
        </c:dLbls>
        <c:gapWidth val="100"/>
        <c:axId val="96898048"/>
        <c:axId val="96903936"/>
      </c:barChart>
      <c:catAx>
        <c:axId val="968980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903936"/>
        <c:crosses val="autoZero"/>
        <c:auto val="1"/>
        <c:lblAlgn val="ctr"/>
        <c:lblOffset val="100"/>
        <c:noMultiLvlLbl val="0"/>
      </c:catAx>
      <c:valAx>
        <c:axId val="969039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8980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079822734883114"/>
                  <c:y val="0.0735733080431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285457840905758"/>
                  <c:y val="-0.0011052350994926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715371251819953"/>
                  <c:y val="-0.03642977828327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115741762398772"/>
                  <c:y val="0.09949655172334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'[工作表 在 附件2：2021年单位决算公开编制说明范本-不动产登记中心1111.docx1]Sheet1'!$B$1:$H$1</c:f>
              <c:strCache>
                <c:ptCount val="7"/>
                <c:pt idx="0">
                  <c:v>财政拨款收入</c:v>
                </c:pt>
                <c:pt idx="1">
                  <c:v>政府性基金拨款</c:v>
                </c:pt>
                <c:pt idx="2">
                  <c:v>国营收入</c:v>
                </c:pt>
                <c:pt idx="3">
                  <c:v>上级补助</c:v>
                </c:pt>
                <c:pt idx="4">
                  <c:v>事业收入</c:v>
                </c:pt>
                <c:pt idx="5">
                  <c:v>其他收入</c:v>
                </c:pt>
                <c:pt idx="6">
                  <c:v>单位：万元</c:v>
                </c:pt>
              </c:strCache>
            </c:strRef>
          </c:cat>
          <c:val>
            <c:numRef>
              <c:f>'[工作表 在 附件2：2021年单位决算公开编制说明范本-不动产登记中心1111.docx1]Sheet1'!$B$2:$H$2</c:f>
              <c:numCache>
                <c:formatCode>General</c:formatCode>
                <c:ptCount val="7"/>
                <c:pt idx="0">
                  <c:v>406.74</c:v>
                </c:pt>
                <c:pt idx="1">
                  <c:v>0</c:v>
                </c:pt>
                <c:pt idx="2">
                  <c:v>0</c:v>
                </c:pt>
                <c:pt idx="3">
                  <c:v>0</c:v>
                </c:pt>
                <c:pt idx="4">
                  <c:v>0</c:v>
                </c:pt>
                <c:pt idx="5">
                  <c:v>0</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485225469393"/>
          <c:y val="0.242095581001849"/>
          <c:w val="0.23885005608255"/>
          <c:h val="0.70321292251997"/>
        </c:manualLayout>
      </c:layout>
      <c:pieChart>
        <c:varyColors val="1"/>
        <c:ser>
          <c:idx val="0"/>
          <c:order val="0"/>
          <c:explosion val="0"/>
          <c:dPt>
            <c:idx val="0"/>
            <c:bubble3D val="0"/>
          </c:dPt>
          <c:dPt>
            <c:idx val="1"/>
            <c:bubble3D val="0"/>
          </c:dPt>
          <c:dLbls>
            <c:dLbl>
              <c:idx val="0"/>
              <c:layout>
                <c:manualLayout>
                  <c:x val="0.0113276277450895"/>
                  <c:y val="-0.189119536775174"/>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1"/>
              <c:layout>
                <c:manualLayout>
                  <c:x val="0.00294863578510151"/>
                  <c:y val="0.00537079591540434"/>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'[工作表 在 附件2：2021年单位决算公开编制说明范本-不动产登记中心1111.docx2]Sheet1'!$B$1:$D$1</c:f>
              <c:strCache>
                <c:ptCount val="3"/>
                <c:pt idx="0">
                  <c:v>基本支出</c:v>
                </c:pt>
                <c:pt idx="1">
                  <c:v>项目支出</c:v>
                </c:pt>
                <c:pt idx="2">
                  <c:v>单位：万元</c:v>
                </c:pt>
              </c:strCache>
            </c:strRef>
          </c:cat>
          <c:val>
            <c:numRef>
              <c:f>'[工作表 在 附件2：2021年单位决算公开编制说明范本-不动产登记中心1111.docx2]Sheet1'!$B$2:$C$2</c:f>
              <c:numCache>
                <c:formatCode>General</c:formatCode>
                <c:ptCount val="2"/>
                <c:pt idx="0">
                  <c:v>325.29</c:v>
                </c:pt>
                <c:pt idx="1">
                  <c:v>81.45</c:v>
                </c:pt>
              </c:numCache>
            </c:numRef>
          </c:val>
        </c:ser>
        <c:dLbls>
          <c:showLegendKey val="0"/>
          <c:showVal val="1"/>
          <c:showCatName val="0"/>
          <c:showSerName val="0"/>
          <c:showPercent val="1"/>
          <c:showBubbleSize val="0"/>
          <c:showLeaderLines val="1"/>
        </c:dLbls>
        <c:firstSliceAng val="0"/>
      </c:pieChart>
    </c:plotArea>
    <c:legend>
      <c:legendPos val="r"/>
      <c:layout>
        <c:manualLayout>
          <c:xMode val="edge"/>
          <c:yMode val="edge"/>
          <c:x val="0.835029742233973"/>
          <c:y val="0.36667979519496"/>
          <c:w val="0.149107732980833"/>
          <c:h val="0.27806222922410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 在 附件2：2021年单位决算公开编制说明范本-不动产登记中心1111.docx]Sheet1'!$B$1</c:f>
              <c:strCache>
                <c:ptCount val="1"/>
                <c:pt idx="0">
                  <c:v>2020</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0"/>
                <c15:leaderLines/>
              </c:ext>
            </c:extLst>
          </c:dLbls>
          <c:cat>
            <c:strRef>
              <c:f>'[工作表 在 附件2：2021年单位决算公开编制说明范本-不动产登记中心1111.docx]Sheet1'!$A$2:$A$4</c:f>
              <c:strCache>
                <c:ptCount val="3"/>
                <c:pt idx="0">
                  <c:v>财政拨款收、支总计</c:v>
                </c:pt>
                <c:pt idx="2">
                  <c:v>单位：万元</c:v>
                </c:pt>
              </c:strCache>
            </c:strRef>
          </c:cat>
          <c:val>
            <c:numRef>
              <c:f>'[工作表 在 附件2：2021年单位决算公开编制说明范本-不动产登记中心1111.docx]Sheet1'!$B$2:$B$4</c:f>
              <c:numCache>
                <c:formatCode>General</c:formatCode>
                <c:ptCount val="3"/>
                <c:pt idx="0">
                  <c:v>316.56</c:v>
                </c:pt>
              </c:numCache>
            </c:numRef>
          </c:val>
        </c:ser>
        <c:ser>
          <c:idx val="1"/>
          <c:order val="1"/>
          <c:tx>
            <c:strRef>
              <c:f>'[工作表 在 附件2：2021年单位决算公开编制说明范本-不动产登记中心1111.docx]Sheet1'!$C$1</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'[工作表 在 附件2：2021年单位决算公开编制说明范本-不动产登记中心1111.docx]Sheet1'!$A$2:$A$4</c:f>
              <c:strCache>
                <c:ptCount val="3"/>
                <c:pt idx="0">
                  <c:v>财政拨款收、支总计</c:v>
                </c:pt>
                <c:pt idx="2">
                  <c:v>单位：万元</c:v>
                </c:pt>
              </c:strCache>
            </c:strRef>
          </c:cat>
          <c:val>
            <c:numRef>
              <c:f>'[工作表 在 附件2：2021年单位决算公开编制说明范本-不动产登记中心1111.docx]Sheet1'!$C$2:$C$4</c:f>
              <c:numCache>
                <c:formatCode>General</c:formatCode>
                <c:ptCount val="3"/>
                <c:pt idx="0">
                  <c:v>406.74</c:v>
                </c:pt>
              </c:numCache>
            </c:numRef>
          </c:val>
        </c:ser>
        <c:dLbls>
          <c:showLegendKey val="0"/>
          <c:showVal val="1"/>
          <c:showCatName val="0"/>
          <c:showSerName val="0"/>
          <c:showPercent val="0"/>
          <c:showBubbleSize val="0"/>
        </c:dLbls>
        <c:gapWidth val="100"/>
        <c:axId val="97437952"/>
        <c:axId val="99403648"/>
      </c:barChart>
      <c:catAx>
        <c:axId val="974379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403648"/>
        <c:crosses val="autoZero"/>
        <c:auto val="1"/>
        <c:lblAlgn val="ctr"/>
        <c:lblOffset val="100"/>
        <c:noMultiLvlLbl val="0"/>
      </c:catAx>
      <c:valAx>
        <c:axId val="994036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74379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 在 附件2：2021年单位决算公开编制说明范本-不动产登记中心1111.docx1]Sheet1'!$B$1</c:f>
              <c:strCache>
                <c:ptCount val="1"/>
                <c:pt idx="0">
                  <c:v>2020</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0"/>
                <c15:leaderLines/>
              </c:ext>
            </c:extLst>
          </c:dLbls>
          <c:cat>
            <c:strRef>
              <c:f>'[工作表 在 附件2：2021年单位决算公开编制说明范本-不动产登记中心1111.docx1]Sheet1'!$A$2:$A$4</c:f>
              <c:strCache>
                <c:ptCount val="3"/>
                <c:pt idx="0">
                  <c:v>一般公共预算财政拨款支出总计</c:v>
                </c:pt>
                <c:pt idx="2">
                  <c:v>单位：万元</c:v>
                </c:pt>
              </c:strCache>
            </c:strRef>
          </c:cat>
          <c:val>
            <c:numRef>
              <c:f>'[工作表 在 附件2：2021年单位决算公开编制说明范本-不动产登记中心1111.docx1]Sheet1'!$B$2:$B$4</c:f>
              <c:numCache>
                <c:formatCode>General</c:formatCode>
                <c:ptCount val="3"/>
                <c:pt idx="0">
                  <c:v>312.16</c:v>
                </c:pt>
              </c:numCache>
            </c:numRef>
          </c:val>
        </c:ser>
        <c:ser>
          <c:idx val="1"/>
          <c:order val="1"/>
          <c:tx>
            <c:strRef>
              <c:f>'[工作表 在 附件2：2021年单位决算公开编制说明范本-不动产登记中心1111.docx1]Sheet1'!$C$1</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'[工作表 在 附件2：2021年单位决算公开编制说明范本-不动产登记中心1111.docx1]Sheet1'!$A$2:$A$4</c:f>
              <c:strCache>
                <c:ptCount val="3"/>
                <c:pt idx="0">
                  <c:v>一般公共预算财政拨款支出总计</c:v>
                </c:pt>
                <c:pt idx="2">
                  <c:v>单位：万元</c:v>
                </c:pt>
              </c:strCache>
            </c:strRef>
          </c:cat>
          <c:val>
            <c:numRef>
              <c:f>'[工作表 在 附件2：2021年单位决算公开编制说明范本-不动产登记中心1111.docx1]Sheet1'!$C$2:$C$4</c:f>
              <c:numCache>
                <c:formatCode>General</c:formatCode>
                <c:ptCount val="3"/>
                <c:pt idx="0">
                  <c:v>406.74</c:v>
                </c:pt>
              </c:numCache>
            </c:numRef>
          </c:val>
        </c:ser>
        <c:dLbls>
          <c:showLegendKey val="0"/>
          <c:showVal val="1"/>
          <c:showCatName val="0"/>
          <c:showSerName val="0"/>
          <c:showPercent val="0"/>
          <c:showBubbleSize val="0"/>
        </c:dLbls>
        <c:gapWidth val="100"/>
        <c:axId val="128109184"/>
        <c:axId val="134342912"/>
      </c:barChart>
      <c:catAx>
        <c:axId val="128109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342912"/>
        <c:crosses val="autoZero"/>
        <c:auto val="1"/>
        <c:lblAlgn val="ctr"/>
        <c:lblOffset val="100"/>
        <c:noMultiLvlLbl val="0"/>
      </c:catAx>
      <c:valAx>
        <c:axId val="1343429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1091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Lbl>
              <c:idx val="0"/>
              <c:layout>
                <c:manualLayout>
                  <c:x val="0.00635653703985967"/>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1"/>
              <c:layout>
                <c:manualLayout>
                  <c:x val="0.0277798758094106"/>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2"/>
              <c:layout>
                <c:manualLayout>
                  <c:x val="-0.161286379235405"/>
                  <c:y val="0.0672645739910316"/>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3"/>
              <c:layout>
                <c:manualLayout>
                  <c:x val="0.104821757921801"/>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'[工作表 在 附件2：2021年单位决算公开编制说明范本-不动产登记中心1111.docx3]Sheet1'!$A$1:$D$1</c:f>
              <c:strCache>
                <c:ptCount val="4"/>
                <c:pt idx="0">
                  <c:v>公共安全支出</c:v>
                </c:pt>
                <c:pt idx="1">
                  <c:v>社会保障和就业支出</c:v>
                </c:pt>
                <c:pt idx="2">
                  <c:v>卫生健康支出</c:v>
                </c:pt>
                <c:pt idx="3">
                  <c:v>住房保障支出</c:v>
                </c:pt>
              </c:strCache>
            </c:strRef>
          </c:cat>
          <c:val>
            <c:numRef>
              <c:f>'[工作表 在 附件2：2021年单位决算公开编制说明范本-不动产登记中心1111.docx3]Sheet1'!$A$2:$D$2</c:f>
              <c:numCache>
                <c:formatCode>0.00_ </c:formatCode>
                <c:ptCount val="4"/>
                <c:pt idx="0">
                  <c:v>359.2</c:v>
                </c:pt>
                <c:pt idx="1" c:formatCode="General">
                  <c:v>18.46</c:v>
                </c:pt>
                <c:pt idx="2" c:formatCode="General">
                  <c:v>10.18</c:v>
                </c:pt>
                <c:pt idx="3" c:formatCode="General">
                  <c:v>18.89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Lbl>
              <c:idx val="1"/>
              <c:layout>
                <c:manualLayout>
                  <c:x val="-0.112156966724115"/>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2"/>
              <c:layout>
                <c:manualLayout>
                  <c:x val="0.128330395750618"/>
                  <c:y val="-0.146549007701973"/>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3"/>
              <c:layout>
                <c:manualLayout>
                  <c:x val="0.169460645437425"/>
                  <c:y val="0.147564887722368"/>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'[工作表 在 附件2：2021年单位决算公开编制说明范本-不动产登记中心1111.docx4]Sheet1'!$B$1:$E$1</c:f>
              <c:strCache>
                <c:ptCount val="4"/>
                <c:pt idx="0">
                  <c:v>公务用车运维费</c:v>
                </c:pt>
                <c:pt idx="1">
                  <c:v>因公出国出境费</c:v>
                </c:pt>
                <c:pt idx="2">
                  <c:v>公务接待费</c:v>
                </c:pt>
                <c:pt idx="3">
                  <c:v>单位：万元</c:v>
                </c:pt>
              </c:strCache>
            </c:strRef>
          </c:cat>
          <c:val>
            <c:numRef>
              <c:f>'[工作表 在 附件2：2021年单位决算公开编制说明范本-不动产登记中心1111.docx4]Sheet1'!$B$2:$E$2</c:f>
              <c:numCache>
                <c:formatCode>General</c:formatCode>
                <c:ptCount val="4"/>
                <c:pt idx="0">
                  <c:v>12.23</c:v>
                </c:pt>
                <c:pt idx="1">
                  <c:v>0</c:v>
                </c:pt>
                <c:pt idx="2">
                  <c:v>0.39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6679</Words>
  <Characters>8861</Characters>
  <Lines>64</Lines>
  <Paragraphs>18</Paragraphs>
  <TotalTime>1108</TotalTime>
  <ScaleCrop>false</ScaleCrop>
  <LinksUpToDate>false</LinksUpToDate>
  <CharactersWithSpaces>8903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任超凡</cp:lastModifiedBy>
  <cp:lastPrinted>2022-08-24T09:40:00Z</cp:lastPrinted>
  <dcterms:modified xsi:type="dcterms:W3CDTF">2022-09-02T07:36:48Z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9FE567BCA2F54225924331BA08D9FFA6</vt:lpwstr>
  </property>
</Properties>
</file>