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78441"/>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7194"/>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遂宁市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遂宁市公安局部门决算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公开时间：2020年9月23日</w:t>
      </w:r>
    </w:p>
    <w:p/>
    <w:p>
      <w:pPr>
        <w:pStyle w:val="10"/>
        <w:adjustRightInd w:val="0"/>
        <w:snapToGrid w:val="0"/>
        <w:spacing w:before="0" w:line="440" w:lineRule="exact"/>
        <w:jc w:val="right"/>
        <w:rPr>
          <w:rFonts w:cstheme="minorBidi"/>
          <w:sz w:val="24"/>
          <w:szCs w:val="24"/>
        </w:rPr>
      </w:pPr>
      <w:r>
        <w:rPr>
          <w:rFonts w:hint="eastAsia"/>
          <w:sz w:val="24"/>
          <w:szCs w:val="24"/>
        </w:rPr>
        <w:t>第一部分</w:t>
      </w:r>
      <w:r>
        <w:rPr>
          <w:sz w:val="24"/>
          <w:szCs w:val="24"/>
        </w:rPr>
        <w:t xml:space="preserve"> </w:t>
      </w:r>
      <w:r>
        <w:rPr>
          <w:rFonts w:hint="eastAsia"/>
          <w:sz w:val="24"/>
          <w:szCs w:val="24"/>
        </w:rPr>
        <w:t>部门概况</w:t>
      </w:r>
      <w:r>
        <w:rPr>
          <w:sz w:val="24"/>
          <w:szCs w:val="24"/>
        </w:rPr>
        <w:tab/>
      </w:r>
      <w:r>
        <w:rPr>
          <w:rFonts w:hint="eastAsia"/>
          <w:sz w:val="24"/>
          <w:szCs w:val="24"/>
        </w:rPr>
        <w:t>4</w:t>
      </w:r>
    </w:p>
    <w:p>
      <w:pPr>
        <w:pStyle w:val="11"/>
        <w:numPr>
          <w:ilvl w:val="0"/>
          <w:numId w:val="1"/>
        </w:numPr>
        <w:adjustRightInd w:val="0"/>
        <w:snapToGrid w:val="0"/>
        <w:spacing w:line="440" w:lineRule="exact"/>
        <w:ind w:leftChars="0"/>
        <w:jc w:val="right"/>
        <w:rPr>
          <w:rFonts w:ascii="仿宋" w:hAnsi="仿宋" w:eastAsia="仿宋"/>
          <w:sz w:val="24"/>
        </w:rPr>
      </w:pPr>
      <w:r>
        <w:rPr>
          <w:rFonts w:hint="eastAsia" w:ascii="仿宋" w:hAnsi="仿宋" w:eastAsia="仿宋"/>
          <w:sz w:val="24"/>
        </w:rPr>
        <w:t>基本职能及主要工作………………………………………………………4</w:t>
      </w:r>
    </w:p>
    <w:p>
      <w:pPr>
        <w:pStyle w:val="11"/>
        <w:numPr>
          <w:ilvl w:val="0"/>
          <w:numId w:val="1"/>
        </w:numPr>
        <w:adjustRightInd w:val="0"/>
        <w:snapToGrid w:val="0"/>
        <w:spacing w:line="440" w:lineRule="exact"/>
        <w:ind w:leftChars="0"/>
        <w:jc w:val="right"/>
        <w:rPr>
          <w:rFonts w:ascii="仿宋" w:hAnsi="仿宋" w:eastAsia="仿宋"/>
          <w:sz w:val="24"/>
        </w:rPr>
      </w:pPr>
      <w:r>
        <w:rPr>
          <w:rFonts w:hint="eastAsia" w:ascii="仿宋" w:hAnsi="仿宋" w:eastAsia="仿宋"/>
          <w:sz w:val="24"/>
        </w:rPr>
        <w:t>机构设置……………………………………………………………………5</w:t>
      </w:r>
    </w:p>
    <w:p>
      <w:pPr>
        <w:pStyle w:val="10"/>
        <w:adjustRightInd w:val="0"/>
        <w:snapToGrid w:val="0"/>
        <w:spacing w:before="0" w:line="440" w:lineRule="exact"/>
        <w:jc w:val="right"/>
        <w:rPr>
          <w:sz w:val="24"/>
          <w:szCs w:val="24"/>
        </w:rPr>
      </w:pPr>
      <w:r>
        <w:rPr>
          <w:rFonts w:hint="eastAsia"/>
          <w:sz w:val="24"/>
          <w:szCs w:val="24"/>
        </w:rPr>
        <w:t>第二部分度部门决算情况说明………………………………………………………6一、收入支出决算总体情况说明………………………………………………6</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二、收入决算情况说明…………………………………………………………6</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三、支出决算情况说明…………………………………………………………7</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 xml:space="preserve"> 四、财政拨款收入支出决算总体情况说明……………………………………8</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五、一般公共预算财政拨款支出决算情况说明………………………………8</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六、一般公共预算财政拨款基本支出决算情况说明…………………………12</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三公”经费财政拨款支出决算情况说明………………………………13</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八、政府性基金预算支出决算情况说明………………………………………15</w:t>
      </w:r>
    </w:p>
    <w:p>
      <w:pPr>
        <w:pStyle w:val="11"/>
        <w:adjustRightInd w:val="0"/>
        <w:snapToGrid w:val="0"/>
        <w:spacing w:line="440" w:lineRule="exact"/>
        <w:ind w:leftChars="0"/>
        <w:jc w:val="right"/>
        <w:rPr>
          <w:rFonts w:ascii="仿宋" w:hAnsi="仿宋" w:eastAsia="仿宋"/>
          <w:sz w:val="24"/>
        </w:rPr>
      </w:pPr>
      <w:r>
        <w:rPr>
          <w:rFonts w:hint="eastAsia" w:ascii="仿宋" w:hAnsi="仿宋" w:eastAsia="仿宋"/>
          <w:sz w:val="24"/>
        </w:rPr>
        <w:t>九、</w:t>
      </w:r>
      <w:r>
        <w:rPr>
          <w:rFonts w:ascii="仿宋" w:hAnsi="仿宋" w:eastAsia="仿宋"/>
          <w:sz w:val="24"/>
        </w:rPr>
        <w:t>国</w:t>
      </w:r>
      <w:r>
        <w:rPr>
          <w:rFonts w:hint="eastAsia" w:ascii="仿宋" w:hAnsi="仿宋" w:eastAsia="仿宋"/>
          <w:sz w:val="24"/>
        </w:rPr>
        <w:t>有资本经营预算支出决算情况说明…………………………………15</w:t>
      </w:r>
    </w:p>
    <w:p>
      <w:pPr>
        <w:adjustRightInd w:val="0"/>
        <w:snapToGrid w:val="0"/>
        <w:spacing w:line="440" w:lineRule="exact"/>
        <w:ind w:firstLine="480" w:firstLineChars="200"/>
        <w:jc w:val="righ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r>
        <w:rPr>
          <w:rFonts w:hint="eastAsia" w:ascii="仿宋" w:hAnsi="仿宋" w:eastAsia="仿宋"/>
          <w:sz w:val="24"/>
        </w:rPr>
        <w:t>……………………………………………15</w:t>
      </w:r>
    </w:p>
    <w:p>
      <w:pPr>
        <w:pStyle w:val="10"/>
        <w:adjustRightInd w:val="0"/>
        <w:snapToGrid w:val="0"/>
        <w:spacing w:before="0" w:line="440" w:lineRule="exact"/>
        <w:jc w:val="right"/>
        <w:rPr>
          <w:rFonts w:cstheme="minorBidi"/>
          <w:sz w:val="24"/>
          <w:szCs w:val="24"/>
        </w:rPr>
      </w:pPr>
      <w:r>
        <w:rPr>
          <w:rFonts w:hint="eastAsia"/>
          <w:sz w:val="24"/>
          <w:szCs w:val="24"/>
        </w:rPr>
        <w:t>第三部分</w:t>
      </w:r>
      <w:r>
        <w:rPr>
          <w:sz w:val="24"/>
          <w:szCs w:val="24"/>
        </w:rPr>
        <w:t xml:space="preserve"> </w:t>
      </w:r>
      <w:r>
        <w:rPr>
          <w:rFonts w:hint="eastAsia"/>
          <w:sz w:val="24"/>
          <w:szCs w:val="24"/>
        </w:rPr>
        <w:t>名词解释…………………………………………………………………25</w:t>
      </w:r>
    </w:p>
    <w:p>
      <w:pPr>
        <w:pStyle w:val="10"/>
        <w:adjustRightInd w:val="0"/>
        <w:snapToGrid w:val="0"/>
        <w:spacing w:before="0" w:line="440" w:lineRule="exact"/>
        <w:jc w:val="right"/>
        <w:rPr>
          <w:rFonts w:cstheme="minorBidi"/>
          <w:sz w:val="24"/>
          <w:szCs w:val="24"/>
        </w:rPr>
      </w:pPr>
      <w:r>
        <w:rPr>
          <w:rFonts w:hint="eastAsia"/>
          <w:sz w:val="24"/>
          <w:szCs w:val="24"/>
        </w:rPr>
        <w:t>第四部分</w:t>
      </w:r>
      <w:r>
        <w:rPr>
          <w:sz w:val="24"/>
          <w:szCs w:val="24"/>
        </w:rPr>
        <w:t xml:space="preserve"> </w:t>
      </w:r>
      <w:r>
        <w:rPr>
          <w:rFonts w:hint="eastAsia"/>
          <w:sz w:val="24"/>
          <w:szCs w:val="24"/>
        </w:rPr>
        <w:t>附件………………………………………………………………………31</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r>
        <w:rPr>
          <w:rFonts w:hint="eastAsia" w:ascii="仿宋" w:hAnsi="仿宋" w:eastAsia="仿宋"/>
          <w:sz w:val="24"/>
        </w:rPr>
        <w:t>……………………………………………………………………………31</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r>
        <w:rPr>
          <w:rFonts w:hint="eastAsia" w:ascii="仿宋" w:hAnsi="仿宋" w:eastAsia="仿宋"/>
          <w:sz w:val="24"/>
        </w:rPr>
        <w:t>……………………………………………………………………………40</w:t>
      </w:r>
    </w:p>
    <w:p>
      <w:pPr>
        <w:pStyle w:val="10"/>
        <w:adjustRightInd w:val="0"/>
        <w:snapToGrid w:val="0"/>
        <w:spacing w:before="0" w:line="440" w:lineRule="exact"/>
        <w:jc w:val="right"/>
        <w:rPr>
          <w:rFonts w:cstheme="minorBidi"/>
          <w:sz w:val="24"/>
          <w:szCs w:val="24"/>
        </w:rPr>
      </w:pPr>
      <w:r>
        <w:rPr>
          <w:rFonts w:hint="eastAsia"/>
          <w:sz w:val="24"/>
          <w:szCs w:val="24"/>
        </w:rPr>
        <w:t>第五部分</w:t>
      </w:r>
      <w:r>
        <w:rPr>
          <w:sz w:val="24"/>
          <w:szCs w:val="24"/>
        </w:rPr>
        <w:t xml:space="preserve"> </w:t>
      </w:r>
      <w:r>
        <w:rPr>
          <w:rFonts w:hint="eastAsia"/>
          <w:sz w:val="24"/>
          <w:szCs w:val="24"/>
        </w:rPr>
        <w:t>附表………………………………………………………………………45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一、收入支出决算总表…………………………………………………………45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二、收入决算表…………………………………………………………………45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三、支出决算表…………………………………………………………………45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四、财政拨款收入支出决算总表………………………………………………45</w:t>
      </w:r>
    </w:p>
    <w:p>
      <w:pPr>
        <w:pStyle w:val="11"/>
        <w:adjustRightInd w:val="0"/>
        <w:snapToGrid w:val="0"/>
        <w:spacing w:line="440" w:lineRule="exact"/>
        <w:jc w:val="right"/>
        <w:rPr>
          <w:rFonts w:ascii="仿宋" w:hAnsi="仿宋" w:eastAsia="仿宋"/>
          <w:sz w:val="24"/>
        </w:rPr>
      </w:pPr>
      <w:r>
        <w:rPr>
          <w:rFonts w:hint="eastAsia" w:ascii="仿宋" w:hAnsi="仿宋" w:eastAsia="仿宋"/>
          <w:sz w:val="24"/>
        </w:rPr>
        <w:t>五、财政拨款支出决算明细表…………………………………………………45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六、一般公共预算财政拨款支出决算表………………………………………45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七、一般公共预算财政拨款支出决算明细表…………………………………45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八、一般公共预算财政拨款基本支出决算表…………………………………45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九、一般公共预算财政拨款项目支出决算表…………………………………45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十、一般公共预算财政拨款“三公”经费支出决算表………………………45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十一、政府性基金预算财政拨款收入支出决算表……………………………45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十二、政府性基金预算财政拨款“三公”经费支出决算表…………………45</w:t>
      </w:r>
    </w:p>
    <w:p>
      <w:pPr>
        <w:pStyle w:val="11"/>
        <w:adjustRightInd w:val="0"/>
        <w:snapToGrid w:val="0"/>
        <w:spacing w:line="440" w:lineRule="exact"/>
        <w:jc w:val="right"/>
        <w:rPr>
          <w:rFonts w:ascii="仿宋" w:hAnsi="仿宋" w:eastAsia="仿宋" w:cstheme="minorBidi"/>
          <w:sz w:val="24"/>
        </w:rPr>
      </w:pPr>
      <w:r>
        <w:rPr>
          <w:rFonts w:hint="eastAsia" w:ascii="仿宋" w:hAnsi="仿宋" w:eastAsia="仿宋"/>
          <w:sz w:val="24"/>
        </w:rPr>
        <w:t>十三、国有资本经营预算支出决算表…………………………………………45</w:t>
      </w:r>
    </w:p>
    <w:p>
      <w:pPr>
        <w:widowControl/>
        <w:spacing w:line="440" w:lineRule="exact"/>
        <w:jc w:val="righ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5"/>
        <w:adjustRightIn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境入境管理工作；依法管理交通、车辆、驾驶员；组织实施消防监督、火灾预防和扑救工作；组织开展对国家机关、社会团体、企业事业单位、重点建设工程和治安保卫工作以及群众性组织的治安防范工作。</w:t>
      </w:r>
    </w:p>
    <w:p>
      <w:pPr>
        <w:pStyle w:val="5"/>
        <w:adjustRightInd w:val="0"/>
        <w:snapToGrid w:val="0"/>
        <w:spacing w:before="93" w:line="600" w:lineRule="exact"/>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 xml:space="preserve">   （二）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cs="仿宋_GB2312"/>
          <w:color w:val="000000"/>
          <w:sz w:val="32"/>
          <w:szCs w:val="32"/>
        </w:rPr>
        <w:t>全市公安机关认真履行公安职能职责，今年确定的中心目标、基本职能职责等各项工作任务均有序落实。</w:t>
      </w:r>
      <w:bookmarkStart w:id="20" w:name="_Toc15396601"/>
      <w:bookmarkStart w:id="21" w:name="_Toc15377200"/>
      <w:r>
        <w:rPr>
          <w:rFonts w:hint="eastAsia" w:ascii="仿宋" w:hAnsi="仿宋" w:eastAsia="仿宋"/>
          <w:bCs/>
          <w:color w:val="000000"/>
          <w:sz w:val="32"/>
          <w:szCs w:val="32"/>
        </w:rPr>
        <w:t>一是强化对敌反恐，全力确保政治安全。二是强化风险防控，竭力维护社会稳定。三是强化打击整治，聚力建设平安遂宁，始终坚持打防结合、整体防控，筑牢社会治安和公共安全“铜墙铁壁”，持续巩固“长安杯”创建成果。四是强化基层基础，合力植牢发展根基。五是强化改革创新，大力提升警务效能，始终坚持创新驱动，综合施策，强化改革项目攻坚，着力实现公安工作质量变革、效率变革和动力变革。</w:t>
      </w:r>
    </w:p>
    <w:p>
      <w:pPr>
        <w:pStyle w:val="12"/>
        <w:spacing w:before="93" w:beforeAutospacing="0" w:after="0" w:afterAutospacing="0" w:line="580" w:lineRule="exact"/>
        <w:ind w:firstLine="640" w:firstLineChars="200"/>
        <w:jc w:val="both"/>
        <w:rPr>
          <w:rStyle w:val="26"/>
        </w:rPr>
      </w:pPr>
      <w:r>
        <w:rPr>
          <w:rFonts w:hint="eastAsia" w:ascii="黑体" w:eastAsia="黑体"/>
          <w:color w:val="000000"/>
          <w:sz w:val="32"/>
          <w:szCs w:val="32"/>
        </w:rPr>
        <w:t>二、</w:t>
      </w:r>
      <w:r>
        <w:rPr>
          <w:rFonts w:hint="eastAsia" w:ascii="黑体" w:hAnsi="黑体" w:eastAsia="黑体"/>
          <w:color w:val="000000"/>
          <w:sz w:val="32"/>
          <w:szCs w:val="32"/>
        </w:rPr>
        <w:t>机</w:t>
      </w:r>
      <w:r>
        <w:rPr>
          <w:rStyle w:val="26"/>
          <w:rFonts w:hint="eastAsia" w:ascii="黑体" w:hAnsi="黑体" w:eastAsia="黑体"/>
        </w:rPr>
        <w:t>构设置</w:t>
      </w:r>
      <w:bookmarkEnd w:id="20"/>
      <w:bookmarkEnd w:id="21"/>
    </w:p>
    <w:p>
      <w:pPr>
        <w:ind w:firstLine="640" w:firstLineChars="200"/>
        <w:rPr>
          <w:rFonts w:ascii="仿宋" w:hAnsi="仿宋" w:eastAsia="仿宋"/>
          <w:sz w:val="32"/>
          <w:szCs w:val="32"/>
        </w:rPr>
      </w:pPr>
      <w:r>
        <w:rPr>
          <w:rFonts w:hint="eastAsia" w:ascii="仿宋" w:hAnsi="仿宋" w:eastAsia="仿宋"/>
          <w:sz w:val="32"/>
          <w:szCs w:val="32"/>
        </w:rPr>
        <w:t>遂宁市公安局下属二级预算单位7个，其中行政单位7个，参照公务员法管理的事业单位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纳入遂宁市公安局</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年度部门决算编制范围的二级预算单位包括：</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遂宁市公安局经济技术开发区分局</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遂宁市公安局河东新区分局</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遂宁市公安局交通警察支队</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遂宁市公安局收容教育所</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遂宁市公安局强制隔离戒毒所</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遂宁市看守所</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遂宁市强制医疗所</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3"/>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2019年度收、支总计35456.83万元。与2018年相比，收、支总计各减少1111.63万元，下降3.14</w:t>
      </w:r>
      <w:r>
        <w:rPr>
          <w:rFonts w:ascii="仿宋" w:hAnsi="仿宋" w:eastAsia="仿宋"/>
          <w:color w:val="000000"/>
          <w:sz w:val="32"/>
          <w:szCs w:val="32"/>
        </w:rPr>
        <w:t>%</w:t>
      </w:r>
      <w:r>
        <w:rPr>
          <w:rFonts w:hint="eastAsia" w:ascii="仿宋" w:hAnsi="仿宋" w:eastAsia="仿宋"/>
          <w:color w:val="000000"/>
          <w:sz w:val="32"/>
          <w:szCs w:val="32"/>
        </w:rPr>
        <w:t>。主要变动原因是人员经费减少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819650" cy="2762250"/>
            <wp:effectExtent l="19050" t="0" r="0" b="0"/>
            <wp:wrapSquare wrapText="bothSides"/>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noChangeArrowheads="1"/>
                    </pic:cNvPicPr>
                  </pic:nvPicPr>
                  <pic:blipFill>
                    <a:blip r:embed="rId6"/>
                    <a:srcRect/>
                    <a:stretch>
                      <a:fillRect/>
                    </a:stretch>
                  </pic:blipFill>
                  <pic:spPr>
                    <a:xfrm>
                      <a:off x="0" y="0"/>
                      <a:ext cx="4819650" cy="2762250"/>
                    </a:xfrm>
                    <a:prstGeom prst="rect">
                      <a:avLst/>
                    </a:prstGeom>
                    <a:noFill/>
                  </pic:spPr>
                </pic:pic>
              </a:graphicData>
            </a:graphic>
          </wp:anchor>
        </w:drawing>
      </w:r>
      <w:r>
        <w:rPr>
          <w:rFonts w:ascii="仿宋" w:hAnsi="仿宋" w:eastAsia="仿宋"/>
          <w:color w:val="000000" w:themeColor="text1"/>
          <w:sz w:val="32"/>
          <w:szCs w:val="32"/>
        </w:rPr>
        <w:br w:type="textWrapping" w:clear="all"/>
      </w:r>
    </w:p>
    <w:p>
      <w:pPr>
        <w:pStyle w:val="24"/>
        <w:numPr>
          <w:ilvl w:val="0"/>
          <w:numId w:val="3"/>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9年本年收入合计30387.71万元，其中：一般公共预算财政拨款收入28033.46万元，占92.25</w:t>
      </w:r>
      <w:r>
        <w:rPr>
          <w:rFonts w:ascii="仿宋" w:hAnsi="仿宋" w:eastAsia="仿宋"/>
          <w:color w:val="000000"/>
          <w:sz w:val="32"/>
          <w:szCs w:val="32"/>
        </w:rPr>
        <w:t>%</w:t>
      </w:r>
      <w:r>
        <w:rPr>
          <w:rFonts w:hint="eastAsia" w:ascii="仿宋" w:hAnsi="仿宋" w:eastAsia="仿宋"/>
          <w:color w:val="000000"/>
          <w:sz w:val="32"/>
          <w:szCs w:val="32"/>
        </w:rPr>
        <w:t>；其他收入2354.24万元，占7.75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819650" cy="2762250"/>
            <wp:effectExtent l="19050" t="0" r="0" b="0"/>
            <wp:wrapSquare wrapText="bothSides"/>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noChangeArrowheads="1"/>
                    </pic:cNvPicPr>
                  </pic:nvPicPr>
                  <pic:blipFill>
                    <a:blip r:embed="rId7"/>
                    <a:srcRect/>
                    <a:stretch>
                      <a:fillRect/>
                    </a:stretch>
                  </pic:blipFill>
                  <pic:spPr>
                    <a:xfrm>
                      <a:off x="0" y="0"/>
                      <a:ext cx="4819650" cy="2762250"/>
                    </a:xfrm>
                    <a:prstGeom prst="rect">
                      <a:avLst/>
                    </a:prstGeom>
                    <a:noFill/>
                  </pic:spPr>
                </pic:pic>
              </a:graphicData>
            </a:graphic>
          </wp:anchor>
        </w:drawing>
      </w:r>
      <w:r>
        <w:rPr>
          <w:rFonts w:ascii="仿宋" w:hAnsi="仿宋" w:eastAsia="仿宋"/>
          <w:color w:val="000000" w:themeColor="text1"/>
          <w:sz w:val="32"/>
          <w:szCs w:val="32"/>
        </w:rPr>
        <w:br w:type="textWrapping" w:clear="all"/>
      </w:r>
    </w:p>
    <w:p>
      <w:pPr>
        <w:pStyle w:val="24"/>
        <w:numPr>
          <w:ilvl w:val="0"/>
          <w:numId w:val="3"/>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30338.39</w:t>
      </w:r>
      <w:r>
        <w:rPr>
          <w:rFonts w:hint="eastAsia" w:ascii="仿宋" w:hAnsi="仿宋" w:eastAsia="仿宋"/>
          <w:color w:val="000000"/>
          <w:sz w:val="32"/>
          <w:szCs w:val="32"/>
        </w:rPr>
        <w:t>万元，其中：基本支出</w:t>
      </w:r>
      <w:r>
        <w:rPr>
          <w:rFonts w:ascii="仿宋" w:hAnsi="仿宋" w:eastAsia="仿宋"/>
          <w:color w:val="000000"/>
          <w:sz w:val="32"/>
          <w:szCs w:val="32"/>
        </w:rPr>
        <w:t>16705.5</w:t>
      </w:r>
      <w:r>
        <w:rPr>
          <w:rFonts w:hint="eastAsia" w:ascii="仿宋" w:hAnsi="仿宋" w:eastAsia="仿宋"/>
          <w:color w:val="000000"/>
          <w:sz w:val="32"/>
          <w:szCs w:val="32"/>
        </w:rPr>
        <w:t>8万元，占55.06</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13632.81</w:t>
      </w:r>
      <w:r>
        <w:rPr>
          <w:rFonts w:hint="eastAsia" w:ascii="仿宋" w:hAnsi="仿宋" w:eastAsia="仿宋"/>
          <w:color w:val="000000"/>
          <w:sz w:val="32"/>
          <w:szCs w:val="32"/>
        </w:rPr>
        <w:t>万元，占44.94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4819650" cy="2762250"/>
            <wp:effectExtent l="19050" t="0" r="0" b="0"/>
            <wp:wrapSquare wrapText="bothSides"/>
            <wp:docPr id="3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
                    <pic:cNvPicPr>
                      <a:picLocks noChangeAspect="1" noChangeArrowheads="1"/>
                    </pic:cNvPicPr>
                  </pic:nvPicPr>
                  <pic:blipFill>
                    <a:blip r:embed="rId8"/>
                    <a:srcRect/>
                    <a:stretch>
                      <a:fillRect/>
                    </a:stretch>
                  </pic:blipFill>
                  <pic:spPr>
                    <a:xfrm>
                      <a:off x="0" y="0"/>
                      <a:ext cx="4819650" cy="2762250"/>
                    </a:xfrm>
                    <a:prstGeom prst="rect">
                      <a:avLst/>
                    </a:prstGeom>
                    <a:noFill/>
                  </pic:spPr>
                </pic:pic>
              </a:graphicData>
            </a:graphic>
          </wp:anchor>
        </w:drawing>
      </w:r>
      <w:bookmarkStart w:id="30" w:name="_Toc15377208"/>
      <w:bookmarkStart w:id="31" w:name="_Toc15396606"/>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ascii="仿宋" w:hAnsi="仿宋" w:eastAsia="仿宋"/>
          <w:color w:val="000000"/>
          <w:sz w:val="32"/>
          <w:szCs w:val="32"/>
        </w:rPr>
        <w:t>32546.74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8年相比，财政拨款收、支总计各增加1247.09万元，增长3.83</w:t>
      </w:r>
      <w:r>
        <w:rPr>
          <w:rFonts w:ascii="仿宋" w:hAnsi="仿宋" w:eastAsia="仿宋"/>
          <w:color w:val="000000"/>
          <w:sz w:val="32"/>
          <w:szCs w:val="32"/>
        </w:rPr>
        <w:t>%</w:t>
      </w:r>
      <w:r>
        <w:rPr>
          <w:rFonts w:hint="eastAsia" w:ascii="仿宋" w:hAnsi="仿宋" w:eastAsia="仿宋"/>
          <w:color w:val="000000"/>
          <w:sz w:val="32"/>
          <w:szCs w:val="32"/>
        </w:rPr>
        <w:t>。主要变动原因是人员经费工资津贴正常调标</w:t>
      </w:r>
      <w:r>
        <w:rPr>
          <w:rFonts w:hint="eastAsia" w:ascii="仿宋" w:hAnsi="仿宋" w:eastAsia="仿宋"/>
          <w:color w:val="000000"/>
          <w:sz w:val="32"/>
          <w:szCs w:val="32"/>
          <w:lang w:val="en-US" w:eastAsia="zh-CN"/>
        </w:rPr>
        <w:t>和专项经费增加。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266700</wp:posOffset>
            </wp:positionH>
            <wp:positionV relativeFrom="paragraph">
              <wp:posOffset>285750</wp:posOffset>
            </wp:positionV>
            <wp:extent cx="4572000" cy="2743200"/>
            <wp:effectExtent l="19050" t="0" r="19050" b="0"/>
            <wp:wrapSquare wrapText="bothSides"/>
            <wp:docPr id="3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b/>
          <w:color w:val="00B050"/>
          <w:sz w:val="32"/>
          <w:szCs w:val="32"/>
        </w:rPr>
        <w:br w:type="textWrapping" w:clear="all"/>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9年一般公共预算财政拨款支出28272.49万元，占本年支出合计的93.19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8年相比，一般公共预算财政拨款增加1626.48万元，增长5.75</w:t>
      </w:r>
      <w:r>
        <w:rPr>
          <w:rFonts w:ascii="仿宋" w:hAnsi="仿宋" w:eastAsia="仿宋"/>
          <w:color w:val="000000"/>
          <w:sz w:val="32"/>
          <w:szCs w:val="32"/>
        </w:rPr>
        <w:t>%</w:t>
      </w:r>
      <w:r>
        <w:rPr>
          <w:rFonts w:hint="eastAsia" w:ascii="仿宋" w:hAnsi="仿宋" w:eastAsia="仿宋"/>
          <w:color w:val="000000"/>
          <w:sz w:val="32"/>
          <w:szCs w:val="32"/>
        </w:rPr>
        <w:t>。主要变动原因是专用项目经费开支增加。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r>
        <w:rPr>
          <w:rFonts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342900</wp:posOffset>
            </wp:positionH>
            <wp:positionV relativeFrom="paragraph">
              <wp:posOffset>285750</wp:posOffset>
            </wp:positionV>
            <wp:extent cx="4572000" cy="2743200"/>
            <wp:effectExtent l="19050" t="0" r="19050" b="0"/>
            <wp:wrapSquare wrapText="bothSides"/>
            <wp:docPr id="3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政拨款支出28272.49万元，主要用于以下方面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支出5.8万元，占0.02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公共安全（类）</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25568.82</w:t>
      </w:r>
      <w:r>
        <w:rPr>
          <w:rFonts w:hint="eastAsia" w:ascii="仿宋" w:hAnsi="仿宋" w:eastAsia="仿宋"/>
          <w:color w:val="000000" w:themeColor="text1"/>
          <w:sz w:val="32"/>
          <w:szCs w:val="32"/>
        </w:rPr>
        <w:t>万元，占90.44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支出977.76万元，占3.46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卫生健康（类）</w:t>
      </w:r>
      <w:r>
        <w:rPr>
          <w:rFonts w:hint="eastAsia" w:ascii="仿宋" w:hAnsi="仿宋" w:eastAsia="仿宋"/>
          <w:bCs/>
          <w:color w:val="000000" w:themeColor="text1"/>
          <w:sz w:val="32"/>
          <w:szCs w:val="32"/>
        </w:rPr>
        <w:t>支出</w:t>
      </w:r>
      <w:r>
        <w:rPr>
          <w:rFonts w:hint="eastAsia" w:ascii="仿宋" w:hAnsi="仿宋" w:eastAsia="仿宋"/>
          <w:color w:val="000000" w:themeColor="text1"/>
          <w:sz w:val="32"/>
          <w:szCs w:val="32"/>
        </w:rPr>
        <w:t>552.48万元，占1.95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住房保障（类）</w:t>
      </w:r>
      <w:r>
        <w:rPr>
          <w:rFonts w:hint="eastAsia" w:ascii="仿宋" w:hAnsi="仿宋" w:eastAsia="仿宋"/>
          <w:color w:val="000000" w:themeColor="text1"/>
          <w:sz w:val="32"/>
          <w:szCs w:val="32"/>
        </w:rPr>
        <w:t>支出1167.13万元，占4.13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其他（类）</w:t>
      </w:r>
      <w:r>
        <w:rPr>
          <w:rFonts w:hint="eastAsia" w:ascii="仿宋" w:hAnsi="仿宋" w:eastAsia="仿宋"/>
          <w:color w:val="000000" w:themeColor="text1"/>
          <w:sz w:val="32"/>
          <w:szCs w:val="32"/>
        </w:rPr>
        <w:t>支出0.5万元，占0.001%。</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4587240" cy="2762250"/>
            <wp:effectExtent l="19050" t="0" r="381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srcRect/>
                    <a:stretch>
                      <a:fillRect/>
                    </a:stretch>
                  </pic:blipFill>
                  <pic:spPr>
                    <a:xfrm>
                      <a:off x="0" y="0"/>
                      <a:ext cx="4587240" cy="2762250"/>
                    </a:xfrm>
                    <a:prstGeom prst="rect">
                      <a:avLst/>
                    </a:prstGeom>
                    <a:noFill/>
                  </pic:spPr>
                </pic:pic>
              </a:graphicData>
            </a:graphic>
          </wp:anchor>
        </w:drawing>
      </w:r>
      <w:r>
        <w:rPr>
          <w:rFonts w:ascii="仿宋" w:hAnsi="仿宋" w:eastAsia="仿宋"/>
          <w:color w:val="000000"/>
          <w:sz w:val="32"/>
          <w:szCs w:val="32"/>
        </w:rPr>
        <w:br w:type="textWrapping" w:clear="all"/>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Style w:val="15"/>
          <w:rFonts w:ascii="仿宋" w:hAnsi="仿宋" w:eastAsia="仿宋"/>
          <w:bCs/>
          <w:color w:val="00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2019年般公共预算支出决算数为</w:t>
      </w:r>
      <w:r>
        <w:rPr>
          <w:rFonts w:hint="eastAsia" w:ascii="仿宋" w:hAnsi="仿宋" w:eastAsia="仿宋"/>
          <w:color w:val="000000" w:themeColor="text1"/>
          <w:sz w:val="32"/>
          <w:szCs w:val="32"/>
        </w:rPr>
        <w:t>28272.49万元，</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预算86.87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outlineLvl w:val="2"/>
        <w:rPr>
          <w:rFonts w:ascii="仿宋" w:hAnsi="仿宋" w:eastAsia="仿宋"/>
          <w:color w:val="FF0000"/>
          <w:sz w:val="32"/>
          <w:szCs w:val="32"/>
        </w:rPr>
      </w:pPr>
      <w:r>
        <w:rPr>
          <w:rStyle w:val="15"/>
          <w:rFonts w:hint="eastAsia" w:ascii="仿宋" w:hAnsi="仿宋" w:eastAsia="仿宋"/>
          <w:bCs/>
          <w:color w:val="000000"/>
          <w:sz w:val="32"/>
          <w:szCs w:val="32"/>
        </w:rPr>
        <w:t>1.一般公共服务（类）其他一般公共服务（款）国家赔偿费用支出（项）：</w:t>
      </w:r>
      <w:r>
        <w:rPr>
          <w:rStyle w:val="15"/>
          <w:rFonts w:hint="eastAsia" w:ascii="仿宋" w:hAnsi="仿宋" w:eastAsia="仿宋"/>
          <w:b w:val="0"/>
          <w:bCs/>
          <w:color w:val="000000"/>
          <w:sz w:val="32"/>
          <w:szCs w:val="32"/>
        </w:rPr>
        <w:t>2019年决算数为5.8万元，完成预算100%。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2</w:t>
      </w:r>
      <w:r>
        <w:rPr>
          <w:rFonts w:ascii="仿宋" w:hAnsi="仿宋" w:eastAsia="仿宋"/>
          <w:b/>
          <w:bCs/>
          <w:color w:val="000000"/>
          <w:sz w:val="32"/>
          <w:szCs w:val="32"/>
        </w:rPr>
        <w:t>.</w:t>
      </w:r>
      <w:r>
        <w:rPr>
          <w:rFonts w:hint="eastAsia" w:ascii="仿宋" w:hAnsi="仿宋" w:eastAsia="仿宋"/>
          <w:b/>
          <w:bCs/>
          <w:color w:val="000000"/>
          <w:sz w:val="32"/>
          <w:szCs w:val="32"/>
        </w:rPr>
        <w:t xml:space="preserve"> 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13584</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3</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7280.91</w:t>
      </w:r>
      <w:r>
        <w:rPr>
          <w:rFonts w:ascii="仿宋" w:hAnsi="仿宋" w:eastAsia="仿宋"/>
          <w:color w:val="000000"/>
          <w:sz w:val="32"/>
          <w:szCs w:val="32"/>
        </w:rPr>
        <w:t>万元，完成预算</w:t>
      </w:r>
      <w:r>
        <w:rPr>
          <w:rFonts w:hint="eastAsia" w:ascii="仿宋" w:hAnsi="仿宋" w:eastAsia="仿宋"/>
          <w:color w:val="000000"/>
          <w:sz w:val="32"/>
          <w:szCs w:val="32"/>
        </w:rPr>
        <w:t>66.52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，决算数小于预算数的主要原因是部门政府采购项目和中省转移办案业务经费</w:t>
      </w:r>
      <w:r>
        <w:rPr>
          <w:rFonts w:hint="eastAsia" w:ascii="仿宋" w:hAnsi="仿宋" w:eastAsia="仿宋"/>
          <w:color w:val="000000"/>
          <w:sz w:val="32"/>
          <w:szCs w:val="32"/>
          <w:lang w:val="en-US" w:eastAsia="zh-CN"/>
        </w:rPr>
        <w:t>下达较晚</w:t>
      </w:r>
      <w:r>
        <w:rPr>
          <w:rFonts w:hint="eastAsia" w:ascii="仿宋" w:hAnsi="仿宋" w:eastAsia="仿宋"/>
          <w:color w:val="000000"/>
          <w:sz w:val="32"/>
          <w:szCs w:val="32"/>
        </w:rPr>
        <w:t>为跨年度执行项目经费，资金结转至下一年度使用</w:t>
      </w:r>
      <w:r>
        <w:rPr>
          <w:rFonts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4</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信息化建设</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207.49</w:t>
      </w:r>
      <w:r>
        <w:rPr>
          <w:rFonts w:ascii="仿宋" w:hAnsi="仿宋" w:eastAsia="仿宋"/>
          <w:color w:val="000000"/>
          <w:sz w:val="32"/>
          <w:szCs w:val="32"/>
        </w:rPr>
        <w:t>万元，完成预算</w:t>
      </w:r>
      <w:r>
        <w:rPr>
          <w:rFonts w:hint="eastAsia" w:ascii="仿宋" w:hAnsi="仿宋" w:eastAsia="仿宋"/>
          <w:color w:val="000000"/>
          <w:sz w:val="32"/>
          <w:szCs w:val="32"/>
        </w:rPr>
        <w:t>95.09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，决算数小于预算数的主要原因是部门政府采购项目经费为跨年度执行项目经费，资金结转至下一年度使用。</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5.公共安全支出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执法办案</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997</w:t>
      </w:r>
      <w:r>
        <w:rPr>
          <w:rFonts w:ascii="仿宋" w:hAnsi="仿宋" w:eastAsia="仿宋"/>
          <w:color w:val="000000"/>
          <w:sz w:val="32"/>
          <w:szCs w:val="32"/>
        </w:rPr>
        <w:t>万元，完成预算</w:t>
      </w:r>
      <w:r>
        <w:rPr>
          <w:rFonts w:hint="eastAsia" w:ascii="仿宋" w:hAnsi="仿宋" w:eastAsia="仿宋"/>
          <w:color w:val="000000"/>
          <w:sz w:val="32"/>
          <w:szCs w:val="32"/>
        </w:rPr>
        <w:t>80.02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，决算数小于预算数的主要原因是部门政府采购项目经费，资金结转至下一年度使用</w:t>
      </w:r>
      <w:r>
        <w:rPr>
          <w:rFonts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6</w:t>
      </w:r>
      <w:r>
        <w:rPr>
          <w:rFonts w:ascii="仿宋" w:hAnsi="仿宋" w:eastAsia="仿宋"/>
          <w:b/>
          <w:bCs/>
          <w:color w:val="000000"/>
          <w:sz w:val="32"/>
          <w:szCs w:val="32"/>
        </w:rPr>
        <w:t>.</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特别业务</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1292.23</w:t>
      </w:r>
      <w:r>
        <w:rPr>
          <w:rFonts w:ascii="仿宋" w:hAnsi="仿宋" w:eastAsia="仿宋"/>
          <w:color w:val="000000"/>
          <w:sz w:val="32"/>
          <w:szCs w:val="32"/>
        </w:rPr>
        <w:t>万元，完成预算</w:t>
      </w:r>
      <w:r>
        <w:rPr>
          <w:rFonts w:hint="eastAsia" w:ascii="仿宋" w:hAnsi="仿宋" w:eastAsia="仿宋"/>
          <w:color w:val="000000"/>
          <w:sz w:val="32"/>
          <w:szCs w:val="32"/>
        </w:rPr>
        <w:t>80.32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，决算数小于预算数的主要原因是特别办案业务经费为跨年度执行项目经费，资金结转至下一年度使用</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7.公共安全支出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其他公安支出</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1938.46</w:t>
      </w:r>
      <w:r>
        <w:rPr>
          <w:rFonts w:ascii="仿宋" w:hAnsi="仿宋" w:eastAsia="仿宋"/>
          <w:color w:val="000000"/>
          <w:sz w:val="32"/>
          <w:szCs w:val="32"/>
        </w:rPr>
        <w:t>万元，完成预算</w:t>
      </w:r>
      <w:r>
        <w:rPr>
          <w:rFonts w:hint="eastAsia" w:ascii="仿宋" w:hAnsi="仿宋" w:eastAsia="仿宋"/>
          <w:color w:val="000000"/>
          <w:sz w:val="32"/>
          <w:szCs w:val="32"/>
        </w:rPr>
        <w:t>99.67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，决算数小于预算数的主要原因是辅警服务经费按合同约定未支付完，结转至下一年度执行。</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8.公共安全支出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59.24</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9.公共安全支出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98.15</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10.公共安全支出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强制隔离戒毒人员生活</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99.84</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11.公共安全支出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其他强制隔离戒毒支出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rPr>
        <w:t>19</w:t>
      </w:r>
      <w:r>
        <w:rPr>
          <w:rFonts w:ascii="仿宋" w:hAnsi="仿宋" w:eastAsia="仿宋"/>
          <w:color w:val="000000"/>
          <w:sz w:val="32"/>
          <w:szCs w:val="32"/>
        </w:rPr>
        <w:t>年决算数为</w:t>
      </w:r>
      <w:r>
        <w:rPr>
          <w:rFonts w:hint="eastAsia" w:ascii="仿宋" w:hAnsi="仿宋" w:eastAsia="仿宋"/>
          <w:color w:val="000000"/>
          <w:sz w:val="32"/>
          <w:szCs w:val="32"/>
        </w:rPr>
        <w:t>11.5</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12.社会保障和就业支出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行政事业单位离退休</w:t>
      </w:r>
      <w:r>
        <w:rPr>
          <w:rFonts w:ascii="仿宋" w:hAnsi="仿宋" w:eastAsia="仿宋"/>
          <w:b/>
          <w:bCs/>
          <w:color w:val="000000"/>
          <w:sz w:val="32"/>
          <w:szCs w:val="32"/>
        </w:rPr>
        <w:t>（款）</w:t>
      </w:r>
      <w:r>
        <w:rPr>
          <w:rFonts w:hint="eastAsia" w:ascii="仿宋" w:hAnsi="仿宋" w:eastAsia="仿宋"/>
          <w:b/>
          <w:bCs/>
          <w:color w:val="000000"/>
          <w:sz w:val="32"/>
          <w:szCs w:val="32"/>
        </w:rPr>
        <w:t>未归口管理的行政单位离退休</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75.89</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13.社会保障和就业支出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行政事业单位离退休</w:t>
      </w:r>
      <w:r>
        <w:rPr>
          <w:rFonts w:ascii="仿宋" w:hAnsi="仿宋" w:eastAsia="仿宋"/>
          <w:b/>
          <w:bCs/>
          <w:color w:val="000000"/>
          <w:sz w:val="32"/>
          <w:szCs w:val="32"/>
        </w:rPr>
        <w:t>（款）</w:t>
      </w:r>
      <w:r>
        <w:rPr>
          <w:rFonts w:hint="eastAsia" w:ascii="仿宋" w:hAnsi="仿宋" w:eastAsia="仿宋"/>
          <w:b/>
          <w:bCs/>
          <w:color w:val="000000"/>
          <w:sz w:val="32"/>
          <w:szCs w:val="32"/>
        </w:rPr>
        <w:t>机关事业单位基本养老保险缴费支出</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737.25</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14.社会保障和就业支出（类）抚恤（款）死亡抚恤</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164.62</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15.卫生健康支出</w:t>
      </w:r>
      <w:r>
        <w:rPr>
          <w:rFonts w:ascii="仿宋" w:hAnsi="仿宋" w:eastAsia="仿宋"/>
          <w:b/>
          <w:bCs/>
          <w:color w:val="000000"/>
          <w:sz w:val="32"/>
          <w:szCs w:val="32"/>
        </w:rPr>
        <w:t>（类）</w:t>
      </w:r>
      <w:r>
        <w:rPr>
          <w:rFonts w:hint="eastAsia" w:ascii="仿宋" w:hAnsi="仿宋" w:eastAsia="仿宋"/>
          <w:b/>
          <w:bCs/>
          <w:color w:val="000000"/>
          <w:sz w:val="32"/>
          <w:szCs w:val="32"/>
        </w:rPr>
        <w:t>公共卫生</w:t>
      </w:r>
      <w:r>
        <w:rPr>
          <w:rFonts w:ascii="仿宋" w:hAnsi="仿宋" w:eastAsia="仿宋"/>
          <w:b/>
          <w:bCs/>
          <w:color w:val="000000"/>
          <w:sz w:val="32"/>
          <w:szCs w:val="32"/>
        </w:rPr>
        <w:t>（款）</w:t>
      </w:r>
      <w:r>
        <w:rPr>
          <w:rFonts w:hint="eastAsia" w:ascii="仿宋" w:hAnsi="仿宋" w:eastAsia="仿宋"/>
          <w:b/>
          <w:bCs/>
          <w:color w:val="000000"/>
          <w:sz w:val="32"/>
          <w:szCs w:val="32"/>
        </w:rPr>
        <w:t>其他公共卫生支出</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5.00</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16. 卫生健康支出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行政事业单位医疗</w:t>
      </w:r>
      <w:r>
        <w:rPr>
          <w:rFonts w:ascii="仿宋" w:hAnsi="仿宋" w:eastAsia="仿宋"/>
          <w:b/>
          <w:bCs/>
          <w:color w:val="000000"/>
          <w:sz w:val="32"/>
          <w:szCs w:val="32"/>
        </w:rPr>
        <w:t>（款）</w:t>
      </w:r>
      <w:r>
        <w:rPr>
          <w:rFonts w:hint="eastAsia" w:ascii="仿宋" w:hAnsi="仿宋" w:eastAsia="仿宋"/>
          <w:b/>
          <w:bCs/>
          <w:color w:val="000000"/>
          <w:sz w:val="32"/>
          <w:szCs w:val="32"/>
        </w:rPr>
        <w:t>行政单位医疗</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543.38</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17. 卫生健康支出</w:t>
      </w:r>
      <w:r>
        <w:rPr>
          <w:rFonts w:ascii="仿宋" w:hAnsi="仿宋" w:eastAsia="仿宋"/>
          <w:b/>
          <w:bCs/>
          <w:color w:val="000000"/>
          <w:sz w:val="32"/>
          <w:szCs w:val="32"/>
        </w:rPr>
        <w:t>（类）</w:t>
      </w:r>
      <w:r>
        <w:rPr>
          <w:rFonts w:hint="eastAsia" w:ascii="仿宋" w:hAnsi="仿宋" w:eastAsia="仿宋"/>
          <w:b/>
          <w:bCs/>
          <w:color w:val="000000"/>
          <w:sz w:val="32"/>
          <w:szCs w:val="32"/>
        </w:rPr>
        <w:t>医疗救助</w:t>
      </w:r>
      <w:r>
        <w:rPr>
          <w:rFonts w:ascii="仿宋" w:hAnsi="仿宋" w:eastAsia="仿宋"/>
          <w:b/>
          <w:bCs/>
          <w:color w:val="000000"/>
          <w:sz w:val="32"/>
          <w:szCs w:val="32"/>
        </w:rPr>
        <w:t>（款）</w:t>
      </w:r>
      <w:r>
        <w:rPr>
          <w:rFonts w:hint="eastAsia" w:ascii="仿宋" w:hAnsi="仿宋" w:eastAsia="仿宋"/>
          <w:b/>
          <w:bCs/>
          <w:color w:val="000000"/>
          <w:sz w:val="32"/>
          <w:szCs w:val="32"/>
        </w:rPr>
        <w:t>其他医疗救助支出</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4.1</w:t>
      </w:r>
      <w:r>
        <w:rPr>
          <w:rFonts w:ascii="仿宋" w:hAnsi="仿宋" w:eastAsia="仿宋"/>
          <w:color w:val="000000"/>
          <w:sz w:val="32"/>
          <w:szCs w:val="32"/>
        </w:rPr>
        <w:t>万元，完成预算</w:t>
      </w:r>
      <w:r>
        <w:rPr>
          <w:rFonts w:hint="eastAsia" w:ascii="仿宋" w:hAnsi="仿宋" w:eastAsia="仿宋"/>
          <w:color w:val="000000"/>
          <w:sz w:val="32"/>
          <w:szCs w:val="32"/>
        </w:rPr>
        <w:t>79.92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，决算数小于预算数的主要原因是职工大病医疗补助经费下达时间过晚</w:t>
      </w:r>
      <w:r>
        <w:rPr>
          <w:rFonts w:ascii="仿宋" w:hAnsi="仿宋" w:eastAsia="仿宋"/>
          <w:color w:val="000000"/>
          <w:sz w:val="32"/>
          <w:szCs w:val="32"/>
        </w:rPr>
        <w:t>。</w:t>
      </w:r>
    </w:p>
    <w:p>
      <w:pPr>
        <w:spacing w:line="600" w:lineRule="exact"/>
        <w:ind w:firstLine="643" w:firstLineChars="200"/>
        <w:rPr>
          <w:rStyle w:val="15"/>
          <w:rFonts w:ascii="仿宋" w:hAnsi="仿宋" w:eastAsia="仿宋"/>
          <w:bCs/>
          <w:color w:val="000000"/>
          <w:sz w:val="32"/>
          <w:szCs w:val="32"/>
        </w:rPr>
      </w:pPr>
      <w:r>
        <w:rPr>
          <w:rFonts w:hint="eastAsia" w:ascii="仿宋" w:hAnsi="仿宋" w:eastAsia="仿宋"/>
          <w:b/>
          <w:bCs/>
          <w:color w:val="000000"/>
          <w:sz w:val="32"/>
          <w:szCs w:val="32"/>
        </w:rPr>
        <w:t>18.住房保障支出</w:t>
      </w:r>
      <w:r>
        <w:rPr>
          <w:rFonts w:ascii="仿宋" w:hAnsi="仿宋" w:eastAsia="仿宋"/>
          <w:b/>
          <w:bCs/>
          <w:color w:val="000000"/>
          <w:sz w:val="32"/>
          <w:szCs w:val="32"/>
        </w:rPr>
        <w:t>（类）</w:t>
      </w:r>
      <w:r>
        <w:rPr>
          <w:rFonts w:hint="eastAsia" w:ascii="仿宋" w:hAnsi="仿宋" w:eastAsia="仿宋"/>
          <w:b/>
          <w:bCs/>
          <w:color w:val="000000"/>
          <w:sz w:val="32"/>
          <w:szCs w:val="32"/>
        </w:rPr>
        <w:t>住房改革支出</w:t>
      </w:r>
      <w:r>
        <w:rPr>
          <w:rFonts w:ascii="仿宋" w:hAnsi="仿宋" w:eastAsia="仿宋"/>
          <w:b/>
          <w:bCs/>
          <w:color w:val="000000"/>
          <w:sz w:val="32"/>
          <w:szCs w:val="32"/>
        </w:rPr>
        <w:t>（款）</w:t>
      </w:r>
      <w:r>
        <w:rPr>
          <w:rFonts w:hint="eastAsia" w:ascii="仿宋" w:hAnsi="仿宋" w:eastAsia="仿宋"/>
          <w:b/>
          <w:bCs/>
          <w:color w:val="000000"/>
          <w:sz w:val="32"/>
          <w:szCs w:val="32"/>
        </w:rPr>
        <w:t>住房公积金</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1167.13</w:t>
      </w:r>
      <w:r>
        <w:rPr>
          <w:rFonts w:ascii="仿宋" w:hAnsi="仿宋" w:eastAsia="仿宋"/>
          <w:color w:val="000000"/>
          <w:sz w:val="32"/>
          <w:szCs w:val="32"/>
        </w:rPr>
        <w:t>万元，完成预算100%。</w:t>
      </w:r>
    </w:p>
    <w:p>
      <w:pPr>
        <w:spacing w:line="600"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19.其他支出</w:t>
      </w:r>
      <w:r>
        <w:rPr>
          <w:rFonts w:ascii="仿宋" w:hAnsi="仿宋" w:eastAsia="仿宋"/>
          <w:b/>
          <w:bCs/>
          <w:color w:val="000000"/>
          <w:sz w:val="32"/>
          <w:szCs w:val="32"/>
        </w:rPr>
        <w:t>（类）</w:t>
      </w:r>
      <w:r>
        <w:rPr>
          <w:rFonts w:hint="eastAsia" w:ascii="仿宋" w:hAnsi="仿宋" w:eastAsia="仿宋"/>
          <w:b/>
          <w:bCs/>
          <w:color w:val="000000"/>
          <w:sz w:val="32"/>
          <w:szCs w:val="32"/>
        </w:rPr>
        <w:t>其他支出</w:t>
      </w:r>
      <w:r>
        <w:rPr>
          <w:rFonts w:ascii="仿宋" w:hAnsi="仿宋" w:eastAsia="仿宋"/>
          <w:b/>
          <w:bCs/>
          <w:color w:val="000000"/>
          <w:sz w:val="32"/>
          <w:szCs w:val="32"/>
        </w:rPr>
        <w:t>（款）</w:t>
      </w:r>
      <w:r>
        <w:rPr>
          <w:rFonts w:hint="eastAsia" w:ascii="仿宋" w:hAnsi="仿宋" w:eastAsia="仿宋"/>
          <w:b/>
          <w:bCs/>
          <w:color w:val="000000"/>
          <w:sz w:val="32"/>
          <w:szCs w:val="32"/>
        </w:rPr>
        <w:t>其他支出</w:t>
      </w:r>
      <w:r>
        <w:rPr>
          <w:rFonts w:ascii="仿宋" w:hAnsi="仿宋" w:eastAsia="仿宋"/>
          <w:b/>
          <w:bCs/>
          <w:color w:val="000000"/>
          <w:sz w:val="32"/>
          <w:szCs w:val="32"/>
        </w:rPr>
        <w:t>（项）:</w:t>
      </w:r>
      <w:r>
        <w:rPr>
          <w:rFonts w:ascii="仿宋" w:hAnsi="仿宋" w:eastAsia="仿宋"/>
          <w:color w:val="000000"/>
          <w:sz w:val="32"/>
          <w:szCs w:val="32"/>
        </w:rPr>
        <w:t>201</w:t>
      </w:r>
      <w:r>
        <w:rPr>
          <w:rFonts w:hint="eastAsia" w:ascii="仿宋" w:hAnsi="仿宋" w:eastAsia="仿宋"/>
          <w:color w:val="000000"/>
          <w:sz w:val="32"/>
          <w:szCs w:val="32"/>
        </w:rPr>
        <w:t>9</w:t>
      </w:r>
      <w:r>
        <w:rPr>
          <w:rFonts w:ascii="仿宋" w:hAnsi="仿宋" w:eastAsia="仿宋"/>
          <w:color w:val="000000"/>
          <w:sz w:val="32"/>
          <w:szCs w:val="32"/>
        </w:rPr>
        <w:t>年决算数为</w:t>
      </w:r>
      <w:r>
        <w:rPr>
          <w:rFonts w:hint="eastAsia" w:ascii="仿宋" w:hAnsi="仿宋" w:eastAsia="仿宋"/>
          <w:color w:val="000000"/>
          <w:sz w:val="32"/>
          <w:szCs w:val="32"/>
        </w:rPr>
        <w:t>0.5</w:t>
      </w:r>
      <w:r>
        <w:rPr>
          <w:rFonts w:ascii="仿宋" w:hAnsi="仿宋" w:eastAsia="仿宋"/>
          <w:color w:val="000000"/>
          <w:sz w:val="32"/>
          <w:szCs w:val="32"/>
        </w:rPr>
        <w:t>万元，完成预算</w:t>
      </w:r>
      <w:r>
        <w:rPr>
          <w:rFonts w:hint="eastAsia" w:ascii="仿宋" w:hAnsi="仿宋" w:eastAsia="仿宋"/>
          <w:color w:val="000000"/>
          <w:sz w:val="32"/>
          <w:szCs w:val="32"/>
        </w:rPr>
        <w:t>50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，决算数小于预算数的主要原因是援彝民警工作经费下达时间过晚</w:t>
      </w:r>
      <w:r>
        <w:rPr>
          <w:rFonts w:ascii="仿宋" w:hAnsi="仿宋" w:eastAsia="仿宋"/>
          <w:color w:val="000000"/>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9年一般公共预算财政拨款基本支出16566.15万元，其中：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13699.92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2866.23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9年“三公”经费财政拨款支出决算为412.83万元，完成预算100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；公务用车购置及运行维护费支出决算409.31万元，占99.15</w:t>
      </w:r>
      <w:r>
        <w:rPr>
          <w:rFonts w:ascii="仿宋" w:hAnsi="仿宋" w:eastAsia="仿宋"/>
          <w:color w:val="000000"/>
          <w:sz w:val="32"/>
          <w:szCs w:val="32"/>
        </w:rPr>
        <w:t>%</w:t>
      </w:r>
      <w:r>
        <w:rPr>
          <w:rFonts w:hint="eastAsia" w:ascii="仿宋" w:hAnsi="仿宋" w:eastAsia="仿宋"/>
          <w:color w:val="000000"/>
          <w:sz w:val="32"/>
          <w:szCs w:val="32"/>
        </w:rPr>
        <w:t>；公务接待费支出决算3.52万元，占0.85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571500</wp:posOffset>
            </wp:positionH>
            <wp:positionV relativeFrom="paragraph">
              <wp:align>top</wp:align>
            </wp:positionV>
            <wp:extent cx="4572000" cy="2743200"/>
            <wp:effectExtent l="19050" t="0" r="1905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000000"/>
          <w:sz w:val="32"/>
          <w:szCs w:val="32"/>
        </w:rPr>
        <w:br w:type="textWrapping" w:clear="all"/>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409.31万元,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8年减少104.7万元，下降25.58</w:t>
      </w:r>
      <w:r>
        <w:rPr>
          <w:rFonts w:ascii="仿宋_GB2312" w:eastAsia="仿宋_GB2312"/>
          <w:color w:val="000000"/>
          <w:sz w:val="32"/>
          <w:szCs w:val="32"/>
        </w:rPr>
        <w:t>%</w:t>
      </w:r>
      <w:r>
        <w:rPr>
          <w:rFonts w:hint="eastAsia" w:ascii="仿宋_GB2312" w:eastAsia="仿宋_GB2312"/>
          <w:color w:val="000000"/>
          <w:sz w:val="32"/>
          <w:szCs w:val="32"/>
        </w:rPr>
        <w:t>。主要原因一是严格执行车辆使用审批手续，车辆管理更加规范高效，二是将部分用于侦查办案的公务用车运行维护费在中省转移支付办案业务经费中列支。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19.53万元。全年按规定更新购置公务用车1辆，金额19.53</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月底，单位共有公务用车131辆，其中：应急保障用车1辆、一般执法执勤用车115辆、特种专业技术用车15辆。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464.51</w:t>
      </w:r>
      <w:r>
        <w:rPr>
          <w:rFonts w:hint="eastAsia" w:ascii="仿宋_GB2312" w:eastAsia="仿宋_GB2312"/>
          <w:color w:val="000000"/>
          <w:sz w:val="32"/>
          <w:szCs w:val="32"/>
        </w:rPr>
        <w:t>万元。主要用于公安业务侦查、案件办理、应急处突、巡逻防控等所需的公务用车燃料费、维修费、过路过桥费、保险费等支出。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3.52万元，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8年减少1.25万元，下降35.51</w:t>
      </w:r>
      <w:r>
        <w:rPr>
          <w:rFonts w:ascii="仿宋_GB2312" w:eastAsia="仿宋_GB2312"/>
          <w:color w:val="000000"/>
          <w:sz w:val="32"/>
          <w:szCs w:val="32"/>
        </w:rPr>
        <w:t>%</w:t>
      </w:r>
      <w:r>
        <w:rPr>
          <w:rFonts w:hint="eastAsia" w:ascii="仿宋_GB2312" w:eastAsia="仿宋_GB2312"/>
          <w:color w:val="000000"/>
          <w:sz w:val="32"/>
          <w:szCs w:val="32"/>
        </w:rPr>
        <w:t>。主要原因一是根据《遂宁市公安局公务接待管理办法》落实中央八项规定精神和厉行节约要求，对公务接待进行了严格审批，对不符合公务接待标准的开支项目不予以报销。二是推行食堂就餐，除重要的公务事项，一般公务接待都在食堂以工作自助餐解决。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3.52</w:t>
      </w:r>
      <w:r>
        <w:rPr>
          <w:rFonts w:hint="eastAsia" w:ascii="仿宋_GB2312" w:eastAsia="仿宋_GB2312"/>
          <w:color w:val="000000"/>
          <w:sz w:val="32"/>
          <w:szCs w:val="32"/>
        </w:rPr>
        <w:t>万元，主要用于执行公务、开展业务活动开支的交通费、住宿费、用餐费等。国内公务接待39批次，422人次（不包括陪同人员），共计支出3.52万元，具体内容包括：接待省公安厅督察调研846元、、接待省公安厅调研组调研800元、接待泸州市公安局考察学习1070元、接待外地禁毒部门办案10053元。</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4"/>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 xml:space="preserve">    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9年，遂宁市公安局机关运行经费支出2866.22万元，比</w:t>
      </w:r>
      <w:r>
        <w:rPr>
          <w:rFonts w:ascii="仿宋_GB2312" w:eastAsia="仿宋_GB2312"/>
          <w:color w:val="000000"/>
          <w:sz w:val="32"/>
          <w:szCs w:val="32"/>
        </w:rPr>
        <w:t>201</w:t>
      </w:r>
      <w:r>
        <w:rPr>
          <w:rFonts w:hint="eastAsia" w:ascii="仿宋_GB2312" w:eastAsia="仿宋_GB2312"/>
          <w:color w:val="000000"/>
          <w:sz w:val="32"/>
          <w:szCs w:val="32"/>
        </w:rPr>
        <w:t>8年增加89.73万元，增长3.13%。</w:t>
      </w:r>
      <w:r>
        <w:rPr>
          <w:rFonts w:hint="eastAsia" w:ascii="仿宋_GB2312" w:eastAsia="仿宋_GB2312"/>
          <w:color w:val="000000" w:themeColor="text1"/>
          <w:sz w:val="32"/>
          <w:szCs w:val="32"/>
        </w:rPr>
        <w:t>主要原因是</w:t>
      </w:r>
      <w:r>
        <w:rPr>
          <w:rFonts w:hint="eastAsia" w:ascii="仿宋_GB2312" w:eastAsia="仿宋_GB2312"/>
          <w:color w:val="000000"/>
          <w:sz w:val="32"/>
          <w:szCs w:val="32"/>
        </w:rPr>
        <w:t>人员增加,用于机关运行的各项费用增加。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9年，遂宁市公安局政府采购支出总额</w:t>
      </w:r>
      <w:r>
        <w:rPr>
          <w:rFonts w:ascii="仿宋_GB2312" w:eastAsia="仿宋_GB2312"/>
          <w:color w:val="000000"/>
          <w:sz w:val="32"/>
          <w:szCs w:val="32"/>
        </w:rPr>
        <w:t>23228098.97</w:t>
      </w:r>
      <w:r>
        <w:rPr>
          <w:rFonts w:hint="eastAsia" w:ascii="仿宋_GB2312" w:eastAsia="仿宋_GB2312"/>
          <w:color w:val="000000"/>
          <w:sz w:val="32"/>
          <w:szCs w:val="32"/>
        </w:rPr>
        <w:t>万元，其中：政府采购货物支出</w:t>
      </w:r>
      <w:r>
        <w:rPr>
          <w:rFonts w:ascii="仿宋_GB2312" w:eastAsia="仿宋_GB2312"/>
          <w:color w:val="000000"/>
          <w:sz w:val="32"/>
          <w:szCs w:val="32"/>
        </w:rPr>
        <w:t>12140954.54</w:t>
      </w:r>
      <w:r>
        <w:rPr>
          <w:rFonts w:hint="eastAsia" w:ascii="仿宋_GB2312" w:eastAsia="仿宋_GB2312"/>
          <w:color w:val="000000"/>
          <w:sz w:val="32"/>
          <w:szCs w:val="32"/>
        </w:rPr>
        <w:t>万元、政府采购工程支出0万元、政府采购服务支出</w:t>
      </w:r>
      <w:r>
        <w:rPr>
          <w:rFonts w:ascii="仿宋_GB2312" w:eastAsia="仿宋_GB2312"/>
          <w:color w:val="000000"/>
          <w:sz w:val="32"/>
          <w:szCs w:val="32"/>
        </w:rPr>
        <w:t>11087144.43</w:t>
      </w:r>
      <w:r>
        <w:rPr>
          <w:rFonts w:hint="eastAsia" w:ascii="仿宋_GB2312" w:eastAsia="仿宋_GB2312"/>
          <w:color w:val="000000"/>
          <w:sz w:val="32"/>
          <w:szCs w:val="32"/>
        </w:rPr>
        <w:t>万元。主要用于天网工程租赁、高清治安卡口租赁、购买辅警服务。授予中小企业合同金额</w:t>
      </w:r>
      <w:r>
        <w:rPr>
          <w:rFonts w:ascii="仿宋_GB2312" w:eastAsia="仿宋_GB2312"/>
          <w:color w:val="000000"/>
          <w:sz w:val="32"/>
          <w:szCs w:val="32"/>
        </w:rPr>
        <w:t>8289725</w:t>
      </w:r>
      <w:r>
        <w:rPr>
          <w:rFonts w:hint="eastAsia" w:ascii="仿宋_GB2312" w:eastAsia="仿宋_GB2312"/>
          <w:color w:val="000000"/>
          <w:sz w:val="32"/>
          <w:szCs w:val="32"/>
        </w:rPr>
        <w:t>万元，占政府采购支出总额的35.69</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ascii="仿宋_GB2312" w:eastAsia="仿宋_GB2312"/>
          <w:color w:val="000000"/>
          <w:sz w:val="32"/>
          <w:szCs w:val="32"/>
        </w:rPr>
        <w:t>8289725</w:t>
      </w:r>
      <w:r>
        <w:rPr>
          <w:rFonts w:hint="eastAsia" w:ascii="仿宋_GB2312" w:eastAsia="仿宋_GB2312"/>
          <w:color w:val="000000"/>
          <w:sz w:val="32"/>
          <w:szCs w:val="32"/>
        </w:rPr>
        <w:t>万元，占政府采购支出总额的35.69</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日，遂宁市公安局共有车辆131辆，其中：应急保障用车1辆、一般执法执勤用车115辆、特种专业技术用车15辆。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万元以上通用设备19台（套），单价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万元以上专用设备18台（套）。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59个项目开展了预算事前绩效评估，对20个项目编制了绩效目标，预算执行过程中，选取20个项目开展绩效监控，年终执行完毕后，对59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部门整体支出开展绩效自评，从评价情况来看遂宁市公安局绩效评价结果良好，绩效管理水平不断提高，取得了显著成效：一是强化对敌反恐，全力确保政治安全。二是强化风险防控，竭力维护社会稳定。三是强化打击整治，聚力建设平安遂宁，始终坚持打防结合、整体防控，筑牢社会治安和公共安全“铜墙铁壁”，持续巩固“长安杯”创建成果。四是强化基层基础，合力植牢发展根基。五是强化改革创新，大力提升警务效能，始终坚持创新驱动，综合施策，强化改革项目攻坚，着力实现公安工作质量变革、效率变革和动力变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本部门还自行组织了30个项目绩效评价，从评价情况来看大部分项目编制科学合理，整体支出效益明显，强化了实战支撑能力，对全市公安业务工作发挥了积极的作用。</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9年度部门决算中反映“电子警察一期建设”“电子警察二期建设”“交通治安卡口专项经费”等5个项目绩效目标实际完成情况。</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“电子警察一期建设”项目绩效目标完成情况综述。项目全年预算数131.57万元，执行数为117.84万元，完成预算的89.56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。通过项目实施保障了城区道路交通有序、畅通，促进了交通参与者的交通安全意识，改善了交通出行安全质量，提高了我市智慧交通的管理能力。</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“电子警察二期建设”项目绩效目标完成情况综述。项目全年预算数428万元，执行数为426万元，完成预算的99.53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。通过项目实施，保障了城区道路交通有序、畅通，促进了交通参与者的交通安全意识，改善了交通出行安全质量，提高了我市智慧交通的管理能力。</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“车管成本费”项目绩效目标完成情况综述。项目全年预算数135.44万元，执行数为135.37万元，完成预算的99.95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。通过项目实施，保障了车管所各项车、驾管业务正常运行。</w:t>
      </w:r>
    </w:p>
    <w:p>
      <w:pPr>
        <w:numPr>
          <w:ilvl w:val="0"/>
          <w:numId w:val="6"/>
        </w:num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交通治安卡口专项经费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项目绩效目标完成情况综述。项目全年预算数140万元，执行数为140万元，完成预算的100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。通过项目实施，保障了全市治安卡口运行稳定，提高了社会治安防控管理水平。</w:t>
      </w:r>
    </w:p>
    <w:p>
      <w:pPr>
        <w:numPr>
          <w:ilvl w:val="0"/>
          <w:numId w:val="6"/>
        </w:numPr>
        <w:spacing w:line="580" w:lineRule="exact"/>
        <w:ind w:firstLine="640"/>
        <w:rPr>
          <w:rFonts w:ascii="仿宋_GB2312" w:hAnsi="仿宋_GB2312" w:eastAsia="仿宋_GB2312" w:cs="仿宋_GB2312"/>
          <w:b/>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警务辅助人员专项经费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项目绩效目标完成情况综述。项目全年预算数1072.5万元，执行数为897.48万元，完成预算的83.68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。通过项目实施，保障了遂宁市公安局本级205名警务辅助人员的工资福利发放及服装装备购置，增强了公安队伍力量建设，提高了路面见警率，提升了群众安全感。</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电子警察一期建设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330305－交警支队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131．57万元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执行数</w:t>
            </w:r>
            <w:r>
              <w:rPr>
                <w:rFonts w:asci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117.84万元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131．57万元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b/>
                <w:color w:val="000000"/>
                <w:sz w:val="24"/>
              </w:rPr>
            </w:pPr>
            <w:r>
              <w:rPr>
                <w:rFonts w:hint="eastAsia" w:ascii="宋体" w:cs="宋体"/>
                <w:color w:val="000000"/>
                <w:sz w:val="24"/>
              </w:rPr>
              <w:t>117.84万元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按合同结算建设款，保障一期电子警察运维正常</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已按合同结算支付建设款</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次</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开展检查专项工作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开展实地调研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财政评审合格率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财政申报合格率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交通安全影响率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电子警察二期建设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330305－交警支队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426万元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426万元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按合同结算建设款，保障电子警察二期运维正常</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已按合同结算支付建设款</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次</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开展检查专项工作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开展实地调研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财政评审合格率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财政申报合格率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交通安全影响率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015" w:leftChars="1310" w:hanging="1264" w:hangingChars="395"/>
              <w:textAlignment w:val="center"/>
              <w:rPr>
                <w:rFonts w:ascii="仿宋_GB2312" w:hAnsi="仿宋_GB2312" w:eastAsia="仿宋_GB2312" w:cs="仿宋_GB2312"/>
                <w:sz w:val="32"/>
                <w:szCs w:val="32"/>
              </w:rPr>
            </w:pPr>
          </w:p>
          <w:p>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车管成本费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330305－交警支队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135.44万元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135.37万元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135.44万元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135.37万元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保障车管所各项车、驾管业务正常运行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保障了车管所各项车、驾管业务正常运行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完成机动车驾驶员管理业务数量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大约20万人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大约20万人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完成机动车辆管理业务数量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大约41万辆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大约41万辆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机动车定期检验率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机动车及机动车驾驶员档案管理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达到车辆管理所等级评定考核标准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达到车辆管理所等级评定考核标准</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95%以上</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交通治安卡口专项经费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6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根据合同约定，每月对全市治安各卡口设备运行情况进行检查，根据设备运行情况进行费用支付。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保障了全市治安卡口正常运行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车道监控数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卡口在线率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不低于90%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租赁费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1194.78元/月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1194.78元/月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对治安防控的促进作用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增加监控覆盖率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增加监控覆盖率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持续年限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项目效果满意率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警务辅助人员专项经费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1072.5万元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897.48万元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1072.5万元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897.48万元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保障遂宁市公安局本级205名警务辅助人员的工资福利发放及服装装备购置，增强公安队伍力量建设，提高路面见警率，提升群众安全感。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保障遂宁市公安局本级205名警务辅助人员的工资福利发放及服装装备购置，增强公安队伍力量建设，提高路面见警率，提升群众安全感</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招录人数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205人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入职条件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 xml:space="preserve">严格按照《市政府办公室关于规范公安机关警务辅助人员管理工作的实施意见》  </w:t>
            </w:r>
            <w:r>
              <w:rPr>
                <w:rFonts w:hint="eastAsia" w:asci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严格按照《市政府办公室关于规范公安机关警务辅助人员管理工作的实施意见》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工资福利及社保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5万元/人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5万元/人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服装被装费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0.5万元/人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0.5万元/人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建设一支应急处突力量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提高公安警用力量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提高见警率、提升群众安全感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提高见警率、提升群众安全感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增强公安机关实战能力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w:t>
            </w:r>
          </w:p>
        </w:tc>
      </w:tr>
    </w:tbl>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本部门按要求对2019年部门整体支出绩效评价情况开展自评，《遂宁市公安局2019年部门整体支出绩效评价报告》见附件（附件1）。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hAnsi="仿宋" w:cs="Times New Roman"/>
          <w:sz w:val="32"/>
          <w:szCs w:val="32"/>
        </w:rPr>
      </w:pPr>
      <w:bookmarkStart w:id="57" w:name="_Toc15377226"/>
      <w:r>
        <w:rPr>
          <w:rFonts w:hAnsi="仿宋" w:cs="Times New Roman"/>
          <w:sz w:val="32"/>
          <w:szCs w:val="32"/>
        </w:rPr>
        <w:t>1.财政拨款收入：指单位从同级财政部门取得的财政预算资金。</w:t>
      </w:r>
    </w:p>
    <w:p>
      <w:pPr>
        <w:pStyle w:val="23"/>
        <w:spacing w:line="560" w:lineRule="exact"/>
        <w:ind w:firstLine="640" w:firstLineChars="200"/>
        <w:rPr>
          <w:rFonts w:hAnsi="仿宋" w:cs="Times New Roman"/>
          <w:sz w:val="32"/>
          <w:szCs w:val="32"/>
        </w:rPr>
      </w:pPr>
      <w:r>
        <w:rPr>
          <w:rFonts w:hint="eastAsia" w:hAnsi="仿宋" w:cs="Times New Roman"/>
          <w:sz w:val="32"/>
          <w:szCs w:val="32"/>
        </w:rPr>
        <w:t>2</w:t>
      </w:r>
      <w:r>
        <w:rPr>
          <w:rFonts w:hAnsi="仿宋" w:cs="Times New Roman"/>
          <w:sz w:val="32"/>
          <w:szCs w:val="32"/>
        </w:rPr>
        <w:t>.其他收入：指单位取得的除上述收入以外的各项收入。主要是</w:t>
      </w:r>
      <w:r>
        <w:rPr>
          <w:rFonts w:hint="eastAsia" w:hAnsi="仿宋" w:cs="Times New Roman"/>
          <w:sz w:val="32"/>
          <w:szCs w:val="32"/>
        </w:rPr>
        <w:t>省厅专项经费拨款、存量资金</w:t>
      </w:r>
      <w:r>
        <w:rPr>
          <w:rFonts w:hAnsi="仿宋" w:cs="Times New Roman"/>
          <w:sz w:val="32"/>
          <w:szCs w:val="32"/>
        </w:rPr>
        <w:t xml:space="preserve">等。 </w:t>
      </w:r>
    </w:p>
    <w:p>
      <w:pPr>
        <w:pStyle w:val="23"/>
        <w:spacing w:line="560" w:lineRule="exact"/>
        <w:ind w:firstLine="640" w:firstLineChars="200"/>
        <w:rPr>
          <w:rFonts w:hAnsi="仿宋" w:cs="Times New Roman"/>
          <w:sz w:val="32"/>
          <w:szCs w:val="32"/>
        </w:rPr>
      </w:pPr>
      <w:r>
        <w:rPr>
          <w:rFonts w:hint="eastAsia" w:hAnsi="仿宋" w:cs="Times New Roman"/>
          <w:sz w:val="32"/>
          <w:szCs w:val="32"/>
        </w:rPr>
        <w:t>3</w:t>
      </w:r>
      <w:r>
        <w:rPr>
          <w:rFonts w:hAnsi="仿宋" w:cs="Times New Roman"/>
          <w:sz w:val="32"/>
          <w:szCs w:val="32"/>
        </w:rPr>
        <w:t xml:space="preserve">.年初结转和结余：指以前年度尚未完成、结转到本年按有关规定继续使用的资金。 </w:t>
      </w:r>
    </w:p>
    <w:p>
      <w:pPr>
        <w:pStyle w:val="23"/>
        <w:spacing w:line="560" w:lineRule="exact"/>
        <w:ind w:firstLine="640" w:firstLineChars="200"/>
        <w:rPr>
          <w:rFonts w:hAnsi="仿宋" w:cs="Times New Roman"/>
          <w:sz w:val="32"/>
          <w:szCs w:val="32"/>
        </w:rPr>
      </w:pPr>
      <w:r>
        <w:rPr>
          <w:rFonts w:hint="eastAsia" w:hAnsi="仿宋" w:cs="Times New Roman"/>
          <w:sz w:val="32"/>
          <w:szCs w:val="32"/>
        </w:rPr>
        <w:t xml:space="preserve">4. </w:t>
      </w:r>
      <w:r>
        <w:rPr>
          <w:rFonts w:hAnsi="仿宋" w:cs="Times New Roman"/>
          <w:sz w:val="32"/>
          <w:szCs w:val="32"/>
        </w:rPr>
        <w:t>年末结转和结余：指单位按有关规定结转到下年或以后年度继续使用的资金。</w:t>
      </w:r>
    </w:p>
    <w:p>
      <w:pPr>
        <w:pStyle w:val="23"/>
        <w:spacing w:line="560" w:lineRule="exact"/>
        <w:ind w:firstLine="640" w:firstLineChars="200"/>
        <w:rPr>
          <w:rFonts w:hAnsi="仿宋" w:cs="Times New Roman"/>
          <w:sz w:val="32"/>
          <w:szCs w:val="32"/>
        </w:rPr>
      </w:pPr>
      <w:r>
        <w:rPr>
          <w:rFonts w:hint="eastAsia" w:hAnsi="仿宋" w:cs="Times New Roman"/>
          <w:bCs/>
          <w:sz w:val="32"/>
          <w:szCs w:val="32"/>
        </w:rPr>
        <w:t>5.一般公共服务（类）其他一般公共服务（款）国家赔偿费用支出（项）：指用于国家赔偿方面的支出。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6. 公共安全支出（类）公安（款）行政运行（项）:指行政单位的基本支出。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7. 公共安全支出（类）公安（款）一般行政管理事务（项）:指行政单位未单独设置项级科目的其他项目支出。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8. 公共安全支出（类）公安（款）信息化建设（项）：指各级公安机关用于非涉密的信息网络建设和运行维护相关支出。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9.公共安全支出（类）公安（款）执法办案（项）:指公安机关从事行政执法、刑事司法及侦查办案等相关活动的支出。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10.公共安全支出（类）公安（款）特别业务（项）:指公安机关开展特别业务工作的相关支出。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11.公共安全支出（类）公安（款）其他公安支出（项）:指其他用于公安方面的支出。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12.公共安全支出（类）强制隔离戒毒（款）行政运行（项）: 指行政单位的基本支出。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13.公共安全支出（类）强制隔离戒毒（款）一般行政管理事务（项）: 指行政单位未单独设置项级科目的其他项目支出。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14.公共安全支出（类）强制隔离戒毒（款）强制隔离戒毒人员生活（项）:指强制隔离戒毒管理部门及强制隔离戒毒所用于强制隔离戒毒人员生活的各项开支。</w:t>
      </w:r>
    </w:p>
    <w:p>
      <w:pPr>
        <w:pStyle w:val="23"/>
        <w:spacing w:line="560" w:lineRule="exact"/>
        <w:ind w:firstLine="640" w:firstLineChars="200"/>
        <w:rPr>
          <w:rFonts w:hAnsi="仿宋" w:cs="Times New Roman"/>
          <w:sz w:val="32"/>
          <w:szCs w:val="32"/>
        </w:rPr>
      </w:pPr>
      <w:r>
        <w:rPr>
          <w:rFonts w:hint="eastAsia" w:hAnsi="仿宋" w:cs="Times New Roman"/>
          <w:sz w:val="32"/>
          <w:szCs w:val="32"/>
        </w:rPr>
        <w:t>15.公共安全支出（类）强制隔离戒毒（款）其他强制隔离戒毒支出（项）:指强制隔离戒毒管理部门及强制隔离戒毒所发生的强制隔离戒毒人员调遣费、突发事件处置费、安全保卫费等。</w:t>
      </w:r>
    </w:p>
    <w:p>
      <w:pPr>
        <w:pStyle w:val="23"/>
        <w:spacing w:line="560" w:lineRule="exact"/>
        <w:ind w:firstLine="640" w:firstLineChars="200"/>
        <w:rPr>
          <w:rFonts w:hAnsi="仿宋" w:cs="Times New Roman"/>
          <w:sz w:val="32"/>
          <w:szCs w:val="32"/>
        </w:rPr>
      </w:pPr>
      <w:r>
        <w:rPr>
          <w:rFonts w:hint="eastAsia" w:hAnsi="仿宋" w:cs="Times New Roman"/>
          <w:sz w:val="32"/>
          <w:szCs w:val="32"/>
        </w:rPr>
        <w:t>16. 社会保障和就业支出（类）行政事业单位离退休（款）未归口管理的行政单位离退休（项）:指未实行归口管理的行政单位（包括实行公务员管理的事业单位）开支的离退休支出。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17. 社会保障和就业支出（类）行政事业单位离退休（款）机关事业单位基本养老保险缴费支出（项）:指机关事业单位实施养老保险制度由单位缴纳的基本养老保险费支出。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18. 社会保障和就业支出（类）抚恤（款）死亡抚恤（项）:指按规定用于烈士和牺牲、病故人员家属的一次性和定期抚恤金以及丧葬补助费。</w:t>
      </w:r>
    </w:p>
    <w:p>
      <w:pPr>
        <w:pStyle w:val="23"/>
        <w:spacing w:line="560" w:lineRule="exact"/>
        <w:ind w:firstLine="640" w:firstLineChars="200"/>
        <w:rPr>
          <w:rFonts w:hAnsi="仿宋" w:cs="Times New Roman"/>
          <w:sz w:val="32"/>
          <w:szCs w:val="32"/>
        </w:rPr>
      </w:pPr>
      <w:r>
        <w:rPr>
          <w:rFonts w:hint="eastAsia" w:hAnsi="仿宋" w:cs="Times New Roman"/>
          <w:sz w:val="32"/>
          <w:szCs w:val="32"/>
        </w:rPr>
        <w:t>19.卫生健康支出（类）公共卫生（款）其他公共卫生支出（项）:指其他用于卫生健康管理事务方面的支出。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20. 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3"/>
        <w:spacing w:line="560" w:lineRule="exact"/>
        <w:ind w:firstLine="640" w:firstLineChars="200"/>
        <w:rPr>
          <w:rFonts w:hAnsi="仿宋" w:cs="Times New Roman"/>
          <w:sz w:val="32"/>
          <w:szCs w:val="32"/>
        </w:rPr>
      </w:pPr>
      <w:r>
        <w:rPr>
          <w:rFonts w:hint="eastAsia" w:hAnsi="仿宋" w:cs="Times New Roman"/>
          <w:sz w:val="32"/>
          <w:szCs w:val="32"/>
        </w:rPr>
        <w:t>21. 卫生健康支出（类）医疗救助（款）其他医疗救助支出（项）: 指其他用于医疗救助方面的支出。</w:t>
      </w:r>
    </w:p>
    <w:p>
      <w:pPr>
        <w:pStyle w:val="23"/>
        <w:spacing w:line="560" w:lineRule="exact"/>
        <w:ind w:firstLine="640" w:firstLineChars="200"/>
        <w:rPr>
          <w:rFonts w:hAnsi="仿宋"/>
          <w:b/>
          <w:sz w:val="32"/>
          <w:szCs w:val="32"/>
        </w:rPr>
      </w:pPr>
      <w:r>
        <w:rPr>
          <w:rFonts w:hint="eastAsia" w:hAnsi="仿宋" w:cs="Times New Roman"/>
          <w:sz w:val="32"/>
          <w:szCs w:val="32"/>
        </w:rPr>
        <w:t>22.住房保障支出（类）住房改革支出（款）住房公积金（项）: 指行政事业单位按人力资源和社会保障部、财政部规定的基本工资和津补贴以及规定比例为职工缴纳的住房公积金。</w:t>
      </w:r>
    </w:p>
    <w:p>
      <w:pPr>
        <w:pStyle w:val="23"/>
        <w:spacing w:line="560" w:lineRule="exact"/>
        <w:ind w:firstLine="640" w:firstLineChars="200"/>
        <w:rPr>
          <w:rFonts w:hAnsi="仿宋" w:cs="Times New Roman"/>
          <w:sz w:val="32"/>
          <w:szCs w:val="32"/>
        </w:rPr>
      </w:pPr>
      <w:r>
        <w:rPr>
          <w:rFonts w:hint="eastAsia" w:hAnsi="仿宋" w:cs="Times New Roman"/>
          <w:sz w:val="32"/>
          <w:szCs w:val="32"/>
        </w:rPr>
        <w:t>23.其他支出（类）其他支出（款）其他支出（项）:指其他不能划分到具体功能科目中的支出项目。</w:t>
      </w:r>
    </w:p>
    <w:p>
      <w:pPr>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4</w:t>
      </w:r>
      <w:r>
        <w:rPr>
          <w:rFonts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rPr>
      </w:pPr>
      <w:r>
        <w:rPr>
          <w:rFonts w:ascii="仿宋" w:hAnsi="仿宋" w:eastAsia="仿宋"/>
          <w:color w:val="000000"/>
          <w:sz w:val="32"/>
          <w:szCs w:val="32"/>
        </w:rPr>
        <w:t>2</w:t>
      </w:r>
      <w:r>
        <w:rPr>
          <w:rFonts w:hint="eastAsia" w:ascii="仿宋" w:hAnsi="仿宋" w:eastAsia="仿宋"/>
          <w:color w:val="000000"/>
          <w:sz w:val="32"/>
          <w:szCs w:val="32"/>
        </w:rPr>
        <w:t>5</w:t>
      </w:r>
      <w:r>
        <w:rPr>
          <w:rFonts w:ascii="仿宋" w:hAnsi="仿宋" w:eastAsia="仿宋"/>
          <w:color w:val="000000"/>
          <w:sz w:val="32"/>
          <w:szCs w:val="32"/>
        </w:rPr>
        <w:t>.项目支出：指在基本支出之外为完成特定行政任务和事业发展目标所发生的支出。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26</w:t>
      </w:r>
      <w:r>
        <w:rPr>
          <w:rFonts w:hAnsi="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cs="Times New Roman"/>
          <w:sz w:val="32"/>
          <w:szCs w:val="32"/>
        </w:rPr>
      </w:pPr>
      <w:r>
        <w:rPr>
          <w:rFonts w:hint="eastAsia" w:hAnsi="仿宋" w:cs="Times New Roman"/>
          <w:sz w:val="32"/>
          <w:szCs w:val="32"/>
        </w:rPr>
        <w:t>27</w:t>
      </w:r>
      <w:r>
        <w:rPr>
          <w:rFonts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hAnsi="仿宋" w:cs="Times New Roman"/>
          <w:sz w:val="32"/>
          <w:szCs w:val="32"/>
        </w:rPr>
        <w:t>。</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黑体" w:hAnsi="黑体" w:eastAsia="黑体" w:cs="方正小标宋简体"/>
          <w:sz w:val="36"/>
          <w:szCs w:val="36"/>
        </w:rPr>
      </w:pPr>
      <w:r>
        <w:rPr>
          <w:rFonts w:hint="eastAsia" w:ascii="黑体" w:hAnsi="黑体" w:eastAsia="黑体" w:cs="方正小标宋简体"/>
          <w:sz w:val="36"/>
          <w:szCs w:val="36"/>
        </w:rPr>
        <w:t>遂宁市公安局</w:t>
      </w:r>
    </w:p>
    <w:p>
      <w:pPr>
        <w:spacing w:line="580" w:lineRule="exact"/>
        <w:jc w:val="center"/>
        <w:rPr>
          <w:rFonts w:ascii="黑体" w:hAnsi="黑体" w:eastAsia="黑体" w:cs="方正小标宋简体"/>
          <w:sz w:val="36"/>
          <w:szCs w:val="36"/>
        </w:rPr>
      </w:pPr>
      <w:r>
        <w:rPr>
          <w:rFonts w:hint="eastAsia" w:ascii="黑体" w:hAnsi="黑体" w:eastAsia="黑体" w:cs="方正小标宋简体"/>
          <w:sz w:val="36"/>
          <w:szCs w:val="36"/>
        </w:rPr>
        <w:t>2019年部门整体支出绩效自评报告</w:t>
      </w:r>
    </w:p>
    <w:p>
      <w:pPr>
        <w:spacing w:line="580" w:lineRule="exact"/>
        <w:jc w:val="center"/>
        <w:rPr>
          <w:rFonts w:ascii="黑体" w:hAnsi="黑体" w:eastAsia="黑体" w:cs="方正小标宋简体"/>
          <w:sz w:val="36"/>
          <w:szCs w:val="36"/>
        </w:rPr>
      </w:pPr>
    </w:p>
    <w:p>
      <w:pPr>
        <w:numPr>
          <w:ilvl w:val="0"/>
          <w:numId w:val="8"/>
        </w:numPr>
        <w:spacing w:line="58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部门（单位）概况</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（一）机构组成</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2019年，遂宁市公安局下设内设机构29个，直属分局2个，均为行政单位。其中，独立核算二级预算单位7个，分别是：遂宁市公安局经济技术开发区分局、遂宁市公安局河东新区分局、遂宁市公安局交通警察支队、遂宁市公安局收容教育所、遂宁市公安局强制隔离戒毒所、遂宁市看守所、遂宁市强制医疗所。</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（二）机构职能</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遂宁市公安局基本职能：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境入境管理工作；依法管理交通、车辆、驾驶员；组织实施消防监督、火灾预防和扑救工作；组织开展对国家机关、社会团体、企业事业单位、重点建设工程和治安保卫工作以及群众性组织的治安防范工作。</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（三）人员概况</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截止2019年底，我局实有行政在职751人，工勤19人，离退人员184人，遗属15人，劳务派遣警务辅助人员736   人，临聘人员 35 人。</w:t>
      </w:r>
    </w:p>
    <w:p>
      <w:pPr>
        <w:spacing w:line="580" w:lineRule="exact"/>
        <w:ind w:firstLine="643" w:firstLineChars="200"/>
        <w:rPr>
          <w:rFonts w:ascii="黑体" w:hAnsi="黑体" w:eastAsia="黑体" w:cs="方正小标宋简体"/>
          <w:b/>
          <w:sz w:val="32"/>
          <w:szCs w:val="32"/>
        </w:rPr>
      </w:pPr>
      <w:r>
        <w:rPr>
          <w:rFonts w:hint="eastAsia" w:ascii="黑体" w:hAnsi="黑体" w:eastAsia="黑体" w:cs="方正小标宋简体"/>
          <w:b/>
          <w:sz w:val="32"/>
          <w:szCs w:val="32"/>
        </w:rPr>
        <w:t>二、部门财政资金收支情况</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（一）部门财政资金收入情况</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2019年遂宁市公安局财政拨款收入32,546.74万元，其中当年预算收入28,033.46万元、上年结转4513.28万元。</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（二）部门财政资金支出情况</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2019年遂宁市公安局财政拨款支出28,272.49万元（其中基本支出16,566.15万元，项目支出11,706.34万元），预算执行率为86.87%。按功能分类分别为：一般公共服务支出5.799万元、公共安全支出25,568.82万元、社会保障和就业支出977.76万元、卫生健康支出552.48万元、住房保障支出1,167.13万元、其他支出0.5万元，结转(结余)4,274.25万元。结转（结余）资金主要为中省公安转移支付资金、经侦情报导侦研判室建设、警务辅助人员劳务派遣费等，其原因主要是中省转移支付资金第二批下达时间较晚，加之装备建设采购和建设周期较长等原因。</w:t>
      </w:r>
    </w:p>
    <w:p>
      <w:pPr>
        <w:spacing w:line="580" w:lineRule="exact"/>
        <w:ind w:firstLine="643" w:firstLineChars="200"/>
        <w:rPr>
          <w:rFonts w:ascii="黑体" w:hAnsi="黑体" w:eastAsia="黑体" w:cs="方正小标宋简体"/>
          <w:b/>
          <w:sz w:val="32"/>
          <w:szCs w:val="32"/>
        </w:rPr>
      </w:pPr>
      <w:r>
        <w:rPr>
          <w:rFonts w:hint="eastAsia" w:ascii="黑体" w:hAnsi="黑体" w:eastAsia="黑体" w:cs="方正小标宋简体"/>
          <w:b/>
          <w:sz w:val="32"/>
          <w:szCs w:val="32"/>
        </w:rPr>
        <w:t>三、部门财政支出管理情况</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（一）预算编制情况</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按照市财政局《关于编制市级部门2019-2021年支出规划和2019年部门预算的通知》要求，按时、保质、保量完成全局年初预算编制工作。在编制过程中，认真核实单位实际财政供养人数和单位实有编制情况，正确编制人员经费和公用经费等，以三年支出数为基数进行测算，科学编制公用经费支出科目。做到尽量细化项目资金支出预算范围和科目，涉及绩效目标填报的，积极与相关业务部门进行沟通协调以便合理填报数据。最终按时上报相关科室进行审核，对我局预算予以通过。</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（二）执行管理情况</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1）部门预算执行情况。市级财政在“两会”审议部门预算通过后，及时批复下达我部门以执行。对公安转移支付资金等中省专项补助资金均及时、足额下达部门执行。我局在财政资金执行过程中，严格按照中、省、市各级财务管理规章制度，管好、用好每笔资金。在中省项目资金使用过程中，严格按照《遂宁市财政局遂宁市公安局中省公安转移支付资金管理办法》等规定，并依托公安转移支付资金管理信息系统做好项目实施和监管，切实做到专款专用，从而发挥好项目资金对项目实施的促进作用；对10万元以上的经费支出以及重大建设项目，严格实行“三重一大”制度，杜绝违规违法事件的发生。加强部门内控制度建设，全年建立完善各项财经制度9个，有力规范了单位财经行为。全年部门预算执行率为86.87%，情况较好。</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（2）中期评估。在每年年中组织相关业务部门对所有项目进行中期评估，认真核查项目的进展，梳理全年目标任务的完成情况，确保项目按时完成和财政资金及时、安全、高效的使用。</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3）节能降耗。我局认真开展厉行节约反对浪费规定学习的同时，倡导全体民警弘扬艰苦奋斗、勤俭节约的优良作风，进一步推进建设节约型机关。首先节约办公用电。办公室、会议室等尽量采用自然光，尽可能少开灯或不开灯。全体民警做到离开办公室随手关灯，杜绝“长明灯”、“白昼灯”，下班后自觉关闭各类电器设备电源。其次做到节约用水，强化节水意识，切实做到节约每一滴水，使广大民警养成良好的节水习惯。三是节约办公耗材，加强办公用品的使用管理，规范办公用品的采购，积极推行网络办公，尽量在电子媒介上撰写、修改文稿，加快推进无纸化办公。2019年全局办公费支出336.38万元，同比下降5.06%；水费支出57.17万元，同比上升15.48%；电费支出492.97万元，同比上升13.25% 水、电费上升的主要原因一是内设机构、临时性机构增加，如19年增设了监察留置管理支队、行政审批处、改革办、扫黑办、巡察办等；二是随着公安信息化建设推进，设备、机房、实验室增加；三是劳务派遣警务辅助人员增加。</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4）三公经费预算执行情况。2019年度“三公”经费财政预算安排483.66万元，支出393.3万元，执行率81.36%。支出较去年同比下降33.39%，其中：因公出国（境）费支出决算持平；公务用车购置及运行维护费支出389.78万元，预算执行率83.75%，支出同比下降32.17%；公务接待费支出3.52万元，预算执行率为19.28%，支出同比下降35.51%。接待费执行率偏低。其主要原因一是接待费预算编制不准确、合理；二是根据《遂宁市公安局公务接待管理办法》落实中央</w:t>
      </w:r>
      <w:bookmarkStart w:id="73" w:name="_GoBack"/>
      <w:r>
        <w:rPr>
          <w:rFonts w:hint="eastAsia" w:ascii="仿宋" w:hAnsi="仿宋" w:eastAsia="仿宋" w:cs="方正小标宋简体"/>
          <w:sz w:val="32"/>
          <w:szCs w:val="32"/>
        </w:rPr>
        <w:t>八项规定</w:t>
      </w:r>
      <w:bookmarkEnd w:id="73"/>
      <w:r>
        <w:rPr>
          <w:rFonts w:hint="eastAsia" w:ascii="仿宋" w:hAnsi="仿宋" w:eastAsia="仿宋" w:cs="方正小标宋简体"/>
          <w:sz w:val="32"/>
          <w:szCs w:val="32"/>
        </w:rPr>
        <w:t>精神和厉行节约要求，对公务接待进行了严格审批，对不符合公务接待标准的开支项目不予以报销；三是推行食堂就餐，除重要的公务事项，一般公务接待都在食堂以工作自助餐解决。</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（三）综合管理情况</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（1）政府性债务管理情况。我局无政府性债务。</w:t>
      </w:r>
    </w:p>
    <w:p>
      <w:pPr>
        <w:spacing w:line="580" w:lineRule="exact"/>
        <w:ind w:firstLine="640" w:firstLineChars="200"/>
        <w:rPr>
          <w:rFonts w:ascii="仿宋" w:hAnsi="仿宋" w:eastAsia="仿宋" w:cs="方正小标宋简体"/>
          <w:b/>
          <w:bCs/>
          <w:sz w:val="32"/>
          <w:szCs w:val="32"/>
        </w:rPr>
      </w:pPr>
      <w:r>
        <w:rPr>
          <w:rFonts w:hint="eastAsia" w:ascii="仿宋" w:hAnsi="仿宋" w:eastAsia="仿宋" w:cs="方正小标宋简体"/>
          <w:sz w:val="32"/>
          <w:szCs w:val="32"/>
        </w:rPr>
        <w:t>（2）非税收入管理情况。我局非税收入全部纳入预算管理,并严格执行“收支两条线”，规范票据管理使用，做到切实履职，应收尽收、应罚尽罚。全年非税收入执收计划8131.4万元，2019年度缴入国库非税收入7,531.87万元（其中行政事业性收费3,455.36万元、罚没收入4,058.68万元、国有资产有偿使用收入17.83万元），征收执行率为92.63%，</w:t>
      </w:r>
      <w:r>
        <w:rPr>
          <w:rFonts w:hint="eastAsia" w:ascii="仿宋" w:hAnsi="仿宋" w:eastAsia="仿宋" w:cs="方正小标宋简体"/>
          <w:b/>
          <w:bCs/>
          <w:sz w:val="32"/>
          <w:szCs w:val="32"/>
        </w:rPr>
        <w:t>完成情况较好。</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3）政府采购情况。2019年全局编制政府采购预算3,511.29万元，年中追加中省转移支付业务装备采购资金1,236万元。项目46项，主要为天网工程、交通治安卡口建设、电子警察、公安业务装备、毒品实验室、刑侦技术室、经侦情报研判室、设备运行维护服务、办公设备等。在执行政府采购中，做到无预算无采购。严格按照政府采购制度，执行采购程序，报经采购中心批准后再进行采购。加强制度建设和廉政风险防控,出台了《遂宁市公安局政府采购和招投标管理办法》以规范采购行为，促进廉政建设。年末结转1,112.7万元,采购预算执行率76.57 %。结转项目主要为公安转移支付业务装备建设、经侦情报导侦研判室、天网及电子警察项目。其主要原因一是转移支付资金下达较晚、项目建设周期长等客观原因导致结转使用。</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4）资产管理情况。2019年全局新增资产2,110.78万元，其中固定资产2,017.81万元、无形资产92.97万元。单位资产管理由警务保障部门总负责，使用人具体负责管理。新增购置的资产按照使用人逐一录入资产管理系统，对达到报废标准的资产由使用人经部门领导审批同意后交回警务保障部门按照资产报废程序统一报国资委审批后处置。同时每年对单位资产进行一次集中清理，确保账实一致，防止国有资产流失。</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5）内控制度管理。我局积极组织开展了贯彻实施《行政事业单位内控规范》的工作，在坚持内控制度要全面性、重要性、制衡性、适应性等原则的基础上进一步完善了本单位的内部控制制度，制定了《遂宁市公安局内控手册》，使之成为符合实际、行之有效的一套内控制度，提高了单位的管理水平，加强了廉政风险防控机制建设。</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（6）信息公开情况。对要求公开的预决算信息均按市财政的统一安排，依法及时进行了公开并接受社会的监督。</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7）财政监督情况。我局在执行国家有关财务法律法规的同时，建立健全了内部财务管理制度，按照党风廉政建设的要求，全体民警廉洁奉公、忠于职守，禁止利用职权和职务上的便利谋取不正当的利益，通过执行《遂宁市公安局内控手册》加强了项目资金的管理和监督，杜绝违规违法事件的发生。2019年我单位先后扎实开展内部巡察、内部审计和严肃财经纪律专项检查，对二级预算单位开展了财经专项检查和部门领导经济责任审计，做到了检查一次规范一次，有力提高了各单位的财务管理水平和能力。同时本着勤俭节约原则，管好用好每笔资金的原则，认真接受市审计、财政、纪检监察等部门的各项监督检查。今年市审计局对我局进行了2019年部门收支预算审计。</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（四）整体绩效</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2019年，我们严格资金使用范围，明确资金重点保障和投向，资金的使用都紧紧围绕做强应急处突能力建设、深化社会治安整体防控、扎实开展系列专项行动、推进扫黑除恶专项斗争、扎实抓好禁毒人民战争、大力提升科技信息水平、大力提升履职能力等方面。为公安机关履职所需提供了强力保障支撑，确保了资金效益的最大化。主要绩效为2019年度全市公安机关查处治安案件9729件、刑事案件破案4582件（其中命案13件，破13件），刑事拘留1702人、治安拘留2474人、逮捕896人、移送起诉2617人、强制戒毒307人，侦办“涉恐”案件4件、“涉邪”案件94件、破案92件。全市未发生一起影响重大的群体性事件、未发生一起严重涉暴涉恐维稳案件，维护了遂宁经济社会发展和社会治安大局的平稳。</w:t>
      </w:r>
      <w:r>
        <w:rPr>
          <w:rFonts w:hint="eastAsia" w:ascii="仿宋" w:hAnsi="仿宋" w:eastAsia="仿宋" w:cs="方正小标宋简体"/>
          <w:b/>
          <w:bCs/>
          <w:sz w:val="32"/>
          <w:szCs w:val="32"/>
        </w:rPr>
        <w:t>总体绩效目标完成情况好。</w:t>
      </w:r>
    </w:p>
    <w:p>
      <w:pPr>
        <w:spacing w:line="58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四、评价结论及建议</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（一）评价结论</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我局较好的完成了财政资金支出的绩效管理。</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（二）存在问题</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1）公安装备建设经费保障压力大。随着现代科技的发展，我市现有公安技术侦察手段建设和道路及公安交警信息化建设已不能满足形势需要，信息化建设水平还急待改善和提高，这必然要求大量资金的投入，而现有装备资金有限，极大的限制了公安职责的履行，公安机关装备建设经费保障面临很大压力。</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（2）会计核算支出经济科目有待完善，由于公安工作的特殊性，例如办案费中的特殊科目无法列入财政统一的核算科目。</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（3）部分政府采购项目论证、审核、招投标流程耗时较长造成相关资金支出不及时，个别的需要结转到下一年度使用。</w:t>
      </w:r>
    </w:p>
    <w:p>
      <w:pPr>
        <w:spacing w:line="580" w:lineRule="exact"/>
        <w:ind w:firstLine="643" w:firstLineChars="200"/>
        <w:rPr>
          <w:rFonts w:ascii="仿宋" w:hAnsi="仿宋" w:eastAsia="仿宋" w:cs="方正小标宋简体"/>
          <w:b/>
          <w:sz w:val="32"/>
          <w:szCs w:val="32"/>
        </w:rPr>
      </w:pPr>
      <w:r>
        <w:rPr>
          <w:rFonts w:hint="eastAsia" w:ascii="仿宋" w:hAnsi="仿宋" w:eastAsia="仿宋" w:cs="方正小标宋简体"/>
          <w:b/>
          <w:sz w:val="32"/>
          <w:szCs w:val="32"/>
        </w:rPr>
        <w:t>（三）改进建议</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（1）中省转移支付经费拨付时间要及时，避免项目实施与资金到位时间脱节，一方面影响项目建设进度，另一方面造成账面上存量资金过大。</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2）细化预算编制工作，认真做好预算的编制。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（3）加强财务管理，严格财务审核。在费用报账支付时，按照预算规定的费用项目和用途进行资金使用审核、列报支付、财务核算，杜绝超支现象的发生。</w:t>
      </w:r>
    </w:p>
    <w:p>
      <w:pPr>
        <w:spacing w:line="58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4）持续抓好“三公”经费控制管理。严格控制“三公”经费的规模和比例，把关“三公”经费支出的审核、审批，杜绝挪用和挤占其他预算资金行为；进一步细化“三公”经费的管理，合理压缩“三公”经费支出。</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天网四期项目2019年绩效自评报告</w:t>
      </w:r>
    </w:p>
    <w:p/>
    <w:p>
      <w:pPr>
        <w:numPr>
          <w:ilvl w:val="0"/>
          <w:numId w:val="9"/>
        </w:numPr>
        <w:ind w:firstLine="643" w:firstLineChars="200"/>
        <w:rPr>
          <w:rFonts w:ascii="黑体" w:hAnsi="黑体" w:eastAsia="黑体"/>
          <w:b/>
          <w:sz w:val="32"/>
          <w:szCs w:val="32"/>
        </w:rPr>
      </w:pPr>
      <w:r>
        <w:rPr>
          <w:rFonts w:hint="eastAsia" w:ascii="黑体" w:hAnsi="黑体" w:eastAsia="黑体"/>
          <w:b/>
          <w:sz w:val="32"/>
          <w:szCs w:val="32"/>
        </w:rPr>
        <w:t>项目概况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遂宁市公安局天网四期项目于2017年7月经市政府同意建设，后经方案设计、财政评审、招投标、验收等，于2019年7月验收合格后投入使用。项目总投资1244.9124万元，分三年支付，每年414.9708万元。2019年项目投资207.4854万元。</w:t>
      </w:r>
      <w:r>
        <w:rPr>
          <w:rFonts w:hint="eastAsia" w:ascii="仿宋_GB2312" w:hAnsi="仿宋" w:eastAsia="仿宋_GB2312" w:cs="仿宋"/>
          <w:b/>
          <w:bCs/>
          <w:sz w:val="32"/>
          <w:szCs w:val="32"/>
        </w:rPr>
        <w:t>其支出绩效自评等级为“优”。</w:t>
      </w:r>
      <w:r>
        <w:rPr>
          <w:rFonts w:hint="eastAsia" w:ascii="仿宋_GB2312" w:hAnsi="仿宋" w:eastAsia="仿宋_GB2312" w:cs="仿宋"/>
          <w:sz w:val="32"/>
          <w:szCs w:val="32"/>
        </w:rPr>
        <w:t>其情况如下：</w:t>
      </w:r>
    </w:p>
    <w:p>
      <w:pPr>
        <w:numPr>
          <w:ilvl w:val="0"/>
          <w:numId w:val="10"/>
        </w:numPr>
        <w:ind w:firstLine="643" w:firstLineChars="200"/>
        <w:rPr>
          <w:rFonts w:ascii="仿宋_GB2312" w:eastAsia="仿宋_GB2312"/>
          <w:sz w:val="32"/>
          <w:szCs w:val="32"/>
        </w:rPr>
      </w:pPr>
      <w:r>
        <w:rPr>
          <w:rFonts w:hint="eastAsia" w:ascii="仿宋_GB2312" w:eastAsia="仿宋_GB2312"/>
          <w:b/>
          <w:bCs/>
          <w:sz w:val="32"/>
          <w:szCs w:val="32"/>
        </w:rPr>
        <w:t>项目资金申报及批复情况</w:t>
      </w:r>
      <w:r>
        <w:rPr>
          <w:rFonts w:hint="eastAsia" w:ascii="仿宋_GB2312" w:eastAsia="仿宋_GB2312"/>
          <w:sz w:val="32"/>
          <w:szCs w:val="32"/>
        </w:rPr>
        <w:t>。我局于2018年4月向市政府呈报了《遂宁市公安局关于申请购买“天网”四期服务经费的函》（遂公安【2018】17号），经研究市政府（2018）237号送批件领导批示，同意2018年5月《遂宁市财政局关于市公安局申请购买“天网”四期服务经费的建议意见》。2018年10月经第二次市委财经领导小组会议审议及政府领导批示精神，市财政局将该资金列入2019年政府购买服务专项经费。2019年7月项目建成投入使用后，11月根据《遂宁市财政局关于下达2019年度“天网”四期项目服务经费的通知》（遂财综【2019】79号）文件，下达我局2019年7至12月“天网”四期项目购买服务经费207.4852万元。资金申报及批复下达和使用符合遂宁市财政资金管理办法。</w:t>
      </w:r>
    </w:p>
    <w:p>
      <w:pPr>
        <w:numPr>
          <w:ilvl w:val="0"/>
          <w:numId w:val="10"/>
        </w:numPr>
        <w:ind w:firstLine="643" w:firstLineChars="200"/>
        <w:rPr>
          <w:rFonts w:ascii="仿宋_GB2312" w:eastAsia="仿宋_GB2312"/>
          <w:sz w:val="32"/>
          <w:szCs w:val="32"/>
        </w:rPr>
      </w:pPr>
      <w:r>
        <w:rPr>
          <w:rFonts w:hint="eastAsia" w:ascii="仿宋_GB2312" w:eastAsia="仿宋_GB2312"/>
          <w:b/>
          <w:bCs/>
          <w:sz w:val="32"/>
          <w:szCs w:val="32"/>
        </w:rPr>
        <w:t>项目绩效目标</w:t>
      </w:r>
      <w:r>
        <w:rPr>
          <w:rFonts w:hint="eastAsia" w:ascii="仿宋_GB2312" w:eastAsia="仿宋_GB2312"/>
          <w:sz w:val="32"/>
          <w:szCs w:val="32"/>
        </w:rPr>
        <w:t>。</w:t>
      </w:r>
      <w:r>
        <w:rPr>
          <w:rFonts w:hint="eastAsia" w:ascii="仿宋_GB2312" w:hAnsi="仿宋" w:eastAsia="仿宋_GB2312" w:cs="仿宋"/>
          <w:sz w:val="32"/>
          <w:szCs w:val="32"/>
        </w:rPr>
        <w:t>遂宁市公安局天网四期项目于2017年7月经市政府同意建设，后经方案设计、财政评审、招投标、验收等，于2019年7月验收合格后投入使用，在市城区首批部署高清天网点位270个。项目总投资1244.9124万元，分三年支付，每年414.9708万元。2019年项目投资207.4854万元。计划实现的绩效目标主要为：紧紧围绕社会治安防控和辅助侦查破案这个核心目标开展。通过“增点、布局、提质、增效”四个方面措施来实现建设目标。</w:t>
      </w:r>
      <w:r>
        <w:rPr>
          <w:rFonts w:hint="eastAsia" w:ascii="仿宋_GB2312" w:eastAsia="仿宋_GB2312"/>
          <w:sz w:val="32"/>
          <w:szCs w:val="32"/>
        </w:rPr>
        <w:t>年度总目标为：满足市区城市治安防控和城市管理需要，对固定区域进行实时监控和信息记录，强化城市综合管理、预防打击犯罪和突发性治安灾害事故。</w:t>
      </w:r>
    </w:p>
    <w:p>
      <w:pPr>
        <w:ind w:firstLine="643" w:firstLineChars="200"/>
        <w:rPr>
          <w:rFonts w:ascii="仿宋_GB2312" w:eastAsia="仿宋_GB2312"/>
          <w:sz w:val="32"/>
          <w:szCs w:val="32"/>
        </w:rPr>
      </w:pPr>
      <w:r>
        <w:rPr>
          <w:rFonts w:hint="eastAsia" w:ascii="仿宋_GB2312" w:eastAsia="仿宋_GB2312"/>
          <w:b/>
          <w:bCs/>
          <w:sz w:val="32"/>
          <w:szCs w:val="32"/>
        </w:rPr>
        <w:t>（三）项目资金申报相符性。</w:t>
      </w:r>
      <w:r>
        <w:rPr>
          <w:rFonts w:hint="eastAsia" w:ascii="仿宋_GB2312" w:eastAsia="仿宋_GB2312"/>
          <w:sz w:val="32"/>
          <w:szCs w:val="32"/>
        </w:rPr>
        <w:t>市公安局天网四期项目申报的内容与具体实施内容完全相符，其申报目标经需求论证和公安工作实践证明其设定目标合理可行。2019年申报资金207.4852万元全部实施完毕。</w:t>
      </w:r>
    </w:p>
    <w:p>
      <w:pPr>
        <w:ind w:firstLine="643" w:firstLineChars="200"/>
        <w:rPr>
          <w:rFonts w:ascii="黑体" w:hAnsi="黑体" w:eastAsia="黑体"/>
          <w:b/>
          <w:sz w:val="32"/>
          <w:szCs w:val="32"/>
        </w:rPr>
      </w:pPr>
      <w:r>
        <w:rPr>
          <w:rFonts w:hint="eastAsia" w:ascii="黑体" w:hAnsi="黑体" w:eastAsia="黑体"/>
          <w:b/>
          <w:sz w:val="32"/>
          <w:szCs w:val="32"/>
        </w:rPr>
        <w:t>二、项目实施及管理情况</w:t>
      </w:r>
    </w:p>
    <w:p>
      <w:pPr>
        <w:ind w:firstLine="643" w:firstLineChars="200"/>
        <w:rPr>
          <w:rFonts w:ascii="仿宋_GB2312" w:eastAsia="仿宋_GB2312"/>
          <w:b/>
          <w:bCs/>
          <w:sz w:val="32"/>
          <w:szCs w:val="32"/>
        </w:rPr>
      </w:pPr>
      <w:r>
        <w:rPr>
          <w:rFonts w:hint="eastAsia" w:ascii="仿宋_GB2312" w:eastAsia="仿宋_GB2312"/>
          <w:b/>
          <w:bCs/>
          <w:sz w:val="32"/>
          <w:szCs w:val="32"/>
        </w:rPr>
        <w:t>（一）资金计划、到位及使用情况。</w:t>
      </w:r>
    </w:p>
    <w:p>
      <w:pPr>
        <w:ind w:firstLine="643" w:firstLineChars="200"/>
        <w:rPr>
          <w:rFonts w:ascii="仿宋_GB2312" w:eastAsia="仿宋_GB2312"/>
          <w:sz w:val="32"/>
          <w:szCs w:val="32"/>
        </w:rPr>
      </w:pPr>
      <w:r>
        <w:rPr>
          <w:rFonts w:hint="eastAsia" w:ascii="仿宋_GB2312" w:eastAsia="仿宋_GB2312"/>
          <w:b/>
          <w:sz w:val="32"/>
          <w:szCs w:val="32"/>
        </w:rPr>
        <w:t>1. 资金计划及到位。</w:t>
      </w:r>
      <w:r>
        <w:rPr>
          <w:rFonts w:hint="eastAsia" w:ascii="仿宋_GB2312" w:eastAsia="仿宋_GB2312"/>
          <w:sz w:val="32"/>
          <w:szCs w:val="32"/>
        </w:rPr>
        <w:t>该项目于2019年7月建成投入使用，11月根据《遂宁市财政局关于下达2019年度“天网”四期项目服务经费的通知》（遂财综【2019】79号）文件，下达我局2019年7至12月“天网”四期项目购买服务经费207.4852万元。</w:t>
      </w:r>
    </w:p>
    <w:p>
      <w:pPr>
        <w:ind w:firstLine="643" w:firstLineChars="200"/>
        <w:rPr>
          <w:rFonts w:ascii="仿宋_GB2312" w:eastAsia="仿宋_GB2312"/>
          <w:sz w:val="32"/>
          <w:szCs w:val="32"/>
        </w:rPr>
      </w:pPr>
      <w:r>
        <w:rPr>
          <w:rFonts w:hint="eastAsia" w:ascii="仿宋_GB2312" w:eastAsia="仿宋_GB2312"/>
          <w:b/>
          <w:sz w:val="32"/>
          <w:szCs w:val="32"/>
        </w:rPr>
        <w:t>2. 资金使用。</w:t>
      </w:r>
      <w:r>
        <w:rPr>
          <w:rFonts w:hint="eastAsia" w:ascii="仿宋_GB2312" w:hAnsi="仿宋" w:eastAsia="仿宋_GB2312" w:cs="仿宋"/>
          <w:bCs/>
          <w:sz w:val="32"/>
          <w:szCs w:val="32"/>
        </w:rPr>
        <w:t>2019年12月底我局根据合同约定</w:t>
      </w:r>
      <w:r>
        <w:rPr>
          <w:rFonts w:hint="eastAsia" w:ascii="仿宋_GB2312" w:eastAsia="仿宋_GB2312"/>
          <w:sz w:val="32"/>
          <w:szCs w:val="32"/>
        </w:rPr>
        <w:t>合规合法支付供应商7至12月项目建设服务费207.4852万元。</w:t>
      </w:r>
    </w:p>
    <w:p>
      <w:pPr>
        <w:ind w:firstLine="643" w:firstLineChars="200"/>
        <w:rPr>
          <w:rFonts w:ascii="仿宋_GB2312" w:eastAsia="仿宋_GB2312"/>
          <w:sz w:val="32"/>
          <w:szCs w:val="32"/>
        </w:rPr>
      </w:pPr>
      <w:r>
        <w:rPr>
          <w:rFonts w:hint="eastAsia" w:ascii="仿宋_GB2312" w:eastAsia="仿宋_GB2312"/>
          <w:b/>
          <w:bCs/>
          <w:sz w:val="32"/>
          <w:szCs w:val="32"/>
        </w:rPr>
        <w:t>（二）项目财务管理情况</w:t>
      </w:r>
      <w:r>
        <w:rPr>
          <w:rFonts w:hint="eastAsia" w:ascii="仿宋_GB2312" w:eastAsia="仿宋_GB2312"/>
          <w:sz w:val="32"/>
          <w:szCs w:val="32"/>
        </w:rPr>
        <w:t>。我局强化内控制度建设，相继建立和完善了各项财经管理制度，如《遂宁市公安局财务管理办法》、《遂宁市公安局政府采购和招投标管理办法》等，以严肃和规范财经行为。遂宁市公安局警务保障处为公安局财务管理内设机构，设置有专门财务人员，会计核算及财务处理均严格执行行政事业单位会计准则。</w:t>
      </w:r>
    </w:p>
    <w:p>
      <w:pPr>
        <w:ind w:firstLine="643" w:firstLineChars="200"/>
        <w:rPr>
          <w:rFonts w:ascii="仿宋_GB2312" w:eastAsia="仿宋_GB2312"/>
          <w:sz w:val="32"/>
          <w:szCs w:val="32"/>
        </w:rPr>
      </w:pPr>
      <w:r>
        <w:rPr>
          <w:rFonts w:hint="eastAsia" w:ascii="仿宋_GB2312" w:eastAsia="仿宋_GB2312"/>
          <w:b/>
          <w:bCs/>
          <w:sz w:val="32"/>
          <w:szCs w:val="32"/>
        </w:rPr>
        <w:t>（三）项目组织实施情况。</w:t>
      </w:r>
      <w:r>
        <w:rPr>
          <w:rFonts w:hint="eastAsia" w:ascii="仿宋_GB2312" w:eastAsia="仿宋_GB2312"/>
          <w:sz w:val="32"/>
          <w:szCs w:val="32"/>
        </w:rPr>
        <w:t>遂宁市公安局天网四期建设项目组织管理部门为遂宁市公安局科通处，主要负责项目方案设计、建设规划、招标文件及政府采购实施等，市公安局纪检监察部门、审计处、警务保障处为项目建设监督检查和采购服务指导部门。其项目在立项、申报、招标、实施等环节均按照市公安局“三重一大”及政府采购招投标相关规定执行。</w:t>
      </w:r>
    </w:p>
    <w:p>
      <w:pPr>
        <w:ind w:firstLine="643" w:firstLineChars="200"/>
        <w:rPr>
          <w:rFonts w:ascii="黑体" w:hAnsi="黑体" w:eastAsia="黑体"/>
          <w:b/>
          <w:sz w:val="32"/>
          <w:szCs w:val="32"/>
        </w:rPr>
      </w:pPr>
      <w:r>
        <w:rPr>
          <w:rFonts w:hint="eastAsia" w:ascii="黑体" w:hAnsi="黑体" w:eastAsia="黑体"/>
          <w:b/>
          <w:sz w:val="32"/>
          <w:szCs w:val="32"/>
        </w:rPr>
        <w:t>三、项目绩效情况</w:t>
      </w:r>
    </w:p>
    <w:p>
      <w:pPr>
        <w:ind w:firstLine="643" w:firstLineChars="200"/>
        <w:rPr>
          <w:rFonts w:ascii="仿宋_GB2312" w:eastAsia="仿宋_GB2312"/>
          <w:sz w:val="32"/>
          <w:szCs w:val="32"/>
        </w:rPr>
      </w:pPr>
      <w:r>
        <w:rPr>
          <w:rFonts w:hint="eastAsia" w:ascii="仿宋_GB2312" w:eastAsia="仿宋_GB2312"/>
          <w:b/>
          <w:bCs/>
          <w:sz w:val="32"/>
          <w:szCs w:val="32"/>
        </w:rPr>
        <w:t>（一）项目完成情况。</w:t>
      </w:r>
      <w:r>
        <w:rPr>
          <w:rFonts w:hint="eastAsia" w:ascii="仿宋_GB2312" w:eastAsia="仿宋_GB2312"/>
          <w:sz w:val="32"/>
          <w:szCs w:val="32"/>
        </w:rPr>
        <w:t>项目于2019年7月完成建设，共建点位270个，100套MAC地址采集、150个公交反扒视频抓拍服务，其项目服务及维护责任范围共11项。天网四期项目的建成投入使用我市城区治安监控视频覆盖率由原11.2个/平方公里</w:t>
      </w:r>
      <w:r>
        <w:rPr>
          <w:rFonts w:hint="eastAsia" w:ascii="仿宋_GB2312" w:eastAsia="仿宋_GB2312"/>
          <w:sz w:val="32"/>
          <w:szCs w:val="32"/>
        </w:rPr>
        <w:tab/>
      </w:r>
      <w:r>
        <w:rPr>
          <w:rFonts w:hint="eastAsia" w:ascii="仿宋_GB2312" w:eastAsia="仿宋_GB2312"/>
          <w:sz w:val="32"/>
          <w:szCs w:val="32"/>
        </w:rPr>
        <w:t>提高到19.2个/平方公里，</w:t>
      </w:r>
      <w:r>
        <w:rPr>
          <w:rFonts w:hint="eastAsia" w:ascii="仿宋_GB2312" w:eastAsia="仿宋_GB2312"/>
          <w:sz w:val="32"/>
          <w:szCs w:val="32"/>
        </w:rPr>
        <w:tab/>
      </w:r>
      <w:r>
        <w:rPr>
          <w:rFonts w:hint="eastAsia" w:ascii="仿宋_GB2312" w:eastAsia="仿宋_GB2312"/>
          <w:sz w:val="32"/>
          <w:szCs w:val="32"/>
        </w:rPr>
        <w:t>确保了各大型群众性活动安全举办率达100%和服务辅助了各类治安刑事案件的侦破。在使用中做到每月点位巡察率为100%，在线率为98.15%，使用率100%，成本控制较好</w:t>
      </w:r>
      <w:r>
        <w:rPr>
          <w:rFonts w:hint="eastAsia" w:ascii="仿宋_GB2312" w:eastAsia="仿宋_GB2312"/>
          <w:sz w:val="32"/>
          <w:szCs w:val="32"/>
        </w:rPr>
        <w:tab/>
      </w:r>
      <w:r>
        <w:rPr>
          <w:rFonts w:hint="eastAsia" w:ascii="仿宋_GB2312" w:eastAsia="仿宋_GB2312"/>
          <w:sz w:val="32"/>
          <w:szCs w:val="32"/>
        </w:rPr>
        <w:t>。</w:t>
      </w:r>
    </w:p>
    <w:p>
      <w:pPr>
        <w:ind w:firstLine="643" w:firstLineChars="200"/>
        <w:rPr>
          <w:rFonts w:ascii="仿宋_GB2312" w:eastAsia="仿宋_GB2312"/>
          <w:sz w:val="32"/>
          <w:szCs w:val="32"/>
        </w:rPr>
      </w:pPr>
      <w:r>
        <w:rPr>
          <w:rFonts w:hint="eastAsia" w:ascii="仿宋_GB2312" w:eastAsia="仿宋_GB2312"/>
          <w:b/>
          <w:bCs/>
          <w:sz w:val="32"/>
          <w:szCs w:val="32"/>
        </w:rPr>
        <w:t>（二）项目效益情况。</w:t>
      </w:r>
      <w:r>
        <w:rPr>
          <w:rFonts w:hint="eastAsia" w:ascii="仿宋_GB2312" w:eastAsia="仿宋_GB2312"/>
          <w:sz w:val="32"/>
          <w:szCs w:val="32"/>
        </w:rPr>
        <w:t>天网项目其社会效益主要对提高公安机关打防管理能力和政府社会治理水平意义重大，有力巩固“长安杯”和创文明成果，提升群众安全感和满意度均有着重大意义。项目可持续效益不少于六年，党委政府及人民群众以及案侦实战部门满意度为90%以上。</w:t>
      </w:r>
    </w:p>
    <w:p>
      <w:pPr>
        <w:spacing w:line="580" w:lineRule="exact"/>
        <w:ind w:firstLine="643" w:firstLineChars="200"/>
        <w:rPr>
          <w:rFonts w:ascii="黑体" w:hAnsi="黑体" w:eastAsia="黑体" w:cs="方正小标宋简体"/>
          <w:b/>
          <w:sz w:val="32"/>
          <w:szCs w:val="32"/>
        </w:rPr>
      </w:pPr>
      <w:r>
        <w:rPr>
          <w:rFonts w:hint="eastAsia" w:ascii="黑体" w:hAnsi="黑体" w:eastAsia="黑体" w:cs="方正小标宋简体"/>
          <w:b/>
          <w:sz w:val="32"/>
          <w:szCs w:val="32"/>
        </w:rPr>
        <w:t>四、评价结论及建议</w:t>
      </w:r>
    </w:p>
    <w:p>
      <w:pPr>
        <w:spacing w:line="580" w:lineRule="exact"/>
        <w:ind w:firstLine="643" w:firstLineChars="200"/>
        <w:rPr>
          <w:rFonts w:ascii="仿宋_GB2312" w:hAnsi="方正小标宋简体" w:eastAsia="仿宋_GB2312" w:cs="方正小标宋简体"/>
          <w:b/>
          <w:sz w:val="32"/>
          <w:szCs w:val="32"/>
          <w:lang w:val="zh-CN"/>
        </w:rPr>
      </w:pPr>
      <w:r>
        <w:rPr>
          <w:rFonts w:hint="eastAsia" w:ascii="仿宋_GB2312" w:hAnsi="方正小标宋简体" w:eastAsia="仿宋_GB2312" w:cs="方正小标宋简体"/>
          <w:b/>
          <w:sz w:val="32"/>
          <w:szCs w:val="32"/>
          <w:lang w:val="zh-CN"/>
        </w:rPr>
        <w:t>（一）评价结论</w:t>
      </w:r>
    </w:p>
    <w:p>
      <w:pPr>
        <w:spacing w:line="580" w:lineRule="exact"/>
        <w:ind w:firstLine="640" w:firstLineChars="200"/>
        <w:rPr>
          <w:rFonts w:ascii="仿宋_GB2312" w:hAnsi="方正小标宋简体" w:eastAsia="仿宋_GB2312" w:cs="方正小标宋简体"/>
          <w:sz w:val="32"/>
          <w:szCs w:val="32"/>
          <w:lang w:val="zh-CN"/>
        </w:rPr>
      </w:pPr>
      <w:r>
        <w:rPr>
          <w:rFonts w:hint="eastAsia" w:ascii="仿宋_GB2312" w:hAnsi="方正小标宋简体" w:eastAsia="仿宋_GB2312" w:cs="方正小标宋简体"/>
          <w:sz w:val="32"/>
          <w:szCs w:val="32"/>
          <w:lang w:val="zh-CN"/>
        </w:rPr>
        <w:t>天网四期项目较好的完成了财政资金支出的绩效管理。</w:t>
      </w:r>
    </w:p>
    <w:p>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（二）存在的问题。</w:t>
      </w:r>
    </w:p>
    <w:p>
      <w:pPr>
        <w:spacing w:line="360" w:lineRule="auto"/>
        <w:ind w:firstLine="640" w:firstLineChars="200"/>
        <w:rPr>
          <w:rFonts w:ascii="仿宋_GB2312" w:eastAsia="仿宋_GB2312"/>
          <w:sz w:val="32"/>
          <w:szCs w:val="32"/>
        </w:rPr>
      </w:pPr>
      <w:r>
        <w:rPr>
          <w:rFonts w:hint="eastAsia" w:ascii="仿宋_GB2312"/>
          <w:sz w:val="32"/>
          <w:szCs w:val="32"/>
        </w:rPr>
        <w:t>1.</w:t>
      </w:r>
      <w:r>
        <w:rPr>
          <w:rFonts w:hint="eastAsia" w:ascii="仿宋_GB2312" w:eastAsia="仿宋_GB2312"/>
          <w:sz w:val="32"/>
          <w:szCs w:val="32"/>
        </w:rPr>
        <w:t>天网点位数量少，覆盖率低。随着市城区面积不断扩大、人群聚集场所不断增加，市城区社会治安形势也日趋复杂，“天网”视频监控覆盖率已不能满足工作需要和群众期待。</w:t>
      </w:r>
    </w:p>
    <w:p>
      <w:pPr>
        <w:spacing w:line="360" w:lineRule="auto"/>
        <w:ind w:firstLine="640" w:firstLineChars="200"/>
        <w:rPr>
          <w:rFonts w:ascii="仿宋_GB2312"/>
          <w:szCs w:val="32"/>
        </w:rPr>
      </w:pPr>
      <w:r>
        <w:rPr>
          <w:rFonts w:hint="eastAsia" w:ascii="仿宋_GB2312"/>
          <w:sz w:val="32"/>
          <w:szCs w:val="32"/>
        </w:rPr>
        <w:t>2.</w:t>
      </w:r>
      <w:r>
        <w:rPr>
          <w:rFonts w:hint="eastAsia" w:ascii="仿宋_GB2312" w:eastAsia="仿宋_GB2312"/>
          <w:sz w:val="32"/>
          <w:szCs w:val="32"/>
        </w:rPr>
        <w:t>智能化分析应用系统急需加强。现有人脸识别点位仍需补充，视频结构化系统算力资源不足，目前算力只支撑主城区重点区域100路监控纳入视觉计算结构化处理。公安检查站治安管控系统、智慧社区数据汇聚平台、智慧社区实战应用系统、智慧内保平台等应用系统，我市还存在缺失，无法满足信息化条件下的案件侦办及社会治安防控工作需要。</w:t>
      </w:r>
    </w:p>
    <w:p>
      <w:pPr>
        <w:spacing w:line="360" w:lineRule="auto"/>
        <w:ind w:firstLine="640" w:firstLineChars="200"/>
        <w:rPr>
          <w:rFonts w:ascii="仿宋_GB2312"/>
          <w:szCs w:val="32"/>
        </w:rPr>
      </w:pPr>
      <w:r>
        <w:rPr>
          <w:rFonts w:hint="eastAsia" w:ascii="仿宋_GB2312"/>
          <w:sz w:val="32"/>
          <w:szCs w:val="32"/>
        </w:rPr>
        <w:t>3.</w:t>
      </w:r>
      <w:r>
        <w:rPr>
          <w:rFonts w:hint="eastAsia" w:ascii="仿宋_GB2312" w:eastAsia="仿宋_GB2312"/>
          <w:sz w:val="32"/>
          <w:szCs w:val="32"/>
        </w:rPr>
        <w:t>建设资金投入大。天网建设投资大、经费申请难度大、项目申请立项到财评、招标、公示、建设和验收整个建设周期长。</w:t>
      </w:r>
    </w:p>
    <w:p>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（三）相关建议</w:t>
      </w:r>
    </w:p>
    <w:p>
      <w:pPr>
        <w:spacing w:line="360" w:lineRule="auto"/>
        <w:ind w:firstLine="643" w:firstLineChars="200"/>
        <w:rPr>
          <w:rFonts w:ascii="仿宋_GB2312" w:hAnsi="Gungsuh" w:eastAsia="仿宋_GB2312"/>
          <w:sz w:val="32"/>
          <w:szCs w:val="32"/>
        </w:rPr>
      </w:pPr>
      <w:r>
        <w:rPr>
          <w:rFonts w:hint="eastAsia" w:ascii="仿宋_GB2312" w:hAnsi="Gungsuh" w:eastAsia="仿宋_GB2312"/>
          <w:b/>
          <w:bCs/>
          <w:sz w:val="32"/>
          <w:szCs w:val="32"/>
        </w:rPr>
        <w:t>1.</w:t>
      </w:r>
      <w:r>
        <w:rPr>
          <w:rFonts w:hint="eastAsia" w:ascii="仿宋_GB2312" w:hAnsi="Gungsuh" w:eastAsia="仿宋_GB2312"/>
          <w:sz w:val="32"/>
          <w:szCs w:val="32"/>
        </w:rPr>
        <w:t>加强项目使用考核,通过提高巡查率检验设备使用性能,以确保每个点位正常高效应用。</w:t>
      </w:r>
    </w:p>
    <w:p>
      <w:pPr>
        <w:spacing w:line="360" w:lineRule="auto"/>
        <w:ind w:firstLine="640" w:firstLineChars="200"/>
        <w:rPr>
          <w:rFonts w:ascii="仿宋_GB2312" w:hAnsi="Gungsuh" w:eastAsia="仿宋_GB2312"/>
          <w:sz w:val="32"/>
          <w:szCs w:val="32"/>
        </w:rPr>
      </w:pPr>
      <w:r>
        <w:rPr>
          <w:rFonts w:hint="eastAsia" w:ascii="仿宋_GB2312" w:hAnsi="Gungsuh" w:eastAsia="仿宋_GB2312"/>
          <w:sz w:val="32"/>
          <w:szCs w:val="32"/>
        </w:rPr>
        <w:t>2.加强项目规范设计,</w:t>
      </w:r>
      <w:r>
        <w:rPr>
          <w:rFonts w:hint="eastAsia" w:ascii="仿宋_GB2312" w:hAnsi="仿宋" w:eastAsia="仿宋_GB2312" w:cs="仿宋"/>
          <w:sz w:val="32"/>
          <w:szCs w:val="32"/>
        </w:rPr>
        <w:t>进</w:t>
      </w:r>
      <w:r>
        <w:rPr>
          <w:rFonts w:hint="eastAsia" w:ascii="仿宋_GB2312" w:hAnsi="Gungsuh" w:eastAsia="仿宋_GB2312" w:cs="仿宋"/>
          <w:sz w:val="32"/>
          <w:szCs w:val="32"/>
        </w:rPr>
        <w:t>一步完善社</w:t>
      </w:r>
      <w:r>
        <w:rPr>
          <w:rFonts w:hint="eastAsia" w:ascii="仿宋_GB2312" w:hAnsi="仿宋" w:eastAsia="仿宋_GB2312" w:cs="仿宋"/>
          <w:sz w:val="32"/>
          <w:szCs w:val="32"/>
        </w:rPr>
        <w:t>会</w:t>
      </w:r>
      <w:r>
        <w:rPr>
          <w:rFonts w:hint="eastAsia" w:ascii="仿宋_GB2312" w:hAnsi="Gungsuh" w:eastAsia="仿宋_GB2312" w:cs="仿宋"/>
          <w:sz w:val="32"/>
          <w:szCs w:val="32"/>
        </w:rPr>
        <w:t>治安技防体系、形成公共安全</w:t>
      </w:r>
      <w:r>
        <w:rPr>
          <w:rFonts w:hint="eastAsia" w:ascii="仿宋_GB2312" w:hAnsi="仿宋" w:eastAsia="仿宋_GB2312" w:cs="仿宋"/>
          <w:sz w:val="32"/>
          <w:szCs w:val="32"/>
        </w:rPr>
        <w:t>联动</w:t>
      </w:r>
      <w:r>
        <w:rPr>
          <w:rFonts w:hint="eastAsia" w:ascii="仿宋_GB2312" w:hAnsi="Gungsuh" w:eastAsia="仿宋_GB2312" w:cs="仿宋"/>
          <w:sz w:val="32"/>
          <w:szCs w:val="32"/>
        </w:rPr>
        <w:t>机制、提升重点人</w:t>
      </w:r>
      <w:r>
        <w:rPr>
          <w:rFonts w:hint="eastAsia" w:ascii="仿宋_GB2312" w:hAnsi="仿宋" w:eastAsia="仿宋_GB2312" w:cs="仿宋"/>
          <w:sz w:val="32"/>
          <w:szCs w:val="32"/>
        </w:rPr>
        <w:t>员</w:t>
      </w:r>
      <w:r>
        <w:rPr>
          <w:rFonts w:hint="eastAsia" w:ascii="仿宋_GB2312" w:hAnsi="Gungsuh" w:eastAsia="仿宋_GB2312" w:cs="仿宋"/>
          <w:sz w:val="32"/>
          <w:szCs w:val="32"/>
        </w:rPr>
        <w:t>管控能力、强化</w:t>
      </w:r>
      <w:r>
        <w:rPr>
          <w:rFonts w:hint="eastAsia" w:ascii="仿宋_GB2312" w:hAnsi="仿宋" w:eastAsia="仿宋_GB2312" w:cs="仿宋"/>
          <w:sz w:val="32"/>
          <w:szCs w:val="32"/>
        </w:rPr>
        <w:t>侦查</w:t>
      </w:r>
      <w:r>
        <w:rPr>
          <w:rFonts w:hint="eastAsia" w:ascii="仿宋_GB2312" w:hAnsi="Gungsuh" w:eastAsia="仿宋_GB2312" w:cs="仿宋"/>
          <w:sz w:val="32"/>
          <w:szCs w:val="32"/>
        </w:rPr>
        <w:t>技</w:t>
      </w:r>
      <w:r>
        <w:rPr>
          <w:rFonts w:hint="eastAsia" w:ascii="仿宋_GB2312" w:hAnsi="仿宋" w:eastAsia="仿宋_GB2312" w:cs="仿宋"/>
          <w:sz w:val="32"/>
          <w:szCs w:val="32"/>
        </w:rPr>
        <w:t>术</w:t>
      </w:r>
      <w:r>
        <w:rPr>
          <w:rFonts w:hint="eastAsia" w:ascii="仿宋_GB2312" w:hAnsi="Gungsuh" w:eastAsia="仿宋_GB2312" w:cs="仿宋"/>
          <w:sz w:val="32"/>
          <w:szCs w:val="32"/>
        </w:rPr>
        <w:t>的</w:t>
      </w:r>
      <w:r>
        <w:rPr>
          <w:rFonts w:hint="eastAsia" w:ascii="仿宋_GB2312" w:hAnsi="仿宋" w:eastAsia="仿宋_GB2312" w:cs="仿宋"/>
          <w:sz w:val="32"/>
          <w:szCs w:val="32"/>
        </w:rPr>
        <w:t>发</w:t>
      </w:r>
      <w:r>
        <w:rPr>
          <w:rFonts w:hint="eastAsia" w:ascii="仿宋_GB2312" w:hAnsi="Gungsuh" w:eastAsia="仿宋_GB2312" w:cs="仿宋"/>
          <w:sz w:val="32"/>
          <w:szCs w:val="32"/>
        </w:rPr>
        <w:t>展</w:t>
      </w:r>
      <w:r>
        <w:rPr>
          <w:rFonts w:hint="eastAsia" w:ascii="仿宋_GB2312" w:hAnsi="仿宋" w:eastAsia="仿宋_GB2312" w:cs="仿宋"/>
          <w:sz w:val="32"/>
          <w:szCs w:val="32"/>
        </w:rPr>
        <w:t>应</w:t>
      </w:r>
      <w:r>
        <w:rPr>
          <w:rFonts w:hint="eastAsia" w:ascii="仿宋_GB2312" w:hAnsi="Gungsuh" w:eastAsia="仿宋_GB2312" w:cs="仿宋"/>
          <w:sz w:val="32"/>
          <w:szCs w:val="32"/>
        </w:rPr>
        <w:t>用，</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ungsuh">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389933C"/>
    <w:multiLevelType w:val="singleLevel"/>
    <w:tmpl w:val="C389933C"/>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842B9D8"/>
    <w:multiLevelType w:val="singleLevel"/>
    <w:tmpl w:val="D842B9D8"/>
    <w:lvl w:ilvl="0" w:tentative="0">
      <w:start w:val="1"/>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EEEB5B1"/>
    <w:multiLevelType w:val="singleLevel"/>
    <w:tmpl w:val="2EEEB5B1"/>
    <w:lvl w:ilvl="0" w:tentative="0">
      <w:start w:val="1"/>
      <w:numFmt w:val="chineseCounting"/>
      <w:suff w:val="nothing"/>
      <w:lvlText w:val="%1、"/>
      <w:lvlJc w:val="left"/>
      <w:rPr>
        <w:rFonts w:hint="eastAsia"/>
      </w:rPr>
    </w:lvl>
  </w:abstractNum>
  <w:abstractNum w:abstractNumId="8">
    <w:nsid w:val="487B5783"/>
    <w:multiLevelType w:val="multilevel"/>
    <w:tmpl w:val="487B5783"/>
    <w:lvl w:ilvl="0" w:tentative="0">
      <w:start w:val="1"/>
      <w:numFmt w:val="japaneseCounting"/>
      <w:lvlText w:val="%1、"/>
      <w:lvlJc w:val="left"/>
      <w:pPr>
        <w:ind w:left="900" w:hanging="4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8"/>
  </w:num>
  <w:num w:numId="2">
    <w:abstractNumId w:val="9"/>
  </w:num>
  <w:num w:numId="3">
    <w:abstractNumId w:val="6"/>
  </w:num>
  <w:num w:numId="4">
    <w:abstractNumId w:val="2"/>
  </w:num>
  <w:num w:numId="5">
    <w:abstractNumId w:val="5"/>
  </w:num>
  <w:num w:numId="6">
    <w:abstractNumId w:val="0"/>
  </w:num>
  <w:num w:numId="7">
    <w:abstractNumId w:val="4"/>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B7A15"/>
    <w:rsid w:val="000C3467"/>
    <w:rsid w:val="000C3CA6"/>
    <w:rsid w:val="000C6740"/>
    <w:rsid w:val="000D1267"/>
    <w:rsid w:val="000D1D50"/>
    <w:rsid w:val="000D5782"/>
    <w:rsid w:val="000E2E25"/>
    <w:rsid w:val="000E6613"/>
    <w:rsid w:val="000E7119"/>
    <w:rsid w:val="000F33FD"/>
    <w:rsid w:val="00114E9B"/>
    <w:rsid w:val="00142216"/>
    <w:rsid w:val="00144D6A"/>
    <w:rsid w:val="0014729F"/>
    <w:rsid w:val="00152818"/>
    <w:rsid w:val="00157BAB"/>
    <w:rsid w:val="00161854"/>
    <w:rsid w:val="001654D1"/>
    <w:rsid w:val="00174518"/>
    <w:rsid w:val="0018106D"/>
    <w:rsid w:val="00185C0B"/>
    <w:rsid w:val="001877A7"/>
    <w:rsid w:val="00191536"/>
    <w:rsid w:val="00196687"/>
    <w:rsid w:val="001B60A7"/>
    <w:rsid w:val="001C0962"/>
    <w:rsid w:val="001D7531"/>
    <w:rsid w:val="001E61DC"/>
    <w:rsid w:val="001E737D"/>
    <w:rsid w:val="001F0592"/>
    <w:rsid w:val="001F7506"/>
    <w:rsid w:val="002006CD"/>
    <w:rsid w:val="00202B36"/>
    <w:rsid w:val="00204B7A"/>
    <w:rsid w:val="00204CDE"/>
    <w:rsid w:val="0021101A"/>
    <w:rsid w:val="00220536"/>
    <w:rsid w:val="0022524A"/>
    <w:rsid w:val="00235629"/>
    <w:rsid w:val="0024404E"/>
    <w:rsid w:val="00245AB1"/>
    <w:rsid w:val="0024712E"/>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7A7"/>
    <w:rsid w:val="00335A74"/>
    <w:rsid w:val="0036561B"/>
    <w:rsid w:val="0037013F"/>
    <w:rsid w:val="00380C92"/>
    <w:rsid w:val="003869C9"/>
    <w:rsid w:val="003A484F"/>
    <w:rsid w:val="003A4883"/>
    <w:rsid w:val="003B0BE0"/>
    <w:rsid w:val="003B0C1B"/>
    <w:rsid w:val="003B688C"/>
    <w:rsid w:val="003C0291"/>
    <w:rsid w:val="003C2502"/>
    <w:rsid w:val="003C39AE"/>
    <w:rsid w:val="003C7B60"/>
    <w:rsid w:val="003D0C0F"/>
    <w:rsid w:val="003D1B3D"/>
    <w:rsid w:val="003D1FB2"/>
    <w:rsid w:val="003D66DA"/>
    <w:rsid w:val="003E1310"/>
    <w:rsid w:val="003E6F55"/>
    <w:rsid w:val="003F0AAF"/>
    <w:rsid w:val="00406254"/>
    <w:rsid w:val="00416CD4"/>
    <w:rsid w:val="004223DE"/>
    <w:rsid w:val="00434489"/>
    <w:rsid w:val="00437085"/>
    <w:rsid w:val="00443880"/>
    <w:rsid w:val="004464F4"/>
    <w:rsid w:val="0045105B"/>
    <w:rsid w:val="00471401"/>
    <w:rsid w:val="00473F31"/>
    <w:rsid w:val="0048263A"/>
    <w:rsid w:val="00487E5D"/>
    <w:rsid w:val="004A711F"/>
    <w:rsid w:val="004B199D"/>
    <w:rsid w:val="004B4690"/>
    <w:rsid w:val="004E0A2D"/>
    <w:rsid w:val="004E206B"/>
    <w:rsid w:val="004E5120"/>
    <w:rsid w:val="004E6DF7"/>
    <w:rsid w:val="004F0FBD"/>
    <w:rsid w:val="004F403E"/>
    <w:rsid w:val="00505A47"/>
    <w:rsid w:val="00512FDA"/>
    <w:rsid w:val="00514FE6"/>
    <w:rsid w:val="00520DA0"/>
    <w:rsid w:val="00551BDB"/>
    <w:rsid w:val="0055731B"/>
    <w:rsid w:val="005664BB"/>
    <w:rsid w:val="00566FFA"/>
    <w:rsid w:val="0057481D"/>
    <w:rsid w:val="00575F0B"/>
    <w:rsid w:val="00576BD3"/>
    <w:rsid w:val="0058486E"/>
    <w:rsid w:val="00585B33"/>
    <w:rsid w:val="0059014D"/>
    <w:rsid w:val="005B5C64"/>
    <w:rsid w:val="005C3756"/>
    <w:rsid w:val="005C6BD0"/>
    <w:rsid w:val="005C6C4C"/>
    <w:rsid w:val="005D1C8B"/>
    <w:rsid w:val="005D468D"/>
    <w:rsid w:val="005D5CED"/>
    <w:rsid w:val="005F1A4C"/>
    <w:rsid w:val="00602901"/>
    <w:rsid w:val="00603C32"/>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1D7"/>
    <w:rsid w:val="00681A31"/>
    <w:rsid w:val="00683E73"/>
    <w:rsid w:val="00694B7A"/>
    <w:rsid w:val="006A3141"/>
    <w:rsid w:val="006A5515"/>
    <w:rsid w:val="006A5E34"/>
    <w:rsid w:val="006B2422"/>
    <w:rsid w:val="006B2B9A"/>
    <w:rsid w:val="006B3BF7"/>
    <w:rsid w:val="006C1937"/>
    <w:rsid w:val="006F020C"/>
    <w:rsid w:val="00702B62"/>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0BAE"/>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4662"/>
    <w:rsid w:val="00885AF4"/>
    <w:rsid w:val="008939CD"/>
    <w:rsid w:val="008B768C"/>
    <w:rsid w:val="008C4DB1"/>
    <w:rsid w:val="008C4EAF"/>
    <w:rsid w:val="008C5176"/>
    <w:rsid w:val="008C7FD0"/>
    <w:rsid w:val="008E1DE7"/>
    <w:rsid w:val="008E707C"/>
    <w:rsid w:val="008F1778"/>
    <w:rsid w:val="00900B08"/>
    <w:rsid w:val="00902155"/>
    <w:rsid w:val="00902A9B"/>
    <w:rsid w:val="00902FA3"/>
    <w:rsid w:val="00905D6A"/>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5A2"/>
    <w:rsid w:val="009B4EAE"/>
    <w:rsid w:val="009B60C0"/>
    <w:rsid w:val="009B7573"/>
    <w:rsid w:val="009C22F4"/>
    <w:rsid w:val="009C2E98"/>
    <w:rsid w:val="009C37FB"/>
    <w:rsid w:val="009D3447"/>
    <w:rsid w:val="009D4711"/>
    <w:rsid w:val="009E239B"/>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832"/>
    <w:rsid w:val="00A67AB5"/>
    <w:rsid w:val="00A733B2"/>
    <w:rsid w:val="00A741C2"/>
    <w:rsid w:val="00A91760"/>
    <w:rsid w:val="00A93B00"/>
    <w:rsid w:val="00A93C21"/>
    <w:rsid w:val="00AB64C9"/>
    <w:rsid w:val="00AC3C6A"/>
    <w:rsid w:val="00AD0F83"/>
    <w:rsid w:val="00AD1C57"/>
    <w:rsid w:val="00AD5620"/>
    <w:rsid w:val="00AD656B"/>
    <w:rsid w:val="00AD7C1B"/>
    <w:rsid w:val="00AE16BA"/>
    <w:rsid w:val="00AE1EBE"/>
    <w:rsid w:val="00B03C9D"/>
    <w:rsid w:val="00B060AE"/>
    <w:rsid w:val="00B10517"/>
    <w:rsid w:val="00B14E76"/>
    <w:rsid w:val="00B161B8"/>
    <w:rsid w:val="00B2048C"/>
    <w:rsid w:val="00B273B5"/>
    <w:rsid w:val="00B310B9"/>
    <w:rsid w:val="00B35F3F"/>
    <w:rsid w:val="00B36CBB"/>
    <w:rsid w:val="00B376BF"/>
    <w:rsid w:val="00B425E0"/>
    <w:rsid w:val="00B440AA"/>
    <w:rsid w:val="00B44B70"/>
    <w:rsid w:val="00B53C56"/>
    <w:rsid w:val="00B57DAF"/>
    <w:rsid w:val="00B75E00"/>
    <w:rsid w:val="00B77EA6"/>
    <w:rsid w:val="00B81598"/>
    <w:rsid w:val="00B841F1"/>
    <w:rsid w:val="00B944D6"/>
    <w:rsid w:val="00BB4DF0"/>
    <w:rsid w:val="00BC113D"/>
    <w:rsid w:val="00BC289F"/>
    <w:rsid w:val="00BC2D50"/>
    <w:rsid w:val="00BC5361"/>
    <w:rsid w:val="00BC5460"/>
    <w:rsid w:val="00BC6B50"/>
    <w:rsid w:val="00BD0E25"/>
    <w:rsid w:val="00BF5BD6"/>
    <w:rsid w:val="00C03E31"/>
    <w:rsid w:val="00C1556B"/>
    <w:rsid w:val="00C2389D"/>
    <w:rsid w:val="00C30E69"/>
    <w:rsid w:val="00C33E72"/>
    <w:rsid w:val="00C354B2"/>
    <w:rsid w:val="00C35554"/>
    <w:rsid w:val="00C42709"/>
    <w:rsid w:val="00C533CC"/>
    <w:rsid w:val="00C5751C"/>
    <w:rsid w:val="00C61BFC"/>
    <w:rsid w:val="00C62B85"/>
    <w:rsid w:val="00C65438"/>
    <w:rsid w:val="00C76BA9"/>
    <w:rsid w:val="00C91CBB"/>
    <w:rsid w:val="00C921FD"/>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77E7"/>
    <w:rsid w:val="00DF0A63"/>
    <w:rsid w:val="00DF28BC"/>
    <w:rsid w:val="00DF34B9"/>
    <w:rsid w:val="00E01053"/>
    <w:rsid w:val="00E07ACF"/>
    <w:rsid w:val="00E30F27"/>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09A6"/>
    <w:rsid w:val="00F2408F"/>
    <w:rsid w:val="00F240E9"/>
    <w:rsid w:val="00F36D8F"/>
    <w:rsid w:val="00F417B1"/>
    <w:rsid w:val="00F45853"/>
    <w:rsid w:val="00F602DF"/>
    <w:rsid w:val="00F754A1"/>
    <w:rsid w:val="00F81FD9"/>
    <w:rsid w:val="00F841AA"/>
    <w:rsid w:val="00F84A94"/>
    <w:rsid w:val="00F87E96"/>
    <w:rsid w:val="00FA23E8"/>
    <w:rsid w:val="00FB554E"/>
    <w:rsid w:val="00FD3CC1"/>
    <w:rsid w:val="00FF1E02"/>
    <w:rsid w:val="00FF30B4"/>
    <w:rsid w:val="10C055FF"/>
    <w:rsid w:val="16BB723D"/>
    <w:rsid w:val="1A9A4A0A"/>
    <w:rsid w:val="240371BF"/>
    <w:rsid w:val="267E489C"/>
    <w:rsid w:val="29FD04D3"/>
    <w:rsid w:val="319F7F4E"/>
    <w:rsid w:val="4ECE2238"/>
    <w:rsid w:val="56F460A3"/>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iPriority w:val="0"/>
    <w:pPr>
      <w:spacing w:before="100" w:beforeAutospacing="1" w:after="100" w:afterAutospacing="1"/>
      <w:jc w:val="left"/>
    </w:pPr>
    <w:rPr>
      <w:rFonts w:ascii="Calibri" w:hAnsi="Calibri"/>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3.xml"/><Relationship Id="rId11" Type="http://schemas.openxmlformats.org/officeDocument/2006/relationships/image" Target="media/image4.jpe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4037;&#20316;&#22791;&#20221;\&#35686;&#21153;&#20445;&#38556;&#22788;\1-&#36130;&#21153;\8-&#39044;&#20915;&#31639;&#20844;&#24320;\2019&#24180;&#20915;&#31639;&#20844;&#24320;\3-2019&#20915;&#31639;&#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4037;&#20316;&#22791;&#20221;\&#35686;&#21153;&#20445;&#38556;&#22788;\1-&#36130;&#21153;\8-&#39044;&#20915;&#31639;&#20844;&#24320;\2019&#24180;&#20915;&#31639;&#20844;&#24320;\3-2019&#20915;&#31639;&#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4037;&#20316;&#22791;&#20221;\&#35686;&#21153;&#20445;&#38556;&#22788;\1-&#36130;&#21153;\8-&#39044;&#20915;&#31639;&#20844;&#24320;\2019&#24180;&#20915;&#31639;&#20844;&#24320;\3-2019&#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财政拨款收、支决算总计变动情况</a:t>
            </a:r>
            <a:r>
              <a:rPr lang="zh-CN" altLang="zh-CN" sz="1800" b="1" i="0" u="none" strike="noStrike" baseline="0"/>
              <a:t> </a:t>
            </a:r>
            <a:endParaRPr lang="zh-CN" altLang="en-US"/>
          </a:p>
        </c:rich>
      </c:tx>
      <c:layout/>
      <c:overlay val="0"/>
    </c:title>
    <c:autoTitleDeleted val="0"/>
    <c:plotArea>
      <c:layout/>
      <c:barChart>
        <c:barDir val="col"/>
        <c:grouping val="clustered"/>
        <c:varyColors val="0"/>
        <c:ser>
          <c:idx val="0"/>
          <c:order val="0"/>
          <c:tx>
            <c:strRef>
              <c:f>Sheet1!$A$73</c:f>
              <c:strCache>
                <c:ptCount val="1"/>
                <c:pt idx="0">
                  <c:v>收支总计</c:v>
                </c:pt>
              </c:strCache>
            </c:strRef>
          </c:tx>
          <c:invertIfNegative val="0"/>
          <c:dPt>
            <c:idx val="1"/>
            <c:invertIfNegative val="0"/>
            <c:bubble3D val="0"/>
            <c:spPr>
              <a:solidFill>
                <a:schemeClr val="accent2"/>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Sheet1!$B$72:$C$72</c:f>
              <c:strCache>
                <c:ptCount val="2"/>
                <c:pt idx="0">
                  <c:v>2018年</c:v>
                </c:pt>
                <c:pt idx="1">
                  <c:v>2018年</c:v>
                </c:pt>
              </c:strCache>
            </c:strRef>
          </c:cat>
          <c:val>
            <c:numRef>
              <c:f>Sheet1!$B$73:$C$73</c:f>
              <c:numCache>
                <c:formatCode>#,##0.00</c:formatCode>
                <c:ptCount val="2"/>
                <c:pt idx="0">
                  <c:v>31299.65</c:v>
                </c:pt>
                <c:pt idx="1">
                  <c:v>32546.74</c:v>
                </c:pt>
              </c:numCache>
            </c:numRef>
          </c:val>
        </c:ser>
        <c:dLbls>
          <c:showLegendKey val="0"/>
          <c:showVal val="1"/>
          <c:showCatName val="0"/>
          <c:showSerName val="0"/>
          <c:showPercent val="0"/>
          <c:showBubbleSize val="0"/>
        </c:dLbls>
        <c:gapWidth val="150"/>
        <c:axId val="155988352"/>
        <c:axId val="156035712"/>
      </c:barChart>
      <c:catAx>
        <c:axId val="155988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6035712"/>
        <c:crosses val="autoZero"/>
        <c:auto val="1"/>
        <c:lblAlgn val="ctr"/>
        <c:lblOffset val="100"/>
        <c:noMultiLvlLbl val="0"/>
      </c:catAx>
      <c:valAx>
        <c:axId val="156035712"/>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5988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一般公共预算财政拨款支出决算变动情况</a:t>
            </a:r>
            <a:r>
              <a:rPr lang="zh-CN" altLang="zh-CN" sz="1800" b="1" i="0" u="none" strike="noStrike" baseline="0"/>
              <a:t> </a:t>
            </a:r>
            <a:endParaRPr lang="zh-CN" altLang="en-US"/>
          </a:p>
        </c:rich>
      </c:tx>
      <c:layout/>
      <c:overlay val="0"/>
    </c:title>
    <c:autoTitleDeleted val="0"/>
    <c:plotArea>
      <c:layout/>
      <c:barChart>
        <c:barDir val="col"/>
        <c:grouping val="clustered"/>
        <c:varyColors val="0"/>
        <c:ser>
          <c:idx val="0"/>
          <c:order val="0"/>
          <c:tx>
            <c:strRef>
              <c:f>Sheet1!$A$98</c:f>
              <c:strCache>
                <c:ptCount val="1"/>
                <c:pt idx="0">
                  <c:v>收支总计</c:v>
                </c:pt>
              </c:strCache>
            </c:strRef>
          </c:tx>
          <c:invertIfNegative val="0"/>
          <c:dPt>
            <c:idx val="1"/>
            <c:invertIfNegative val="0"/>
            <c:bubble3D val="0"/>
            <c:spPr>
              <a:solidFill>
                <a:schemeClr val="accent2"/>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Sheet1!$B$97:$C$97</c:f>
              <c:strCache>
                <c:ptCount val="2"/>
                <c:pt idx="0">
                  <c:v>2018年</c:v>
                </c:pt>
                <c:pt idx="1">
                  <c:v>2019年</c:v>
                </c:pt>
              </c:strCache>
            </c:strRef>
          </c:cat>
          <c:val>
            <c:numRef>
              <c:f>Sheet1!$B$98:$C$98</c:f>
              <c:numCache>
                <c:formatCode>#,##0.00</c:formatCode>
                <c:ptCount val="2"/>
                <c:pt idx="0">
                  <c:v>26646.02</c:v>
                </c:pt>
                <c:pt idx="1">
                  <c:v>28272.49</c:v>
                </c:pt>
              </c:numCache>
            </c:numRef>
          </c:val>
        </c:ser>
        <c:dLbls>
          <c:showLegendKey val="0"/>
          <c:showVal val="1"/>
          <c:showCatName val="0"/>
          <c:showSerName val="0"/>
          <c:showPercent val="0"/>
          <c:showBubbleSize val="0"/>
        </c:dLbls>
        <c:gapWidth val="150"/>
        <c:axId val="167914112"/>
        <c:axId val="206446976"/>
      </c:barChart>
      <c:catAx>
        <c:axId val="167914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6446976"/>
        <c:crosses val="autoZero"/>
        <c:auto val="1"/>
        <c:lblAlgn val="ctr"/>
        <c:lblOffset val="100"/>
        <c:noMultiLvlLbl val="0"/>
      </c:catAx>
      <c:valAx>
        <c:axId val="20644697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141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“三公”经费财政拨款支出结构</a:t>
            </a:r>
            <a:r>
              <a:rPr lang="zh-CN" altLang="zh-CN" sz="1800" b="1" i="0" u="none" strike="noStrike" baseline="0"/>
              <a:t> </a:t>
            </a:r>
            <a:endParaRPr lang="zh-CN" altLang="en-US"/>
          </a:p>
        </c:rich>
      </c:tx>
      <c:layout/>
      <c:overlay val="0"/>
    </c:title>
    <c:autoTitleDeleted val="0"/>
    <c:plotArea>
      <c:layout/>
      <c:pieChart>
        <c:varyColors val="1"/>
        <c:ser>
          <c:idx val="0"/>
          <c:order val="0"/>
          <c:tx>
            <c:strRef>
              <c:f>Sheet1!$A$148</c:f>
              <c:strCache>
                <c:ptCount val="1"/>
                <c:pt idx="0">
                  <c:v>三公经费</c:v>
                </c:pt>
              </c:strCache>
            </c:strRef>
          </c:tx>
          <c:explosion val="0"/>
          <c:dPt>
            <c:idx val="0"/>
            <c:bubble3D val="0"/>
          </c:dPt>
          <c:dPt>
            <c:idx val="1"/>
            <c:bubble3D val="0"/>
          </c:dPt>
          <c:dPt>
            <c:idx val="2"/>
            <c:bubble3D val="0"/>
          </c:dPt>
          <c:dLbls>
            <c:dLbl>
              <c:idx val="0"/>
              <c:layout>
                <c:manualLayout>
                  <c:x val="-0.0621751968503938"/>
                  <c:y val="-0.008781714785651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78842957130359"/>
                  <c:y val="-0.02281022163896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Sheet1!$B$147:$D$147</c:f>
              <c:strCache>
                <c:ptCount val="3"/>
                <c:pt idx="0">
                  <c:v>因公出国（境）费</c:v>
                </c:pt>
                <c:pt idx="1">
                  <c:v>公务用车购置及运行维护费</c:v>
                </c:pt>
                <c:pt idx="2">
                  <c:v>公务接待费</c:v>
                </c:pt>
              </c:strCache>
            </c:strRef>
          </c:cat>
          <c:val>
            <c:numRef>
              <c:f>Sheet1!$B$148:$D$148</c:f>
              <c:numCache>
                <c:formatCode>General</c:formatCode>
                <c:ptCount val="3"/>
                <c:pt idx="0">
                  <c:v>0</c:v>
                </c:pt>
                <c:pt idx="1" c:formatCode="0.00%">
                  <c:v>0.991499999999999</c:v>
                </c:pt>
                <c:pt idx="2" c:formatCode="0.00%">
                  <c:v>0.0085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6BC70-F0E5-4137-B7B7-E697CE55958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2806</Words>
  <Characters>15996</Characters>
  <Lines>133</Lines>
  <Paragraphs>37</Paragraphs>
  <TotalTime>329</TotalTime>
  <ScaleCrop>false</ScaleCrop>
  <LinksUpToDate>false</LinksUpToDate>
  <CharactersWithSpaces>18765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2020-09-17T08:53:00Z</dcterms:created>
  <dc:creator>曹颖</dc:creator>
  <cp:lastModifiedBy>QBZX</cp:lastModifiedBy>
  <cp:lastPrinted>2020-07-23T02:58:00Z</cp:lastPrinted>
  <dcterms:modified xsi:type="dcterms:W3CDTF">2022-01-18T01:38:39Z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4E1AD074A91341109411FD790962469E</vt:lpwstr>
  </property>
</Properties>
</file>