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9625092"/>
      <w:bookmarkStart w:id="4" w:name="_Toc15396475"/>
      <w:bookmarkStart w:id="5" w:name="_Toc15377425"/>
      <w:bookmarkStart w:id="6" w:name="_Toc15378441"/>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77426"/>
      <w:bookmarkStart w:id="8" w:name="_Toc15377194"/>
      <w:bookmarkStart w:id="9" w:name="_Toc15396476"/>
      <w:bookmarkStart w:id="10" w:name="_Toc15378442"/>
      <w:bookmarkStart w:id="11" w:name="_Toc19625093"/>
      <w:bookmarkStart w:id="12" w:name="_Toc15396598"/>
      <w:r>
        <w:rPr>
          <w:rFonts w:hint="eastAsia" w:ascii="方正小标宋简体" w:hAnsi="宋体" w:eastAsia="方正小标宋简体"/>
          <w:color w:val="000000"/>
          <w:sz w:val="72"/>
          <w:szCs w:val="72"/>
        </w:rPr>
        <w:t>遂宁市</w:t>
      </w:r>
      <w:bookmarkEnd w:id="0"/>
      <w:bookmarkStart w:id="13" w:name="_Toc15306268"/>
      <w:r>
        <w:rPr>
          <w:rFonts w:hint="eastAsia" w:ascii="方正小标宋简体" w:hAnsi="宋体" w:eastAsia="方正小标宋简体"/>
          <w:color w:val="000000"/>
          <w:sz w:val="72"/>
          <w:szCs w:val="72"/>
        </w:rPr>
        <w:t>公安局部门决算</w:t>
      </w:r>
      <w:bookmarkEnd w:id="7"/>
      <w:bookmarkEnd w:id="8"/>
      <w:bookmarkEnd w:id="9"/>
      <w:bookmarkEnd w:id="10"/>
      <w:bookmarkEnd w:id="11"/>
      <w:bookmarkEnd w:id="12"/>
      <w:bookmarkEnd w:id="13"/>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rPr>
          <w:rStyle w:val="15"/>
          <w:rFonts w:hint="eastAsia"/>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rPr>
          <w:rStyle w:val="15"/>
          <w:rFonts w:hint="eastAsia"/>
        </w:rPr>
      </w:pPr>
    </w:p>
    <w:p>
      <w:pPr>
        <w:pStyle w:val="10"/>
        <w:rPr>
          <w:sz w:val="21"/>
          <w:szCs w:val="22"/>
        </w:rPr>
      </w:pPr>
      <w:r>
        <w:fldChar w:fldCharType="begin"/>
      </w:r>
      <w:r>
        <w:instrText xml:space="preserve"> HYPERLINK \l "_Toc19625094" </w:instrText>
      </w:r>
      <w:r>
        <w:fldChar w:fldCharType="separate"/>
      </w:r>
      <w:r>
        <w:rPr>
          <w:rStyle w:val="15"/>
          <w:rFonts w:hint="eastAsia"/>
        </w:rPr>
        <w:t>第一部分</w:t>
      </w:r>
      <w:r>
        <w:rPr>
          <w:rStyle w:val="15"/>
        </w:rPr>
        <w:t xml:space="preserve"> </w:t>
      </w:r>
      <w:r>
        <w:rPr>
          <w:rStyle w:val="15"/>
          <w:rFonts w:hint="eastAsia"/>
        </w:rPr>
        <w:t>部门概况</w:t>
      </w:r>
      <w:r>
        <w:tab/>
      </w:r>
      <w:r>
        <w:fldChar w:fldCharType="begin"/>
      </w:r>
      <w:r>
        <w:instrText xml:space="preserve"> PAGEREF _Toc19625094 \h </w:instrText>
      </w:r>
      <w:r>
        <w:fldChar w:fldCharType="separate"/>
      </w:r>
      <w:r>
        <w:t>4</w:t>
      </w:r>
      <w:r>
        <w:fldChar w:fldCharType="end"/>
      </w:r>
      <w:r>
        <w:fldChar w:fldCharType="end"/>
      </w:r>
    </w:p>
    <w:p>
      <w:pPr>
        <w:pStyle w:val="11"/>
        <w:rPr>
          <w:sz w:val="21"/>
          <w:szCs w:val="22"/>
        </w:rPr>
      </w:pPr>
      <w:r>
        <w:fldChar w:fldCharType="begin"/>
      </w:r>
      <w:r>
        <w:instrText xml:space="preserve"> HYPERLINK \l "_Toc19625095" </w:instrText>
      </w:r>
      <w:r>
        <w:fldChar w:fldCharType="separate"/>
      </w:r>
      <w:r>
        <w:rPr>
          <w:rStyle w:val="15"/>
          <w:rFonts w:hint="eastAsia"/>
        </w:rPr>
        <w:t>一、基本职能及主要工作</w:t>
      </w:r>
      <w:r>
        <w:tab/>
      </w:r>
      <w:r>
        <w:fldChar w:fldCharType="begin"/>
      </w:r>
      <w:r>
        <w:instrText xml:space="preserve"> PAGEREF _Toc19625095 \h </w:instrText>
      </w:r>
      <w:r>
        <w:fldChar w:fldCharType="separate"/>
      </w:r>
      <w:r>
        <w:t>4</w:t>
      </w:r>
      <w:r>
        <w:fldChar w:fldCharType="end"/>
      </w:r>
      <w:r>
        <w:fldChar w:fldCharType="end"/>
      </w:r>
    </w:p>
    <w:p>
      <w:pPr>
        <w:pStyle w:val="11"/>
        <w:rPr>
          <w:sz w:val="21"/>
          <w:szCs w:val="22"/>
        </w:rPr>
      </w:pPr>
      <w:r>
        <w:fldChar w:fldCharType="begin"/>
      </w:r>
      <w:r>
        <w:instrText xml:space="preserve"> HYPERLINK \l "_Toc19625096" </w:instrText>
      </w:r>
      <w:r>
        <w:fldChar w:fldCharType="separate"/>
      </w:r>
      <w:r>
        <w:rPr>
          <w:rStyle w:val="15"/>
          <w:rFonts w:hint="eastAsia"/>
        </w:rPr>
        <w:t>二、机构设置</w:t>
      </w:r>
      <w:r>
        <w:tab/>
      </w:r>
      <w:r>
        <w:fldChar w:fldCharType="begin"/>
      </w:r>
      <w:r>
        <w:instrText xml:space="preserve"> PAGEREF _Toc19625096 \h </w:instrText>
      </w:r>
      <w:r>
        <w:fldChar w:fldCharType="separate"/>
      </w:r>
      <w:r>
        <w:t>5</w:t>
      </w:r>
      <w:r>
        <w:fldChar w:fldCharType="end"/>
      </w:r>
      <w:r>
        <w:fldChar w:fldCharType="end"/>
      </w:r>
    </w:p>
    <w:p>
      <w:pPr>
        <w:pStyle w:val="10"/>
        <w:rPr>
          <w:sz w:val="21"/>
          <w:szCs w:val="22"/>
        </w:rPr>
      </w:pPr>
      <w:r>
        <w:fldChar w:fldCharType="begin"/>
      </w:r>
      <w:r>
        <w:instrText xml:space="preserve"> HYPERLINK \l "_Toc19625097" </w:instrText>
      </w:r>
      <w:r>
        <w:fldChar w:fldCharType="separate"/>
      </w:r>
      <w:r>
        <w:rPr>
          <w:rStyle w:val="15"/>
          <w:rFonts w:hint="eastAsia"/>
        </w:rPr>
        <w:t>第二部分</w:t>
      </w:r>
      <w:r>
        <w:rPr>
          <w:rStyle w:val="15"/>
        </w:rPr>
        <w:t>2018</w:t>
      </w:r>
      <w:r>
        <w:rPr>
          <w:rStyle w:val="15"/>
          <w:rFonts w:hint="eastAsia"/>
        </w:rPr>
        <w:t>年度部门决算情况说明</w:t>
      </w:r>
      <w:r>
        <w:tab/>
      </w:r>
      <w:r>
        <w:fldChar w:fldCharType="begin"/>
      </w:r>
      <w:r>
        <w:instrText xml:space="preserve"> PAGEREF _Toc19625097 \h </w:instrText>
      </w:r>
      <w:r>
        <w:fldChar w:fldCharType="separate"/>
      </w:r>
      <w:r>
        <w:t>6</w:t>
      </w:r>
      <w:r>
        <w:fldChar w:fldCharType="end"/>
      </w:r>
      <w:r>
        <w:fldChar w:fldCharType="end"/>
      </w:r>
    </w:p>
    <w:p>
      <w:pPr>
        <w:pStyle w:val="11"/>
        <w:tabs>
          <w:tab w:val="left" w:pos="1260"/>
        </w:tabs>
        <w:rPr>
          <w:sz w:val="21"/>
          <w:szCs w:val="22"/>
        </w:rPr>
      </w:pPr>
      <w:r>
        <w:fldChar w:fldCharType="begin"/>
      </w:r>
      <w:r>
        <w:instrText xml:space="preserve"> HYPERLINK \l "_Toc19625098" </w:instrText>
      </w:r>
      <w:r>
        <w:fldChar w:fldCharType="separate"/>
      </w:r>
      <w:r>
        <w:rPr>
          <w:rStyle w:val="15"/>
          <w:rFonts w:hint="eastAsia"/>
          <w:bCs/>
        </w:rPr>
        <w:t>一、</w:t>
      </w:r>
      <w:r>
        <w:rPr>
          <w:sz w:val="21"/>
          <w:szCs w:val="22"/>
        </w:rPr>
        <w:tab/>
      </w:r>
      <w:r>
        <w:rPr>
          <w:rStyle w:val="15"/>
          <w:rFonts w:hint="eastAsia"/>
        </w:rPr>
        <w:t>收</w:t>
      </w:r>
      <w:r>
        <w:rPr>
          <w:rStyle w:val="15"/>
          <w:rFonts w:hint="eastAsia"/>
          <w:bCs/>
        </w:rPr>
        <w:t>入支出决算总体情况说明</w:t>
      </w:r>
      <w:r>
        <w:tab/>
      </w:r>
      <w:r>
        <w:fldChar w:fldCharType="begin"/>
      </w:r>
      <w:r>
        <w:instrText xml:space="preserve"> PAGEREF _Toc19625098 \h </w:instrText>
      </w:r>
      <w:r>
        <w:fldChar w:fldCharType="separate"/>
      </w:r>
      <w:r>
        <w:t>6</w:t>
      </w:r>
      <w:r>
        <w:fldChar w:fldCharType="end"/>
      </w:r>
      <w:r>
        <w:fldChar w:fldCharType="end"/>
      </w:r>
    </w:p>
    <w:p>
      <w:pPr>
        <w:pStyle w:val="11"/>
        <w:tabs>
          <w:tab w:val="left" w:pos="1260"/>
        </w:tabs>
        <w:rPr>
          <w:sz w:val="21"/>
          <w:szCs w:val="22"/>
        </w:rPr>
      </w:pPr>
      <w:r>
        <w:fldChar w:fldCharType="begin"/>
      </w:r>
      <w:r>
        <w:instrText xml:space="preserve"> HYPERLINK \l "_Toc19625099" </w:instrText>
      </w:r>
      <w:r>
        <w:fldChar w:fldCharType="separate"/>
      </w:r>
      <w:r>
        <w:rPr>
          <w:rStyle w:val="15"/>
          <w:rFonts w:hint="eastAsia"/>
          <w:bCs/>
        </w:rPr>
        <w:t>二、</w:t>
      </w:r>
      <w:r>
        <w:rPr>
          <w:sz w:val="21"/>
          <w:szCs w:val="22"/>
        </w:rPr>
        <w:tab/>
      </w:r>
      <w:r>
        <w:rPr>
          <w:rStyle w:val="15"/>
          <w:rFonts w:hint="eastAsia"/>
        </w:rPr>
        <w:t>收</w:t>
      </w:r>
      <w:r>
        <w:rPr>
          <w:rStyle w:val="15"/>
          <w:rFonts w:hint="eastAsia"/>
          <w:bCs/>
        </w:rPr>
        <w:t>入决算情况说明</w:t>
      </w:r>
      <w:r>
        <w:tab/>
      </w:r>
      <w:r>
        <w:fldChar w:fldCharType="begin"/>
      </w:r>
      <w:r>
        <w:instrText xml:space="preserve"> PAGEREF _Toc19625099 \h </w:instrText>
      </w:r>
      <w:r>
        <w:fldChar w:fldCharType="separate"/>
      </w:r>
      <w:r>
        <w:t>6</w:t>
      </w:r>
      <w:r>
        <w:fldChar w:fldCharType="end"/>
      </w:r>
      <w:r>
        <w:fldChar w:fldCharType="end"/>
      </w:r>
    </w:p>
    <w:p>
      <w:pPr>
        <w:pStyle w:val="11"/>
        <w:tabs>
          <w:tab w:val="left" w:pos="1260"/>
        </w:tabs>
        <w:rPr>
          <w:sz w:val="21"/>
          <w:szCs w:val="22"/>
        </w:rPr>
      </w:pPr>
      <w:r>
        <w:fldChar w:fldCharType="begin"/>
      </w:r>
      <w:r>
        <w:instrText xml:space="preserve"> HYPERLINK \l "_Toc19625101" </w:instrText>
      </w:r>
      <w:r>
        <w:fldChar w:fldCharType="separate"/>
      </w:r>
      <w:r>
        <w:rPr>
          <w:rStyle w:val="15"/>
          <w:rFonts w:hint="eastAsia"/>
          <w:bCs/>
        </w:rPr>
        <w:t>三、</w:t>
      </w:r>
      <w:r>
        <w:rPr>
          <w:sz w:val="21"/>
          <w:szCs w:val="22"/>
        </w:rPr>
        <w:tab/>
      </w:r>
      <w:r>
        <w:rPr>
          <w:rStyle w:val="15"/>
          <w:rFonts w:hint="eastAsia"/>
        </w:rPr>
        <w:t>支</w:t>
      </w:r>
      <w:r>
        <w:rPr>
          <w:rStyle w:val="15"/>
          <w:rFonts w:hint="eastAsia"/>
          <w:bCs/>
        </w:rPr>
        <w:t>出决算情况说明</w:t>
      </w:r>
      <w:r>
        <w:tab/>
      </w:r>
      <w:r>
        <w:fldChar w:fldCharType="begin"/>
      </w:r>
      <w:r>
        <w:instrText xml:space="preserve"> PAGEREF _Toc19625101 \h </w:instrText>
      </w:r>
      <w:r>
        <w:fldChar w:fldCharType="separate"/>
      </w:r>
      <w:r>
        <w:t>7</w:t>
      </w:r>
      <w:r>
        <w:fldChar w:fldCharType="end"/>
      </w:r>
      <w:r>
        <w:fldChar w:fldCharType="end"/>
      </w:r>
    </w:p>
    <w:p>
      <w:pPr>
        <w:pStyle w:val="11"/>
        <w:rPr>
          <w:sz w:val="21"/>
          <w:szCs w:val="22"/>
        </w:rPr>
      </w:pPr>
      <w:r>
        <w:fldChar w:fldCharType="begin"/>
      </w:r>
      <w:r>
        <w:instrText xml:space="preserve"> HYPERLINK \l "_Toc19625102" </w:instrText>
      </w:r>
      <w:r>
        <w:fldChar w:fldCharType="separate"/>
      </w:r>
      <w:r>
        <w:rPr>
          <w:rStyle w:val="15"/>
          <w:rFonts w:hint="eastAsia"/>
        </w:rPr>
        <w:t>四、财</w:t>
      </w:r>
      <w:r>
        <w:rPr>
          <w:rStyle w:val="15"/>
          <w:rFonts w:hint="eastAsia"/>
          <w:bCs/>
        </w:rPr>
        <w:t>政拨款收入支出决算总体情况说明</w:t>
      </w:r>
      <w:r>
        <w:tab/>
      </w:r>
      <w:r>
        <w:fldChar w:fldCharType="begin"/>
      </w:r>
      <w:r>
        <w:instrText xml:space="preserve"> PAGEREF _Toc19625102 \h </w:instrText>
      </w:r>
      <w:r>
        <w:fldChar w:fldCharType="separate"/>
      </w:r>
      <w:r>
        <w:t>7</w:t>
      </w:r>
      <w:r>
        <w:fldChar w:fldCharType="end"/>
      </w:r>
      <w:r>
        <w:fldChar w:fldCharType="end"/>
      </w:r>
    </w:p>
    <w:p>
      <w:pPr>
        <w:pStyle w:val="11"/>
        <w:rPr>
          <w:sz w:val="21"/>
          <w:szCs w:val="22"/>
        </w:rPr>
      </w:pPr>
      <w:r>
        <w:fldChar w:fldCharType="begin"/>
      </w:r>
      <w:r>
        <w:instrText xml:space="preserve"> HYPERLINK \l "_Toc19625103" </w:instrText>
      </w:r>
      <w:r>
        <w:fldChar w:fldCharType="separate"/>
      </w:r>
      <w:r>
        <w:rPr>
          <w:rStyle w:val="15"/>
          <w:rFonts w:hint="eastAsia"/>
        </w:rPr>
        <w:t>五、</w:t>
      </w:r>
      <w:r>
        <w:rPr>
          <w:rStyle w:val="15"/>
          <w:rFonts w:hint="eastAsia"/>
          <w:b/>
        </w:rPr>
        <w:t>一</w:t>
      </w:r>
      <w:r>
        <w:rPr>
          <w:rStyle w:val="15"/>
          <w:rFonts w:hint="eastAsia"/>
          <w:bCs/>
        </w:rPr>
        <w:t>般公共预算财政拨款支出决算情况说明</w:t>
      </w:r>
      <w:r>
        <w:tab/>
      </w:r>
      <w:r>
        <w:fldChar w:fldCharType="begin"/>
      </w:r>
      <w:r>
        <w:instrText xml:space="preserve"> PAGEREF _Toc19625103 \h </w:instrText>
      </w:r>
      <w:r>
        <w:fldChar w:fldCharType="separate"/>
      </w:r>
      <w:r>
        <w:t>8</w:t>
      </w:r>
      <w:r>
        <w:fldChar w:fldCharType="end"/>
      </w:r>
      <w:r>
        <w:fldChar w:fldCharType="end"/>
      </w:r>
    </w:p>
    <w:p>
      <w:pPr>
        <w:pStyle w:val="11"/>
        <w:rPr>
          <w:sz w:val="21"/>
          <w:szCs w:val="22"/>
        </w:rPr>
      </w:pPr>
      <w:r>
        <w:fldChar w:fldCharType="begin"/>
      </w:r>
      <w:r>
        <w:instrText xml:space="preserve"> HYPERLINK \l "_Toc19625104" </w:instrText>
      </w:r>
      <w:r>
        <w:fldChar w:fldCharType="separate"/>
      </w:r>
      <w:r>
        <w:rPr>
          <w:rStyle w:val="15"/>
          <w:rFonts w:hint="eastAsia"/>
        </w:rPr>
        <w:t>六</w:t>
      </w:r>
      <w:r>
        <w:rPr>
          <w:rStyle w:val="15"/>
          <w:rFonts w:hint="eastAsia"/>
          <w:b/>
        </w:rPr>
        <w:t>、一</w:t>
      </w:r>
      <w:r>
        <w:rPr>
          <w:rStyle w:val="15"/>
          <w:rFonts w:hint="eastAsia"/>
          <w:bCs/>
        </w:rPr>
        <w:t>般公共预算财政拨款基本支出决算情况说明</w:t>
      </w:r>
      <w:r>
        <w:tab/>
      </w:r>
      <w:r>
        <w:fldChar w:fldCharType="begin"/>
      </w:r>
      <w:r>
        <w:instrText xml:space="preserve"> PAGEREF _Toc19625104 \h </w:instrText>
      </w:r>
      <w:r>
        <w:fldChar w:fldCharType="separate"/>
      </w:r>
      <w:r>
        <w:t>12</w:t>
      </w:r>
      <w:r>
        <w:fldChar w:fldCharType="end"/>
      </w:r>
      <w:r>
        <w:fldChar w:fldCharType="end"/>
      </w:r>
    </w:p>
    <w:p>
      <w:pPr>
        <w:pStyle w:val="11"/>
        <w:rPr>
          <w:sz w:val="21"/>
          <w:szCs w:val="22"/>
        </w:rPr>
      </w:pPr>
      <w:r>
        <w:fldChar w:fldCharType="begin"/>
      </w:r>
      <w:r>
        <w:instrText xml:space="preserve"> HYPERLINK \l "_Toc19625105" </w:instrText>
      </w:r>
      <w:r>
        <w:fldChar w:fldCharType="separate"/>
      </w:r>
      <w:r>
        <w:rPr>
          <w:rStyle w:val="15"/>
          <w:rFonts w:hint="eastAsia"/>
        </w:rPr>
        <w:t>七、</w:t>
      </w:r>
      <w:r>
        <w:rPr>
          <w:rStyle w:val="15"/>
          <w:b/>
          <w:bCs/>
        </w:rPr>
        <w:t>“</w:t>
      </w:r>
      <w:r>
        <w:rPr>
          <w:rStyle w:val="15"/>
          <w:rFonts w:hint="eastAsia"/>
          <w:bCs/>
        </w:rPr>
        <w:t>三公”经费财政拨款支出决算情况说明</w:t>
      </w:r>
      <w:r>
        <w:tab/>
      </w:r>
      <w:r>
        <w:fldChar w:fldCharType="begin"/>
      </w:r>
      <w:r>
        <w:instrText xml:space="preserve"> PAGEREF _Toc19625105 \h </w:instrText>
      </w:r>
      <w:r>
        <w:fldChar w:fldCharType="separate"/>
      </w:r>
      <w:r>
        <w:t>13</w:t>
      </w:r>
      <w:r>
        <w:fldChar w:fldCharType="end"/>
      </w:r>
      <w:r>
        <w:fldChar w:fldCharType="end"/>
      </w:r>
    </w:p>
    <w:p>
      <w:pPr>
        <w:pStyle w:val="11"/>
        <w:rPr>
          <w:sz w:val="21"/>
          <w:szCs w:val="22"/>
        </w:rPr>
      </w:pPr>
      <w:r>
        <w:fldChar w:fldCharType="begin"/>
      </w:r>
      <w:r>
        <w:instrText xml:space="preserve"> HYPERLINK \l "_Toc19625106" </w:instrText>
      </w:r>
      <w:r>
        <w:fldChar w:fldCharType="separate"/>
      </w:r>
      <w:r>
        <w:rPr>
          <w:rStyle w:val="15"/>
          <w:rFonts w:hint="eastAsia"/>
        </w:rPr>
        <w:t>八、</w:t>
      </w:r>
      <w:r>
        <w:rPr>
          <w:rStyle w:val="15"/>
          <w:rFonts w:hint="eastAsia"/>
          <w:bCs/>
        </w:rPr>
        <w:t>政府性基金预算支出决算情况说明</w:t>
      </w:r>
      <w:r>
        <w:tab/>
      </w:r>
      <w:r>
        <w:fldChar w:fldCharType="begin"/>
      </w:r>
      <w:r>
        <w:instrText xml:space="preserve"> PAGEREF _Toc19625106 \h </w:instrText>
      </w:r>
      <w:r>
        <w:fldChar w:fldCharType="separate"/>
      </w:r>
      <w:r>
        <w:t>15</w:t>
      </w:r>
      <w:r>
        <w:fldChar w:fldCharType="end"/>
      </w:r>
      <w:r>
        <w:fldChar w:fldCharType="end"/>
      </w:r>
    </w:p>
    <w:p>
      <w:pPr>
        <w:pStyle w:val="11"/>
        <w:rPr>
          <w:sz w:val="21"/>
          <w:szCs w:val="22"/>
        </w:rPr>
      </w:pPr>
      <w:r>
        <w:fldChar w:fldCharType="begin"/>
      </w:r>
      <w:r>
        <w:instrText xml:space="preserve"> HYPERLINK \l "_Toc19625107" </w:instrText>
      </w:r>
      <w:r>
        <w:fldChar w:fldCharType="separate"/>
      </w:r>
      <w:r>
        <w:rPr>
          <w:rStyle w:val="15"/>
          <w:rFonts w:hint="eastAsia"/>
          <w:bCs/>
        </w:rPr>
        <w:t>九、 国有资本经营预算支出决算情况说明</w:t>
      </w:r>
      <w:r>
        <w:tab/>
      </w:r>
      <w:r>
        <w:fldChar w:fldCharType="begin"/>
      </w:r>
      <w:r>
        <w:instrText xml:space="preserve"> PAGEREF _Toc19625107 \h </w:instrText>
      </w:r>
      <w:r>
        <w:fldChar w:fldCharType="separate"/>
      </w:r>
      <w:r>
        <w:t>15</w:t>
      </w:r>
      <w:r>
        <w:fldChar w:fldCharType="end"/>
      </w:r>
      <w:r>
        <w:fldChar w:fldCharType="end"/>
      </w:r>
    </w:p>
    <w:p>
      <w:pPr>
        <w:pStyle w:val="11"/>
        <w:rPr>
          <w:sz w:val="21"/>
          <w:szCs w:val="22"/>
        </w:rPr>
      </w:pPr>
      <w:r>
        <w:fldChar w:fldCharType="begin"/>
      </w:r>
      <w:r>
        <w:instrText xml:space="preserve"> HYPERLINK \l "_Toc19625108" </w:instrText>
      </w:r>
      <w:r>
        <w:fldChar w:fldCharType="separate"/>
      </w:r>
      <w:r>
        <w:rPr>
          <w:rStyle w:val="15"/>
          <w:rFonts w:hint="eastAsia"/>
        </w:rPr>
        <w:t>十、预算绩效情况说明</w:t>
      </w:r>
      <w:r>
        <w:tab/>
      </w:r>
      <w:r>
        <w:fldChar w:fldCharType="begin"/>
      </w:r>
      <w:r>
        <w:instrText xml:space="preserve"> PAGEREF _Toc19625108 \h </w:instrText>
      </w:r>
      <w:r>
        <w:fldChar w:fldCharType="separate"/>
      </w:r>
      <w:r>
        <w:t>15</w:t>
      </w:r>
      <w:r>
        <w:fldChar w:fldCharType="end"/>
      </w:r>
      <w:r>
        <w:fldChar w:fldCharType="end"/>
      </w:r>
    </w:p>
    <w:p>
      <w:pPr>
        <w:pStyle w:val="11"/>
        <w:rPr>
          <w:sz w:val="21"/>
          <w:szCs w:val="22"/>
        </w:rPr>
      </w:pPr>
      <w:r>
        <w:fldChar w:fldCharType="begin"/>
      </w:r>
      <w:r>
        <w:instrText xml:space="preserve"> HYPERLINK \l "_Toc19625109" </w:instrText>
      </w:r>
      <w:r>
        <w:fldChar w:fldCharType="separate"/>
      </w:r>
      <w:r>
        <w:rPr>
          <w:rStyle w:val="15"/>
          <w:rFonts w:hint="eastAsia"/>
        </w:rPr>
        <w:t>十</w:t>
      </w:r>
      <w:r>
        <w:rPr>
          <w:rStyle w:val="15"/>
          <w:rFonts w:hint="eastAsia"/>
          <w:b/>
          <w:bCs/>
        </w:rPr>
        <w:t>一、</w:t>
      </w:r>
      <w:r>
        <w:rPr>
          <w:rStyle w:val="15"/>
          <w:rFonts w:hint="eastAsia"/>
          <w:bCs/>
        </w:rPr>
        <w:t>其他重要事项的情况说明</w:t>
      </w:r>
      <w:r>
        <w:tab/>
      </w:r>
      <w:r>
        <w:fldChar w:fldCharType="begin"/>
      </w:r>
      <w:r>
        <w:instrText xml:space="preserve"> PAGEREF _Toc19625109 \h </w:instrText>
      </w:r>
      <w:r>
        <w:fldChar w:fldCharType="separate"/>
      </w:r>
      <w:r>
        <w:t>24</w:t>
      </w:r>
      <w:r>
        <w:fldChar w:fldCharType="end"/>
      </w:r>
      <w:r>
        <w:fldChar w:fldCharType="end"/>
      </w:r>
    </w:p>
    <w:p>
      <w:pPr>
        <w:pStyle w:val="10"/>
        <w:rPr>
          <w:sz w:val="21"/>
          <w:szCs w:val="22"/>
        </w:rPr>
      </w:pPr>
      <w:r>
        <w:fldChar w:fldCharType="begin"/>
      </w:r>
      <w:r>
        <w:instrText xml:space="preserve"> HYPERLINK \l "_Toc19625110" </w:instrText>
      </w:r>
      <w:r>
        <w:fldChar w:fldCharType="separate"/>
      </w:r>
      <w:r>
        <w:rPr>
          <w:rStyle w:val="15"/>
          <w:rFonts w:hint="eastAsia"/>
          <w:bCs/>
          <w:kern w:val="44"/>
        </w:rPr>
        <w:t>第三部分</w:t>
      </w:r>
      <w:r>
        <w:rPr>
          <w:rStyle w:val="15"/>
          <w:rFonts w:hint="eastAsia"/>
          <w:b/>
        </w:rPr>
        <w:t xml:space="preserve"> 名</w:t>
      </w:r>
      <w:r>
        <w:rPr>
          <w:rStyle w:val="15"/>
          <w:rFonts w:hint="eastAsia"/>
          <w:bCs/>
          <w:kern w:val="44"/>
        </w:rPr>
        <w:t>词解释</w:t>
      </w:r>
      <w:r>
        <w:tab/>
      </w:r>
      <w:r>
        <w:fldChar w:fldCharType="begin"/>
      </w:r>
      <w:r>
        <w:instrText xml:space="preserve"> PAGEREF _Toc19625110 \h </w:instrText>
      </w:r>
      <w:r>
        <w:fldChar w:fldCharType="separate"/>
      </w:r>
      <w:r>
        <w:t>25</w:t>
      </w:r>
      <w:r>
        <w:fldChar w:fldCharType="end"/>
      </w:r>
      <w:r>
        <w:fldChar w:fldCharType="end"/>
      </w:r>
    </w:p>
    <w:p>
      <w:pPr>
        <w:pStyle w:val="10"/>
        <w:rPr>
          <w:sz w:val="21"/>
          <w:szCs w:val="22"/>
        </w:rPr>
      </w:pPr>
      <w:r>
        <w:fldChar w:fldCharType="begin"/>
      </w:r>
      <w:r>
        <w:instrText xml:space="preserve"> HYPERLINK \l "_Toc19625111"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_Toc19625111 \h </w:instrText>
      </w:r>
      <w:r>
        <w:fldChar w:fldCharType="separate"/>
      </w:r>
      <w:r>
        <w:t>29</w:t>
      </w:r>
      <w:r>
        <w:fldChar w:fldCharType="end"/>
      </w:r>
      <w:r>
        <w:fldChar w:fldCharType="end"/>
      </w:r>
    </w:p>
    <w:p>
      <w:pPr>
        <w:pStyle w:val="10"/>
        <w:rPr>
          <w:sz w:val="21"/>
          <w:szCs w:val="22"/>
        </w:rPr>
      </w:pPr>
      <w:r>
        <w:fldChar w:fldCharType="begin"/>
      </w:r>
      <w:r>
        <w:instrText xml:space="preserve"> HYPERLINK \l "_Toc19625114"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_Toc19625114 \h </w:instrText>
      </w:r>
      <w:r>
        <w:fldChar w:fldCharType="separate"/>
      </w:r>
      <w:r>
        <w:t>36</w:t>
      </w:r>
      <w:r>
        <w:fldChar w:fldCharType="end"/>
      </w:r>
      <w:r>
        <w:fldChar w:fldCharType="end"/>
      </w:r>
    </w:p>
    <w:p>
      <w:pPr>
        <w:pStyle w:val="11"/>
        <w:rPr>
          <w:sz w:val="21"/>
          <w:szCs w:val="22"/>
        </w:rPr>
      </w:pPr>
      <w:r>
        <w:fldChar w:fldCharType="begin"/>
      </w:r>
      <w:r>
        <w:instrText xml:space="preserve"> HYPERLINK \l "_Toc19625115" </w:instrText>
      </w:r>
      <w:r>
        <w:fldChar w:fldCharType="separate"/>
      </w:r>
      <w:r>
        <w:rPr>
          <w:rStyle w:val="15"/>
          <w:rFonts w:hint="eastAsia"/>
        </w:rPr>
        <w:t>一、收入支出决算总表</w:t>
      </w:r>
      <w:r>
        <w:tab/>
      </w:r>
      <w:r>
        <w:fldChar w:fldCharType="begin"/>
      </w:r>
      <w:r>
        <w:instrText xml:space="preserve"> PAGEREF _Toc19625115 \h </w:instrText>
      </w:r>
      <w:r>
        <w:fldChar w:fldCharType="separate"/>
      </w:r>
      <w:r>
        <w:t>36</w:t>
      </w:r>
      <w:r>
        <w:fldChar w:fldCharType="end"/>
      </w:r>
      <w:r>
        <w:fldChar w:fldCharType="end"/>
      </w:r>
    </w:p>
    <w:p>
      <w:pPr>
        <w:pStyle w:val="11"/>
        <w:rPr>
          <w:sz w:val="21"/>
          <w:szCs w:val="22"/>
        </w:rPr>
      </w:pPr>
      <w:r>
        <w:fldChar w:fldCharType="begin"/>
      </w:r>
      <w:r>
        <w:instrText xml:space="preserve"> HYPERLINK \l "_Toc19625116" </w:instrText>
      </w:r>
      <w:r>
        <w:fldChar w:fldCharType="separate"/>
      </w:r>
      <w:r>
        <w:rPr>
          <w:rStyle w:val="15"/>
          <w:rFonts w:hint="eastAsia"/>
        </w:rPr>
        <w:t>二、收入总表</w:t>
      </w:r>
      <w:r>
        <w:tab/>
      </w:r>
      <w:r>
        <w:fldChar w:fldCharType="begin"/>
      </w:r>
      <w:r>
        <w:instrText xml:space="preserve"> PAGEREF _Toc19625116 \h </w:instrText>
      </w:r>
      <w:r>
        <w:fldChar w:fldCharType="separate"/>
      </w:r>
      <w:r>
        <w:t>36</w:t>
      </w:r>
      <w:r>
        <w:fldChar w:fldCharType="end"/>
      </w:r>
      <w:r>
        <w:fldChar w:fldCharType="end"/>
      </w:r>
    </w:p>
    <w:p>
      <w:pPr>
        <w:pStyle w:val="11"/>
        <w:rPr>
          <w:sz w:val="21"/>
          <w:szCs w:val="22"/>
        </w:rPr>
      </w:pPr>
      <w:r>
        <w:fldChar w:fldCharType="begin"/>
      </w:r>
      <w:r>
        <w:instrText xml:space="preserve"> HYPERLINK \l "_Toc19625117" </w:instrText>
      </w:r>
      <w:r>
        <w:fldChar w:fldCharType="separate"/>
      </w:r>
      <w:r>
        <w:rPr>
          <w:rStyle w:val="15"/>
          <w:rFonts w:hint="eastAsia"/>
        </w:rPr>
        <w:t>三、支出总表</w:t>
      </w:r>
      <w:r>
        <w:tab/>
      </w:r>
      <w:r>
        <w:fldChar w:fldCharType="begin"/>
      </w:r>
      <w:r>
        <w:instrText xml:space="preserve"> PAGEREF _Toc19625117 \h </w:instrText>
      </w:r>
      <w:r>
        <w:fldChar w:fldCharType="separate"/>
      </w:r>
      <w:r>
        <w:t>36</w:t>
      </w:r>
      <w:r>
        <w:fldChar w:fldCharType="end"/>
      </w:r>
      <w:r>
        <w:fldChar w:fldCharType="end"/>
      </w:r>
    </w:p>
    <w:p>
      <w:pPr>
        <w:pStyle w:val="11"/>
        <w:rPr>
          <w:sz w:val="21"/>
          <w:szCs w:val="22"/>
        </w:rPr>
      </w:pPr>
      <w:r>
        <w:fldChar w:fldCharType="begin"/>
      </w:r>
      <w:r>
        <w:instrText xml:space="preserve"> HYPERLINK \l "_Toc19625118" </w:instrText>
      </w:r>
      <w:r>
        <w:fldChar w:fldCharType="separate"/>
      </w:r>
      <w:r>
        <w:rPr>
          <w:rStyle w:val="15"/>
          <w:rFonts w:hint="eastAsia"/>
        </w:rPr>
        <w:t>四、财政拨款收入支出决算总表</w:t>
      </w:r>
      <w:r>
        <w:tab/>
      </w:r>
      <w:r>
        <w:fldChar w:fldCharType="begin"/>
      </w:r>
      <w:r>
        <w:instrText xml:space="preserve"> PAGEREF _Toc19625118 \h </w:instrText>
      </w:r>
      <w:r>
        <w:fldChar w:fldCharType="separate"/>
      </w:r>
      <w:r>
        <w:t>36</w:t>
      </w:r>
      <w:r>
        <w:fldChar w:fldCharType="end"/>
      </w:r>
      <w:r>
        <w:fldChar w:fldCharType="end"/>
      </w:r>
    </w:p>
    <w:p>
      <w:pPr>
        <w:pStyle w:val="11"/>
        <w:rPr>
          <w:sz w:val="21"/>
          <w:szCs w:val="22"/>
        </w:rPr>
      </w:pPr>
      <w:r>
        <w:fldChar w:fldCharType="begin"/>
      </w:r>
      <w:r>
        <w:instrText xml:space="preserve"> HYPERLINK \l "_Toc19625119" </w:instrText>
      </w:r>
      <w:r>
        <w:fldChar w:fldCharType="separate"/>
      </w:r>
      <w:r>
        <w:rPr>
          <w:rStyle w:val="15"/>
          <w:rFonts w:hint="eastAsia"/>
        </w:rPr>
        <w:t>五、财政拨款支出决算明细表（政府经济分类科目）</w:t>
      </w:r>
      <w:r>
        <w:tab/>
      </w:r>
      <w:r>
        <w:fldChar w:fldCharType="begin"/>
      </w:r>
      <w:r>
        <w:instrText xml:space="preserve"> PAGEREF _Toc19625119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"_Toc19625120" </w:instrText>
      </w:r>
      <w:r>
        <w:fldChar w:fldCharType="separate"/>
      </w:r>
      <w:r>
        <w:rPr>
          <w:rStyle w:val="15"/>
          <w:rFonts w:hint="eastAsia"/>
        </w:rPr>
        <w:t>六、一般公共预算财政拨款支出决算表</w:t>
      </w:r>
      <w:r>
        <w:tab/>
      </w:r>
      <w:r>
        <w:fldChar w:fldCharType="begin"/>
      </w:r>
      <w:r>
        <w:instrText xml:space="preserve"> PAGEREF _Toc19625120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"_Toc19625121" </w:instrText>
      </w:r>
      <w:r>
        <w:fldChar w:fldCharType="separate"/>
      </w:r>
      <w:r>
        <w:rPr>
          <w:rStyle w:val="15"/>
          <w:rFonts w:hint="eastAsia"/>
        </w:rPr>
        <w:t>七、一般公共预算财政拨款支出决算明细表</w:t>
      </w:r>
      <w:r>
        <w:tab/>
      </w:r>
      <w:r>
        <w:fldChar w:fldCharType="begin"/>
      </w:r>
      <w:r>
        <w:instrText xml:space="preserve"> PAGEREF _Toc19625121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"_Toc19625122" </w:instrText>
      </w:r>
      <w:r>
        <w:fldChar w:fldCharType="separate"/>
      </w:r>
      <w:r>
        <w:rPr>
          <w:rStyle w:val="15"/>
          <w:rFonts w:hint="eastAsia"/>
        </w:rPr>
        <w:t>八、一般公共预算财政拨款基本支出决算表</w:t>
      </w:r>
      <w:r>
        <w:tab/>
      </w:r>
      <w:r>
        <w:fldChar w:fldCharType="begin"/>
      </w:r>
      <w:r>
        <w:instrText xml:space="preserve"> PAGEREF _Toc19625122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"_Toc19625123" </w:instrText>
      </w:r>
      <w:r>
        <w:fldChar w:fldCharType="separate"/>
      </w:r>
      <w:r>
        <w:rPr>
          <w:rStyle w:val="15"/>
          <w:rFonts w:hint="eastAsia"/>
        </w:rPr>
        <w:t>九、一般公共预算财政拨款项目支出决算表</w:t>
      </w:r>
      <w:r>
        <w:tab/>
      </w:r>
      <w:r>
        <w:fldChar w:fldCharType="begin"/>
      </w:r>
      <w:r>
        <w:instrText xml:space="preserve"> PAGEREF _Toc19625123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"_Toc19625124" </w:instrText>
      </w:r>
      <w:r>
        <w:fldChar w:fldCharType="separate"/>
      </w:r>
      <w:r>
        <w:rPr>
          <w:rStyle w:val="15"/>
          <w:rFonts w:hint="eastAsia"/>
        </w:rPr>
        <w:t>十、一般公共预算财政拨款“三公”经费支出决算表</w:t>
      </w:r>
      <w:r>
        <w:tab/>
      </w:r>
      <w:r>
        <w:fldChar w:fldCharType="begin"/>
      </w:r>
      <w:r>
        <w:instrText xml:space="preserve"> PAGEREF _Toc19625124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"_Toc19625125" </w:instrText>
      </w:r>
      <w:r>
        <w:fldChar w:fldCharType="separate"/>
      </w:r>
      <w:r>
        <w:rPr>
          <w:rStyle w:val="15"/>
          <w:rFonts w:hint="eastAsia"/>
        </w:rPr>
        <w:t>十一、政府性基金预算财政拨款收入支出决算表</w:t>
      </w:r>
      <w:r>
        <w:tab/>
      </w:r>
      <w:r>
        <w:fldChar w:fldCharType="begin"/>
      </w:r>
      <w:r>
        <w:instrText xml:space="preserve"> PAGEREF _Toc19625125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"_Toc19625126" </w:instrText>
      </w:r>
      <w:r>
        <w:fldChar w:fldCharType="separate"/>
      </w:r>
      <w:r>
        <w:rPr>
          <w:rStyle w:val="15"/>
          <w:rFonts w:hint="eastAsia"/>
        </w:rPr>
        <w:t>十二、政府性基金预算财政拨款“三公”经费支出决算表</w:t>
      </w:r>
      <w:r>
        <w:tab/>
      </w:r>
      <w:r>
        <w:fldChar w:fldCharType="begin"/>
      </w:r>
      <w:r>
        <w:instrText xml:space="preserve"> PAGEREF _Toc19625126 \h </w:instrText>
      </w:r>
      <w:r>
        <w:fldChar w:fldCharType="separate"/>
      </w:r>
      <w:r>
        <w:t>36</w:t>
      </w:r>
      <w:r>
        <w:fldChar w:fldCharType="end"/>
      </w:r>
      <w:r>
        <w:fldChar w:fldCharType="end"/>
      </w:r>
    </w:p>
    <w:p>
      <w:pPr>
        <w:pStyle w:val="11"/>
        <w:rPr>
          <w:sz w:val="21"/>
          <w:szCs w:val="22"/>
        </w:rPr>
      </w:pPr>
      <w:r>
        <w:fldChar w:fldCharType="begin"/>
      </w:r>
      <w:r>
        <w:instrText xml:space="preserve"> HYPERLINK \l "_Toc19625127" </w:instrText>
      </w:r>
      <w:r>
        <w:fldChar w:fldCharType="separate"/>
      </w:r>
      <w:r>
        <w:rPr>
          <w:rStyle w:val="15"/>
          <w:rFonts w:hint="eastAsia"/>
        </w:rPr>
        <w:t>十三、国有资本经营预算支出决算表</w:t>
      </w:r>
      <w:r>
        <w:tab/>
      </w:r>
      <w:r>
        <w:fldChar w:fldCharType="begin"/>
      </w:r>
      <w:r>
        <w:instrText xml:space="preserve"> PAGEREF _Toc19625127 \h </w:instrText>
      </w:r>
      <w:r>
        <w:fldChar w:fldCharType="separate"/>
      </w:r>
      <w:r>
        <w:t>36</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4" w:name="_Toc15377196"/>
      <w:r>
        <w:rPr>
          <w:rFonts w:ascii="黑体" w:hAnsi="黑体" w:eastAsia="黑体"/>
          <w:b/>
        </w:rPr>
        <w:br w:type="page"/>
      </w:r>
    </w:p>
    <w:p>
      <w:pPr>
        <w:pStyle w:val="2"/>
        <w:jc w:val="center"/>
        <w:rPr>
          <w:rStyle w:val="16"/>
          <w:rFonts w:ascii="黑体" w:hAnsi="黑体" w:eastAsia="黑体"/>
          <w:b/>
          <w:bCs w:val="0"/>
        </w:rPr>
      </w:pPr>
      <w:bookmarkStart w:id="15" w:name="_Toc19625094"/>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4"/>
      <w:bookmarkEnd w:id="15"/>
    </w:p>
    <w:p>
      <w:pPr>
        <w:widowControl/>
        <w:jc w:val="left"/>
        <w:rPr>
          <w:rFonts w:ascii="黑体" w:eastAsia="黑体"/>
          <w:color w:val="000000"/>
          <w:sz w:val="32"/>
          <w:szCs w:val="32"/>
        </w:rPr>
      </w:pPr>
    </w:p>
    <w:p>
      <w:pPr>
        <w:pStyle w:val="3"/>
        <w:rPr>
          <w:rStyle w:val="17"/>
          <w:rFonts w:ascii="仿宋" w:hAnsi="仿宋" w:eastAsia="仿宋"/>
          <w:b w:val="0"/>
          <w:bCs w:val="0"/>
        </w:rPr>
      </w:pPr>
      <w:bookmarkStart w:id="16" w:name="_Toc15377197"/>
      <w:bookmarkStart w:id="17" w:name="_Toc19625095"/>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5"/>
      <w:bookmarkStart w:id="19" w:name="_Toc15377198"/>
      <w:r>
        <w:rPr>
          <w:rFonts w:hint="eastAsia" w:ascii="仿宋" w:hAnsi="仿宋" w:eastAsia="仿宋"/>
          <w:bCs/>
          <w:color w:val="000000"/>
          <w:sz w:val="32"/>
          <w:szCs w:val="32"/>
        </w:rPr>
        <w:t>（一）主要职能。</w:t>
      </w:r>
      <w:bookmarkEnd w:id="18"/>
      <w:bookmarkEnd w:id="19"/>
      <w:bookmarkStart w:id="20" w:name="_Toc15378446"/>
      <w:bookmarkStart w:id="21" w:name="_Toc1537719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 xml:space="preserve">  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境入境管理工作；依法管理交通、车辆、驾驶员；组织实施消防监督、火灾预防和扑救工作；组织开展对国家机关、社会团体、企业事业单位、重点建设工程和治安保卫工作以及群众性组织的治安防范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20"/>
      <w:bookmarkEnd w:id="21"/>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是强化对敌反恐，全力确保政治安全。二是强化风险防控，竭力维护社会稳定。三是强化打击整治，聚力建设平安遂宁，始终坚持打防结合、整体防控，筑牢社会治安和公共安全“铜墙铁壁”，持续巩固“长安杯”创建成果。四是强化基层基础，合力植牢发展根基。五是强化改革创新，大力提升警务效能，始终坚持创新驱动，综合施策，强化改革项目攻坚，着力实现公安工作质量变革、效率变革和动力变革。</w:t>
      </w:r>
    </w:p>
    <w:p>
      <w:pPr>
        <w:pStyle w:val="3"/>
        <w:rPr>
          <w:rStyle w:val="17"/>
          <w:b w:val="0"/>
          <w:bCs w:val="0"/>
        </w:rPr>
      </w:pPr>
      <w:bookmarkStart w:id="22" w:name="_Toc19625096"/>
      <w:bookmarkStart w:id="23"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2"/>
      <w:bookmarkEnd w:id="23"/>
    </w:p>
    <w:p>
      <w:pPr>
        <w:ind w:firstLine="640" w:firstLineChars="200"/>
        <w:rPr>
          <w:rFonts w:ascii="仿宋" w:hAnsi="仿宋" w:eastAsia="仿宋"/>
          <w:sz w:val="32"/>
          <w:szCs w:val="32"/>
        </w:rPr>
      </w:pPr>
      <w:r>
        <w:rPr>
          <w:rFonts w:hint="eastAsia" w:ascii="仿宋" w:hAnsi="仿宋" w:eastAsia="仿宋"/>
          <w:sz w:val="32"/>
          <w:szCs w:val="32"/>
        </w:rPr>
        <w:t>遂宁市公安局下属二级预算单位7个，其中行政单位7个，参照公务员法管理的事业单位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纳入遂宁市公安局</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遂宁市公安局经济技术开发区分局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遂宁市公安局河东新区分局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遂宁市公安局交通警察支队</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遂宁市公安局收容教育所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遂宁市公安局强制隔离戒毒所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遂宁市看守所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遂宁市强制医疗所</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6"/>
          <w:rFonts w:ascii="黑体" w:hAnsi="黑体" w:eastAsia="黑体"/>
          <w:b w:val="0"/>
          <w:bCs w:val="0"/>
        </w:rPr>
      </w:pPr>
      <w:bookmarkStart w:id="24" w:name="_Toc19625097"/>
      <w:bookmarkStart w:id="25" w:name="_Toc15377204"/>
      <w:r>
        <w:rPr>
          <w:rFonts w:hint="eastAsia" w:ascii="黑体" w:hAnsi="黑体" w:eastAsia="黑体"/>
          <w:b w:val="0"/>
          <w:color w:val="000000"/>
        </w:rPr>
        <w:t>第二部分</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4"/>
      <w:bookmarkEnd w:id="25"/>
    </w:p>
    <w:p/>
    <w:p>
      <w:pPr>
        <w:pStyle w:val="26"/>
        <w:numPr>
          <w:ilvl w:val="0"/>
          <w:numId w:val="2"/>
        </w:numPr>
        <w:spacing w:line="600" w:lineRule="exact"/>
        <w:ind w:firstLineChars="0"/>
        <w:outlineLvl w:val="1"/>
        <w:rPr>
          <w:rStyle w:val="17"/>
          <w:rFonts w:ascii="黑体" w:hAnsi="黑体" w:eastAsia="黑体"/>
          <w:b w:val="0"/>
        </w:rPr>
      </w:pPr>
      <w:bookmarkStart w:id="26" w:name="_Toc15377205"/>
      <w:bookmarkStart w:id="27" w:name="_Toc19625098"/>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6"/>
      <w:bookmarkEnd w:id="2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36,568.46</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年相比，收、支总计各增加4</w:t>
      </w:r>
      <w:r>
        <w:rPr>
          <w:rFonts w:ascii="仿宋" w:hAnsi="仿宋" w:eastAsia="仿宋"/>
          <w:color w:val="000000"/>
          <w:sz w:val="32"/>
          <w:szCs w:val="32"/>
        </w:rPr>
        <w:t>,</w:t>
      </w:r>
      <w:r>
        <w:rPr>
          <w:rFonts w:hint="eastAsia" w:ascii="仿宋" w:hAnsi="仿宋" w:eastAsia="仿宋"/>
          <w:color w:val="000000"/>
          <w:sz w:val="32"/>
          <w:szCs w:val="32"/>
        </w:rPr>
        <w:t>171.39万元，增长12.88</w:t>
      </w:r>
      <w:r>
        <w:rPr>
          <w:rFonts w:ascii="仿宋" w:hAnsi="仿宋" w:eastAsia="仿宋"/>
          <w:color w:val="000000"/>
          <w:sz w:val="32"/>
          <w:szCs w:val="32"/>
        </w:rPr>
        <w:t>%</w:t>
      </w:r>
      <w:r>
        <w:rPr>
          <w:rFonts w:hint="eastAsia" w:ascii="仿宋" w:hAnsi="仿宋" w:eastAsia="仿宋"/>
          <w:color w:val="000000"/>
          <w:sz w:val="32"/>
          <w:szCs w:val="32"/>
        </w:rPr>
        <w:t>。主要变动原因是其他收入中财政局拨付目标奖、装备建设经费增加。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jc w:val="center"/>
        <w:rPr>
          <w:rFonts w:ascii="仿宋" w:hAnsi="仿宋" w:eastAsia="仿宋"/>
          <w:color w:val="000000"/>
          <w:sz w:val="32"/>
          <w:szCs w:val="32"/>
        </w:rPr>
      </w:pPr>
      <w:r>
        <w:drawing>
          <wp:inline distT="0" distB="0" distL="114300" distR="114300">
            <wp:extent cx="4803775" cy="2739390"/>
            <wp:effectExtent l="4445" t="5080" r="11430" b="17780"/>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2"/>
        </w:numPr>
        <w:spacing w:line="600" w:lineRule="exact"/>
        <w:ind w:firstLineChars="0"/>
        <w:outlineLvl w:val="1"/>
        <w:rPr>
          <w:rStyle w:val="17"/>
          <w:rFonts w:ascii="黑体" w:hAnsi="黑体" w:eastAsia="黑体"/>
          <w:b w:val="0"/>
        </w:rPr>
      </w:pPr>
      <w:bookmarkStart w:id="28" w:name="_Toc19625099"/>
      <w:bookmarkStart w:id="29"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8"/>
      <w:bookmarkEnd w:id="29"/>
    </w:p>
    <w:p>
      <w:pPr>
        <w:spacing w:line="600" w:lineRule="exact"/>
        <w:ind w:firstLine="640" w:firstLineChars="200"/>
        <w:outlineLvl w:val="1"/>
        <w:rPr>
          <w:rFonts w:ascii="仿宋" w:hAnsi="仿宋" w:eastAsia="仿宋"/>
          <w:color w:val="000000"/>
          <w:sz w:val="32"/>
          <w:szCs w:val="32"/>
        </w:rPr>
      </w:pPr>
      <w:bookmarkStart w:id="30" w:name="_Toc19625100"/>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32,609.81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27,689.60</w:t>
      </w:r>
      <w:r>
        <w:rPr>
          <w:rFonts w:hint="eastAsia" w:ascii="仿宋" w:hAnsi="仿宋" w:eastAsia="仿宋"/>
          <w:color w:val="000000"/>
          <w:sz w:val="32"/>
          <w:szCs w:val="32"/>
        </w:rPr>
        <w:t>万元，占84.91</w:t>
      </w:r>
      <w:r>
        <w:rPr>
          <w:rFonts w:ascii="仿宋" w:hAnsi="仿宋" w:eastAsia="仿宋"/>
          <w:color w:val="000000"/>
          <w:sz w:val="32"/>
          <w:szCs w:val="32"/>
        </w:rPr>
        <w:t>%</w:t>
      </w:r>
      <w:r>
        <w:rPr>
          <w:rFonts w:hint="eastAsia" w:ascii="仿宋" w:hAnsi="仿宋" w:eastAsia="仿宋"/>
          <w:color w:val="000000"/>
          <w:sz w:val="32"/>
          <w:szCs w:val="32"/>
        </w:rPr>
        <w:t>；其他收入</w:t>
      </w:r>
      <w:r>
        <w:rPr>
          <w:rFonts w:ascii="仿宋" w:hAnsi="仿宋" w:eastAsia="仿宋"/>
          <w:color w:val="000000"/>
          <w:sz w:val="32"/>
          <w:szCs w:val="32"/>
        </w:rPr>
        <w:t>4,920.21</w:t>
      </w:r>
      <w:r>
        <w:rPr>
          <w:rFonts w:hint="eastAsia" w:ascii="仿宋" w:hAnsi="仿宋" w:eastAsia="仿宋"/>
          <w:color w:val="000000"/>
          <w:sz w:val="32"/>
          <w:szCs w:val="32"/>
        </w:rPr>
        <w:t>万元，占15.09</w:t>
      </w:r>
      <w:r>
        <w:rPr>
          <w:rFonts w:ascii="仿宋" w:hAnsi="仿宋" w:eastAsia="仿宋"/>
          <w:color w:val="000000"/>
          <w:sz w:val="32"/>
          <w:szCs w:val="32"/>
        </w:rPr>
        <w:t>%</w:t>
      </w:r>
      <w:r>
        <w:rPr>
          <w:rFonts w:hint="eastAsia" w:ascii="仿宋" w:hAnsi="仿宋" w:eastAsia="仿宋"/>
          <w:color w:val="000000"/>
          <w:sz w:val="32"/>
          <w:szCs w:val="32"/>
        </w:rPr>
        <w:t>。</w:t>
      </w:r>
      <w:bookmarkEnd w:id="30"/>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jc w:val="center"/>
        <w:rPr>
          <w:rFonts w:ascii="仿宋_GB2312" w:eastAsia="仿宋_GB2312"/>
          <w:color w:val="FF0000"/>
          <w:sz w:val="32"/>
          <w:szCs w:val="32"/>
        </w:rPr>
      </w:pPr>
      <w:r>
        <w:drawing>
          <wp:inline distT="0" distB="0" distL="114300" distR="114300">
            <wp:extent cx="4568190" cy="2739390"/>
            <wp:effectExtent l="4445" t="4445" r="18415"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2"/>
        </w:numPr>
        <w:spacing w:line="600" w:lineRule="exact"/>
        <w:ind w:firstLineChars="0"/>
        <w:outlineLvl w:val="1"/>
        <w:rPr>
          <w:rStyle w:val="17"/>
          <w:rFonts w:ascii="黑体" w:hAnsi="黑体" w:eastAsia="黑体"/>
          <w:b w:val="0"/>
        </w:rPr>
      </w:pPr>
      <w:bookmarkStart w:id="31" w:name="_Toc15377207"/>
      <w:bookmarkStart w:id="32" w:name="_Toc19625101"/>
      <w:r>
        <w:rPr>
          <w:rFonts w:hint="eastAsia" w:ascii="黑体" w:hAnsi="黑体" w:eastAsia="黑体"/>
          <w:color w:val="000000"/>
          <w:sz w:val="32"/>
          <w:szCs w:val="32"/>
        </w:rPr>
        <w:t>支</w:t>
      </w:r>
      <w:r>
        <w:rPr>
          <w:rStyle w:val="17"/>
          <w:rFonts w:hint="eastAsia" w:ascii="黑体" w:hAnsi="黑体" w:eastAsia="黑体"/>
          <w:b w:val="0"/>
        </w:rPr>
        <w:t>出决算情况说明</w:t>
      </w:r>
      <w:bookmarkEnd w:id="31"/>
      <w:bookmarkEnd w:id="32"/>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31,358.99</w:t>
      </w:r>
      <w:r>
        <w:rPr>
          <w:rFonts w:hint="eastAsia" w:ascii="仿宋" w:hAnsi="仿宋" w:eastAsia="仿宋"/>
          <w:color w:val="000000"/>
          <w:sz w:val="32"/>
          <w:szCs w:val="32"/>
        </w:rPr>
        <w:t>万元，其中：基本支出</w:t>
      </w:r>
      <w:r>
        <w:rPr>
          <w:rFonts w:ascii="仿宋" w:hAnsi="仿宋" w:eastAsia="仿宋"/>
          <w:color w:val="000000"/>
          <w:sz w:val="32"/>
          <w:szCs w:val="32"/>
        </w:rPr>
        <w:t>21,022.55</w:t>
      </w:r>
      <w:r>
        <w:rPr>
          <w:rFonts w:hint="eastAsia" w:ascii="仿宋" w:hAnsi="仿宋" w:eastAsia="仿宋"/>
          <w:color w:val="000000"/>
          <w:sz w:val="32"/>
          <w:szCs w:val="32"/>
        </w:rPr>
        <w:t>万元，占67.04</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10,336.44</w:t>
      </w:r>
      <w:r>
        <w:rPr>
          <w:rFonts w:hint="eastAsia" w:ascii="仿宋" w:hAnsi="仿宋" w:eastAsia="仿宋"/>
          <w:color w:val="000000"/>
          <w:sz w:val="32"/>
          <w:szCs w:val="32"/>
        </w:rPr>
        <w:t>万元，占32.96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jc w:val="center"/>
        <w:rPr>
          <w:rFonts w:ascii="仿宋_GB2312" w:eastAsia="仿宋_GB2312"/>
          <w:color w:val="FF0000"/>
          <w:sz w:val="32"/>
          <w:szCs w:val="32"/>
        </w:rPr>
      </w:pPr>
      <w:r>
        <w:drawing>
          <wp:inline distT="0" distB="0" distL="114300" distR="114300">
            <wp:extent cx="4568190" cy="2739390"/>
            <wp:effectExtent l="4445" t="4445" r="18415" b="18415"/>
            <wp:docPr id="3"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7"/>
          <w:rFonts w:ascii="黑体" w:hAnsi="黑体" w:eastAsia="黑体"/>
          <w:b w:val="0"/>
        </w:rPr>
      </w:pPr>
      <w:bookmarkStart w:id="33" w:name="_Toc15377208"/>
      <w:bookmarkStart w:id="34" w:name="_Toc19625102"/>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3"/>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31,299.65</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年相比，财政拨款收、支总计各增加1</w:t>
      </w:r>
      <w:r>
        <w:rPr>
          <w:rFonts w:ascii="仿宋" w:hAnsi="仿宋" w:eastAsia="仿宋"/>
          <w:color w:val="000000"/>
          <w:sz w:val="32"/>
          <w:szCs w:val="32"/>
        </w:rPr>
        <w:t>,</w:t>
      </w:r>
      <w:r>
        <w:rPr>
          <w:rFonts w:hint="eastAsia" w:ascii="仿宋" w:hAnsi="仿宋" w:eastAsia="仿宋"/>
          <w:color w:val="000000"/>
          <w:sz w:val="32"/>
          <w:szCs w:val="32"/>
        </w:rPr>
        <w:t>049.74万元，增长3.47</w:t>
      </w:r>
      <w:r>
        <w:rPr>
          <w:rFonts w:ascii="仿宋" w:hAnsi="仿宋" w:eastAsia="仿宋"/>
          <w:color w:val="000000"/>
          <w:sz w:val="32"/>
          <w:szCs w:val="32"/>
        </w:rPr>
        <w:t>%</w:t>
      </w:r>
      <w:r>
        <w:rPr>
          <w:rFonts w:hint="eastAsia" w:ascii="仿宋" w:hAnsi="仿宋" w:eastAsia="仿宋"/>
          <w:color w:val="000000"/>
          <w:sz w:val="32"/>
          <w:szCs w:val="32"/>
        </w:rPr>
        <w:t>。主要变动原因是财政拨款增加（人员经费工资津贴正常调标）。</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jc w:val="center"/>
        <w:rPr>
          <w:rFonts w:ascii="仿宋" w:hAnsi="仿宋" w:eastAsia="仿宋"/>
          <w:color w:val="000000"/>
          <w:sz w:val="32"/>
          <w:szCs w:val="32"/>
        </w:rPr>
      </w:pPr>
      <w:r>
        <w:drawing>
          <wp:inline distT="0" distB="0" distL="114300" distR="114300">
            <wp:extent cx="4568190" cy="2739390"/>
            <wp:effectExtent l="4445" t="4445" r="18415" b="18415"/>
            <wp:docPr id="4"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7"/>
          <w:rFonts w:ascii="黑体" w:hAnsi="黑体" w:eastAsia="黑体"/>
          <w:b w:val="0"/>
        </w:rPr>
      </w:pPr>
      <w:bookmarkStart w:id="35" w:name="_Toc15377209"/>
      <w:bookmarkStart w:id="36" w:name="_Toc19625103"/>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5"/>
      <w:bookmarkEnd w:id="36"/>
    </w:p>
    <w:p>
      <w:pPr>
        <w:spacing w:line="600" w:lineRule="exact"/>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26,646.02</w:t>
      </w:r>
      <w:r>
        <w:rPr>
          <w:rFonts w:hint="eastAsia" w:ascii="仿宋" w:hAnsi="仿宋" w:eastAsia="仿宋"/>
          <w:color w:val="000000"/>
          <w:sz w:val="32"/>
          <w:szCs w:val="32"/>
        </w:rPr>
        <w:t>万元，占本年支出合计的84.97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年相比，一般公共预算财政拨款增加10.10万元，增长0.04</w:t>
      </w:r>
      <w:r>
        <w:rPr>
          <w:rFonts w:ascii="仿宋" w:hAnsi="仿宋" w:eastAsia="仿宋"/>
          <w:color w:val="000000"/>
          <w:sz w:val="32"/>
          <w:szCs w:val="32"/>
        </w:rPr>
        <w:t>%</w:t>
      </w:r>
      <w:r>
        <w:rPr>
          <w:rFonts w:hint="eastAsia" w:ascii="仿宋" w:hAnsi="仿宋" w:eastAsia="仿宋"/>
          <w:color w:val="000000"/>
          <w:sz w:val="32"/>
          <w:szCs w:val="32"/>
        </w:rPr>
        <w:t>。主要变动原因是工资福利支出增加。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jc w:val="center"/>
        <w:rPr>
          <w:rFonts w:ascii="仿宋" w:hAnsi="仿宋" w:eastAsia="仿宋"/>
          <w:color w:val="000000"/>
          <w:sz w:val="32"/>
          <w:szCs w:val="32"/>
        </w:rPr>
      </w:pPr>
      <w:r>
        <w:drawing>
          <wp:inline distT="0" distB="0" distL="114300" distR="114300">
            <wp:extent cx="4568190" cy="2739390"/>
            <wp:effectExtent l="4445" t="4445" r="18415" b="18415"/>
            <wp:docPr id="5" name="图片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8" w:name="_Toc15377211"/>
      <w:r>
        <w:rPr>
          <w:rFonts w:hint="eastAsia" w:ascii="仿宋" w:hAnsi="仿宋" w:eastAsia="仿宋"/>
          <w:b/>
          <w:color w:val="000000"/>
          <w:sz w:val="32"/>
          <w:szCs w:val="32"/>
        </w:rPr>
        <w:t>（二）一般公共预算财政拨款支出决算结构情况</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26,646.02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公共安全（类）</w:t>
      </w:r>
      <w:r>
        <w:rPr>
          <w:rFonts w:hint="eastAsia" w:ascii="仿宋" w:hAnsi="仿宋" w:eastAsia="仿宋"/>
          <w:color w:val="000000"/>
          <w:sz w:val="32"/>
          <w:szCs w:val="32"/>
        </w:rPr>
        <w:t>支出</w:t>
      </w:r>
      <w:r>
        <w:rPr>
          <w:rFonts w:ascii="仿宋" w:hAnsi="仿宋" w:eastAsia="仿宋"/>
          <w:color w:val="000000"/>
          <w:sz w:val="32"/>
          <w:szCs w:val="32"/>
        </w:rPr>
        <w:t>23,839.28</w:t>
      </w:r>
      <w:r>
        <w:rPr>
          <w:rFonts w:hint="eastAsia" w:ascii="仿宋" w:hAnsi="仿宋" w:eastAsia="仿宋"/>
          <w:color w:val="000000"/>
          <w:sz w:val="32"/>
          <w:szCs w:val="32"/>
        </w:rPr>
        <w:t>万元，占</w:t>
      </w:r>
      <w:r>
        <w:rPr>
          <w:rFonts w:ascii="仿宋" w:hAnsi="仿宋" w:eastAsia="仿宋"/>
          <w:color w:val="000000"/>
          <w:sz w:val="32"/>
          <w:szCs w:val="32"/>
        </w:rPr>
        <w:t>89.47 %</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1,148.78</w:t>
      </w:r>
      <w:r>
        <w:rPr>
          <w:rFonts w:hint="eastAsia" w:ascii="仿宋" w:hAnsi="仿宋" w:eastAsia="仿宋"/>
          <w:color w:val="000000"/>
          <w:sz w:val="32"/>
          <w:szCs w:val="32"/>
        </w:rPr>
        <w:t>万元，占4.31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医疗卫生与计划生育（类）</w:t>
      </w:r>
      <w:r>
        <w:rPr>
          <w:rFonts w:hint="eastAsia" w:ascii="仿宋" w:hAnsi="仿宋" w:eastAsia="仿宋"/>
          <w:color w:val="000000"/>
          <w:sz w:val="32"/>
          <w:szCs w:val="32"/>
        </w:rPr>
        <w:t>支出</w:t>
      </w:r>
      <w:r>
        <w:rPr>
          <w:rFonts w:ascii="仿宋" w:hAnsi="仿宋" w:eastAsia="仿宋"/>
          <w:color w:val="000000"/>
          <w:sz w:val="32"/>
          <w:szCs w:val="32"/>
        </w:rPr>
        <w:t>569.36</w:t>
      </w:r>
      <w:r>
        <w:rPr>
          <w:rFonts w:hint="eastAsia" w:ascii="仿宋" w:hAnsi="仿宋" w:eastAsia="仿宋"/>
          <w:color w:val="000000"/>
          <w:sz w:val="32"/>
          <w:szCs w:val="32"/>
        </w:rPr>
        <w:t>万元，占2.14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w:t>
      </w:r>
      <w:r>
        <w:rPr>
          <w:rFonts w:ascii="仿宋" w:hAnsi="仿宋" w:eastAsia="仿宋"/>
          <w:color w:val="000000"/>
          <w:sz w:val="32"/>
          <w:szCs w:val="32"/>
        </w:rPr>
        <w:t>1,088.60</w:t>
      </w:r>
      <w:r>
        <w:rPr>
          <w:rFonts w:hint="eastAsia" w:ascii="仿宋" w:hAnsi="仿宋" w:eastAsia="仿宋"/>
          <w:color w:val="000000"/>
          <w:sz w:val="32"/>
          <w:szCs w:val="32"/>
        </w:rPr>
        <w:t>万元，占4.09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jc w:val="center"/>
        <w:rPr>
          <w:rFonts w:ascii="仿宋" w:hAnsi="仿宋" w:eastAsia="仿宋"/>
          <w:color w:val="000000"/>
          <w:sz w:val="32"/>
          <w:szCs w:val="32"/>
        </w:rPr>
      </w:pPr>
      <w:r>
        <w:drawing>
          <wp:inline distT="0" distB="0" distL="114300" distR="114300">
            <wp:extent cx="4568190" cy="2739390"/>
            <wp:effectExtent l="4445" t="4445" r="18415" b="18415"/>
            <wp:docPr id="6" name="图片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pPr>
        <w:spacing w:line="600" w:lineRule="exact"/>
        <w:ind w:firstLine="643" w:firstLineChars="200"/>
        <w:outlineLvl w:val="2"/>
        <w:rPr>
          <w:rFonts w:ascii="仿宋" w:hAnsi="仿宋" w:eastAsia="仿宋"/>
          <w:color w:val="FF0000"/>
          <w:sz w:val="32"/>
          <w:szCs w:val="32"/>
        </w:rPr>
      </w:pPr>
      <w:bookmarkStart w:id="40" w:name="_Toc15377213"/>
      <w:bookmarkStart w:id="41" w:name="_Toc15377444"/>
      <w:bookmarkStart w:id="42"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年一般公共预算支出决算数为26,646.02万元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完成预算85.13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0"/>
      <w:bookmarkEnd w:id="41"/>
      <w:bookmarkEnd w:id="42"/>
    </w:p>
    <w:p>
      <w:pPr>
        <w:spacing w:line="600" w:lineRule="exact"/>
        <w:ind w:firstLine="643" w:firstLineChars="200"/>
        <w:rPr>
          <w:rFonts w:ascii="仿宋" w:hAnsi="仿宋" w:eastAsia="仿宋"/>
          <w:color w:val="000000"/>
          <w:sz w:val="32"/>
          <w:szCs w:val="32"/>
        </w:rPr>
      </w:pPr>
      <w:r>
        <w:rPr>
          <w:rFonts w:ascii="仿宋" w:hAnsi="仿宋" w:eastAsia="仿宋"/>
          <w:b/>
          <w:bCs/>
          <w:color w:val="000000"/>
          <w:sz w:val="32"/>
          <w:szCs w:val="32"/>
        </w:rPr>
        <w:t>1.</w:t>
      </w:r>
      <w:r>
        <w:rPr>
          <w:rFonts w:hint="eastAsia" w:ascii="仿宋" w:hAnsi="仿宋" w:eastAsia="仿宋"/>
          <w:b/>
          <w:bCs/>
          <w:color w:val="000000"/>
          <w:sz w:val="32"/>
          <w:szCs w:val="32"/>
        </w:rPr>
        <w:t xml:space="preserve"> 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ascii="仿宋" w:hAnsi="仿宋" w:eastAsia="仿宋"/>
          <w:color w:val="000000"/>
          <w:sz w:val="32"/>
          <w:szCs w:val="32"/>
        </w:rPr>
        <w:t>2018年决算数为15,170.48万元，完成预算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jc w:val="left"/>
        <w:rPr>
          <w:rFonts w:ascii="仿宋" w:hAnsi="仿宋" w:eastAsia="仿宋"/>
          <w:color w:val="000000"/>
          <w:sz w:val="32"/>
          <w:szCs w:val="32"/>
        </w:rPr>
      </w:pPr>
      <w:r>
        <w:rPr>
          <w:rFonts w:hint="eastAsia" w:ascii="仿宋" w:hAnsi="仿宋" w:eastAsia="仿宋"/>
          <w:b/>
          <w:bCs/>
          <w:color w:val="000000"/>
          <w:sz w:val="32"/>
          <w:szCs w:val="32"/>
        </w:rPr>
        <w:t>2</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2018年决算数为3,312.41万元，完成预算58.39%</w:t>
      </w:r>
      <w:r>
        <w:rPr>
          <w:rFonts w:hint="eastAsia" w:ascii="仿宋" w:hAnsi="仿宋" w:eastAsia="仿宋"/>
          <w:color w:val="000000"/>
          <w:sz w:val="32"/>
          <w:szCs w:val="32"/>
        </w:rPr>
        <w:t>，决算数小于预算数的主要原因是部门政府采购项目和中省转移办案业务经费为跨年度执行项目经费，资金结转至下一年度使用</w:t>
      </w:r>
      <w:r>
        <w:rPr>
          <w:rFonts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治安管理</w:t>
      </w:r>
      <w:r>
        <w:rPr>
          <w:rFonts w:ascii="仿宋" w:hAnsi="仿宋" w:eastAsia="仿宋"/>
          <w:b/>
          <w:bCs/>
          <w:color w:val="000000"/>
          <w:sz w:val="32"/>
          <w:szCs w:val="32"/>
        </w:rPr>
        <w:t>（项）:</w:t>
      </w:r>
      <w:r>
        <w:rPr>
          <w:rFonts w:ascii="仿宋" w:hAnsi="仿宋" w:eastAsia="仿宋"/>
          <w:color w:val="000000"/>
          <w:sz w:val="32"/>
          <w:szCs w:val="32"/>
        </w:rPr>
        <w:t>2018年决算数为146.00万元，完成预算10</w:t>
      </w:r>
      <w:r>
        <w:rPr>
          <w:rFonts w:hint="eastAsia" w:ascii="仿宋" w:hAnsi="仿宋" w:eastAsia="仿宋"/>
          <w:color w:val="000000"/>
          <w:sz w:val="32"/>
          <w:szCs w:val="32"/>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4</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国内安全保卫</w:t>
      </w:r>
      <w:r>
        <w:rPr>
          <w:rFonts w:ascii="仿宋" w:hAnsi="仿宋" w:eastAsia="仿宋"/>
          <w:b/>
          <w:bCs/>
          <w:color w:val="000000"/>
          <w:sz w:val="32"/>
          <w:szCs w:val="32"/>
        </w:rPr>
        <w:t>（项）:</w:t>
      </w:r>
      <w:r>
        <w:rPr>
          <w:rFonts w:ascii="仿宋" w:hAnsi="仿宋" w:eastAsia="仿宋"/>
          <w:color w:val="000000"/>
          <w:sz w:val="32"/>
          <w:szCs w:val="32"/>
        </w:rPr>
        <w:t>2018年决算数为5.00万元，完成预算100%。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5</w:t>
      </w:r>
      <w:r>
        <w:rPr>
          <w:rFonts w:ascii="仿宋" w:hAnsi="仿宋" w:eastAsia="仿宋"/>
          <w:b/>
          <w:bCs/>
          <w:color w:val="000000"/>
          <w:sz w:val="32"/>
          <w:szCs w:val="32"/>
        </w:rPr>
        <w:t>.</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刑事侦查</w:t>
      </w:r>
      <w:r>
        <w:rPr>
          <w:rFonts w:ascii="仿宋" w:hAnsi="仿宋" w:eastAsia="仿宋"/>
          <w:b/>
          <w:bCs/>
          <w:color w:val="000000"/>
          <w:sz w:val="32"/>
          <w:szCs w:val="32"/>
        </w:rPr>
        <w:t>（项）:</w:t>
      </w:r>
      <w:r>
        <w:rPr>
          <w:rFonts w:ascii="仿宋" w:hAnsi="仿宋" w:eastAsia="仿宋"/>
          <w:color w:val="000000"/>
          <w:sz w:val="32"/>
          <w:szCs w:val="32"/>
        </w:rPr>
        <w:t>2018年决算数为59.34万元，完成预算100%</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6.公共安全支出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出入境管理</w:t>
      </w:r>
      <w:r>
        <w:rPr>
          <w:rFonts w:ascii="仿宋" w:hAnsi="仿宋" w:eastAsia="仿宋"/>
          <w:b/>
          <w:bCs/>
          <w:color w:val="000000"/>
          <w:sz w:val="32"/>
          <w:szCs w:val="32"/>
        </w:rPr>
        <w:t>（项）:</w:t>
      </w:r>
      <w:r>
        <w:rPr>
          <w:rFonts w:ascii="仿宋" w:hAnsi="仿宋" w:eastAsia="仿宋"/>
          <w:color w:val="000000"/>
          <w:sz w:val="32"/>
          <w:szCs w:val="32"/>
        </w:rPr>
        <w:t>2018年决算数为130.92万元，完成预算77.01%</w:t>
      </w:r>
      <w:r>
        <w:rPr>
          <w:rFonts w:hint="eastAsia" w:ascii="仿宋" w:hAnsi="仿宋" w:eastAsia="仿宋"/>
          <w:color w:val="000000"/>
          <w:sz w:val="32"/>
          <w:szCs w:val="32"/>
        </w:rPr>
        <w:t>，决算数小于预算数的主要原因出入境管理经费跨年度执行，资金结转到下一年度使用。</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7.公共安全支出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禁毒管理</w:t>
      </w:r>
      <w:r>
        <w:rPr>
          <w:rFonts w:ascii="仿宋" w:hAnsi="仿宋" w:eastAsia="仿宋"/>
          <w:b/>
          <w:bCs/>
          <w:color w:val="000000"/>
          <w:sz w:val="32"/>
          <w:szCs w:val="32"/>
        </w:rPr>
        <w:t>（项）:</w:t>
      </w:r>
      <w:r>
        <w:rPr>
          <w:rFonts w:ascii="仿宋" w:hAnsi="仿宋" w:eastAsia="仿宋"/>
          <w:color w:val="000000"/>
          <w:sz w:val="32"/>
          <w:szCs w:val="32"/>
        </w:rPr>
        <w:t>2018年决算数为95.15万元，完成预算24.68%</w:t>
      </w:r>
      <w:r>
        <w:rPr>
          <w:rFonts w:hint="eastAsia" w:ascii="仿宋" w:hAnsi="仿宋" w:eastAsia="仿宋"/>
          <w:color w:val="000000"/>
          <w:sz w:val="32"/>
          <w:szCs w:val="32"/>
        </w:rPr>
        <w:t>，决算数小于预算数的主要原因是中省禁毒补助专款年末下达，资金结转到下一年度使用。</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8.公共安全支出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道路交通管理</w:t>
      </w:r>
      <w:r>
        <w:rPr>
          <w:rFonts w:ascii="仿宋" w:hAnsi="仿宋" w:eastAsia="仿宋"/>
          <w:b/>
          <w:bCs/>
          <w:color w:val="000000"/>
          <w:sz w:val="32"/>
          <w:szCs w:val="32"/>
        </w:rPr>
        <w:t>（项）:</w:t>
      </w:r>
      <w:r>
        <w:rPr>
          <w:rFonts w:ascii="仿宋" w:hAnsi="仿宋" w:eastAsia="仿宋"/>
          <w:color w:val="000000"/>
          <w:sz w:val="32"/>
          <w:szCs w:val="32"/>
        </w:rPr>
        <w:t>2018年决算数为</w:t>
      </w:r>
      <w:r>
        <w:rPr>
          <w:rFonts w:ascii="仿宋" w:hAnsi="仿宋" w:eastAsia="仿宋"/>
          <w:sz w:val="32"/>
          <w:szCs w:val="32"/>
        </w:rPr>
        <w:t>821.32</w:t>
      </w:r>
      <w:r>
        <w:rPr>
          <w:rFonts w:ascii="仿宋" w:hAnsi="仿宋" w:eastAsia="仿宋"/>
          <w:color w:val="000000"/>
          <w:sz w:val="32"/>
          <w:szCs w:val="32"/>
        </w:rPr>
        <w:t>万元，完成预算50.51%</w:t>
      </w:r>
      <w:r>
        <w:rPr>
          <w:rFonts w:hint="eastAsia" w:ascii="仿宋" w:hAnsi="仿宋" w:eastAsia="仿宋"/>
          <w:color w:val="000000"/>
          <w:sz w:val="32"/>
          <w:szCs w:val="32"/>
        </w:rPr>
        <w:t>，决算数小于预算数的主要原因是省级政法专项（交警业务）经费下达时间较晚，未使用完，资金结转到下一年度使用</w:t>
      </w:r>
      <w:r>
        <w:rPr>
          <w:rFonts w:ascii="仿宋" w:hAnsi="仿宋" w:eastAsia="仿宋"/>
          <w:color w:val="000000"/>
          <w:sz w:val="32"/>
          <w:szCs w:val="32"/>
        </w:rPr>
        <w:t xml:space="preserve">。 </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9.公共安全支出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网络侦控管理</w:t>
      </w:r>
      <w:r>
        <w:rPr>
          <w:rFonts w:ascii="仿宋" w:hAnsi="仿宋" w:eastAsia="仿宋"/>
          <w:b/>
          <w:bCs/>
          <w:color w:val="000000"/>
          <w:sz w:val="32"/>
          <w:szCs w:val="32"/>
        </w:rPr>
        <w:t>（项）:</w:t>
      </w:r>
      <w:r>
        <w:rPr>
          <w:rFonts w:ascii="仿宋" w:hAnsi="仿宋" w:eastAsia="仿宋"/>
          <w:color w:val="000000"/>
          <w:sz w:val="32"/>
          <w:szCs w:val="32"/>
        </w:rPr>
        <w:t>2018年决算数为</w:t>
      </w:r>
      <w:r>
        <w:rPr>
          <w:rFonts w:hint="eastAsia" w:ascii="仿宋" w:hAnsi="仿宋" w:eastAsia="仿宋"/>
          <w:color w:val="000000"/>
          <w:sz w:val="32"/>
          <w:szCs w:val="32"/>
        </w:rPr>
        <w:t>72</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10.公共安全支出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网络运行及维护</w:t>
      </w:r>
      <w:r>
        <w:rPr>
          <w:rFonts w:ascii="仿宋" w:hAnsi="仿宋" w:eastAsia="仿宋"/>
          <w:b/>
          <w:bCs/>
          <w:color w:val="000000"/>
          <w:sz w:val="32"/>
          <w:szCs w:val="32"/>
        </w:rPr>
        <w:t>（项）:</w:t>
      </w:r>
      <w:r>
        <w:rPr>
          <w:rFonts w:ascii="仿宋" w:hAnsi="仿宋" w:eastAsia="仿宋"/>
          <w:color w:val="000000"/>
          <w:sz w:val="32"/>
          <w:szCs w:val="32"/>
        </w:rPr>
        <w:t>2018年决算数为215.47万元，完成预算38.59%</w:t>
      </w:r>
      <w:r>
        <w:rPr>
          <w:rFonts w:hint="eastAsia" w:ascii="仿宋" w:hAnsi="仿宋" w:eastAsia="仿宋"/>
          <w:color w:val="000000"/>
          <w:sz w:val="32"/>
          <w:szCs w:val="32"/>
        </w:rPr>
        <w:t>，决算数小于预算数的主要原因是部门政府采购项目为跨年执行项目，项目采购资金结转至下一年度执行。</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11.公共安全支出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拘押收教场所管理</w:t>
      </w:r>
      <w:r>
        <w:rPr>
          <w:rFonts w:ascii="仿宋" w:hAnsi="仿宋" w:eastAsia="仿宋"/>
          <w:b/>
          <w:bCs/>
          <w:color w:val="000000"/>
          <w:sz w:val="32"/>
          <w:szCs w:val="32"/>
        </w:rPr>
        <w:t>（项）:</w:t>
      </w:r>
      <w:r>
        <w:rPr>
          <w:rFonts w:ascii="仿宋" w:hAnsi="仿宋" w:eastAsia="仿宋"/>
          <w:color w:val="000000"/>
          <w:sz w:val="32"/>
          <w:szCs w:val="32"/>
        </w:rPr>
        <w:t>2018年决算数为966.22万元，完成预算</w:t>
      </w:r>
      <w:r>
        <w:rPr>
          <w:rFonts w:hint="eastAsia" w:ascii="仿宋" w:hAnsi="仿宋" w:eastAsia="仿宋"/>
          <w:color w:val="000000"/>
          <w:sz w:val="32"/>
          <w:szCs w:val="32"/>
        </w:rPr>
        <w:t>98.81</w:t>
      </w:r>
      <w:r>
        <w:rPr>
          <w:rFonts w:ascii="仿宋" w:hAnsi="仿宋" w:eastAsia="仿宋"/>
          <w:color w:val="000000"/>
          <w:sz w:val="32"/>
          <w:szCs w:val="32"/>
        </w:rPr>
        <w:t>%</w:t>
      </w:r>
      <w:r>
        <w:rPr>
          <w:rFonts w:hint="eastAsia" w:ascii="仿宋" w:hAnsi="仿宋" w:eastAsia="仿宋"/>
          <w:color w:val="000000"/>
          <w:sz w:val="32"/>
          <w:szCs w:val="32"/>
        </w:rPr>
        <w:t>，完成预算情况良好。</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12.公共安全支出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警犬繁育及训养</w:t>
      </w:r>
      <w:r>
        <w:rPr>
          <w:rFonts w:ascii="仿宋" w:hAnsi="仿宋" w:eastAsia="仿宋"/>
          <w:b/>
          <w:bCs/>
          <w:color w:val="000000"/>
          <w:sz w:val="32"/>
          <w:szCs w:val="32"/>
        </w:rPr>
        <w:t>（项）:</w:t>
      </w:r>
      <w:r>
        <w:rPr>
          <w:rFonts w:ascii="仿宋" w:hAnsi="仿宋" w:eastAsia="仿宋"/>
          <w:color w:val="000000"/>
          <w:sz w:val="32"/>
          <w:szCs w:val="32"/>
        </w:rPr>
        <w:t>2018年决算数为35.00万元，完成预算100%。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13.公共安全支出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其他公安支出</w:t>
      </w:r>
      <w:r>
        <w:rPr>
          <w:rFonts w:ascii="仿宋" w:hAnsi="仿宋" w:eastAsia="仿宋"/>
          <w:b/>
          <w:bCs/>
          <w:color w:val="000000"/>
          <w:sz w:val="32"/>
          <w:szCs w:val="32"/>
        </w:rPr>
        <w:t>（项）:</w:t>
      </w:r>
      <w:r>
        <w:rPr>
          <w:rFonts w:ascii="仿宋" w:hAnsi="仿宋" w:eastAsia="仿宋"/>
          <w:color w:val="000000"/>
          <w:sz w:val="32"/>
          <w:szCs w:val="32"/>
        </w:rPr>
        <w:t>2018年决算数为2,809.97万元，完成预算</w:t>
      </w:r>
      <w:r>
        <w:rPr>
          <w:rFonts w:hint="eastAsia" w:ascii="仿宋" w:hAnsi="仿宋" w:eastAsia="仿宋"/>
          <w:color w:val="000000"/>
          <w:sz w:val="32"/>
          <w:szCs w:val="32"/>
        </w:rPr>
        <w:t>77.84</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，决算数小于预算数的主要原因是辅警服务经费按合同约定未支付完，结转至下一年度执行。</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14.社会保障和就业支出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行政事业单位离退休</w:t>
      </w:r>
      <w:r>
        <w:rPr>
          <w:rFonts w:ascii="仿宋" w:hAnsi="仿宋" w:eastAsia="仿宋"/>
          <w:b/>
          <w:bCs/>
          <w:color w:val="000000"/>
          <w:sz w:val="32"/>
          <w:szCs w:val="32"/>
        </w:rPr>
        <w:t>（款）</w:t>
      </w:r>
      <w:r>
        <w:rPr>
          <w:rFonts w:hint="eastAsia" w:ascii="仿宋" w:hAnsi="仿宋" w:eastAsia="仿宋"/>
          <w:b/>
          <w:bCs/>
          <w:color w:val="000000"/>
          <w:sz w:val="32"/>
          <w:szCs w:val="32"/>
        </w:rPr>
        <w:t>未归口管理的行政单位离退休</w:t>
      </w:r>
      <w:r>
        <w:rPr>
          <w:rFonts w:ascii="仿宋" w:hAnsi="仿宋" w:eastAsia="仿宋"/>
          <w:b/>
          <w:bCs/>
          <w:color w:val="000000"/>
          <w:sz w:val="32"/>
          <w:szCs w:val="32"/>
        </w:rPr>
        <w:t>（项）:</w:t>
      </w:r>
      <w:r>
        <w:rPr>
          <w:rFonts w:ascii="仿宋" w:hAnsi="仿宋" w:eastAsia="仿宋"/>
          <w:color w:val="000000"/>
          <w:sz w:val="32"/>
          <w:szCs w:val="32"/>
        </w:rPr>
        <w:t>2018年决算数为</w:t>
      </w:r>
      <w:r>
        <w:rPr>
          <w:rFonts w:hint="eastAsia" w:ascii="仿宋" w:hAnsi="仿宋" w:eastAsia="仿宋"/>
          <w:color w:val="000000"/>
          <w:sz w:val="32"/>
          <w:szCs w:val="32"/>
        </w:rPr>
        <w:t>72.25</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15.</w:t>
      </w:r>
      <w:r>
        <w:rPr>
          <w:rFonts w:hint="eastAsia" w:ascii="仿宋" w:hAnsi="仿宋" w:eastAsia="仿宋"/>
          <w:sz w:val="32"/>
          <w:szCs w:val="32"/>
        </w:rPr>
        <w:t xml:space="preserve"> </w:t>
      </w:r>
      <w:r>
        <w:rPr>
          <w:rFonts w:hint="eastAsia" w:ascii="仿宋" w:hAnsi="仿宋" w:eastAsia="仿宋"/>
          <w:b/>
          <w:bCs/>
          <w:color w:val="000000"/>
          <w:sz w:val="32"/>
          <w:szCs w:val="32"/>
        </w:rPr>
        <w:t>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行政事业单位离退休</w:t>
      </w:r>
      <w:r>
        <w:rPr>
          <w:rFonts w:ascii="仿宋" w:hAnsi="仿宋" w:eastAsia="仿宋"/>
          <w:b/>
          <w:bCs/>
          <w:color w:val="000000"/>
          <w:sz w:val="32"/>
          <w:szCs w:val="32"/>
        </w:rPr>
        <w:t>（款）</w:t>
      </w:r>
      <w:r>
        <w:rPr>
          <w:rFonts w:hint="eastAsia" w:ascii="仿宋" w:hAnsi="仿宋" w:eastAsia="仿宋"/>
          <w:b/>
          <w:bCs/>
          <w:color w:val="000000"/>
          <w:sz w:val="32"/>
          <w:szCs w:val="32"/>
        </w:rPr>
        <w:t>机关事业单位基本养老保险缴费支出</w:t>
      </w:r>
      <w:r>
        <w:rPr>
          <w:rFonts w:ascii="仿宋" w:hAnsi="仿宋" w:eastAsia="仿宋"/>
          <w:b/>
          <w:bCs/>
          <w:color w:val="000000"/>
          <w:sz w:val="32"/>
          <w:szCs w:val="32"/>
        </w:rPr>
        <w:t>（项）:</w:t>
      </w:r>
      <w:r>
        <w:rPr>
          <w:rFonts w:ascii="仿宋" w:hAnsi="仿宋" w:eastAsia="仿宋"/>
          <w:color w:val="000000"/>
          <w:sz w:val="32"/>
          <w:szCs w:val="32"/>
        </w:rPr>
        <w:t>2018年决算数为1,058.59万元，完成预算100%。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16.</w:t>
      </w:r>
      <w:r>
        <w:rPr>
          <w:rFonts w:hint="eastAsia" w:ascii="仿宋" w:hAnsi="仿宋" w:eastAsia="仿宋"/>
          <w:sz w:val="32"/>
          <w:szCs w:val="32"/>
        </w:rPr>
        <w:t xml:space="preserve"> </w:t>
      </w:r>
      <w:r>
        <w:rPr>
          <w:rFonts w:hint="eastAsia" w:ascii="仿宋" w:hAnsi="仿宋" w:eastAsia="仿宋"/>
          <w:b/>
          <w:bCs/>
          <w:color w:val="000000"/>
          <w:sz w:val="32"/>
          <w:szCs w:val="32"/>
        </w:rPr>
        <w:t>社会保障和就业支出（类）抚恤（款）死亡抚恤</w:t>
      </w:r>
      <w:r>
        <w:rPr>
          <w:rFonts w:ascii="仿宋" w:hAnsi="仿宋" w:eastAsia="仿宋"/>
          <w:b/>
          <w:bCs/>
          <w:color w:val="000000"/>
          <w:sz w:val="32"/>
          <w:szCs w:val="32"/>
        </w:rPr>
        <w:t>（项）:</w:t>
      </w:r>
      <w:r>
        <w:rPr>
          <w:rFonts w:ascii="仿宋" w:hAnsi="仿宋" w:eastAsia="仿宋"/>
          <w:color w:val="000000"/>
          <w:sz w:val="32"/>
          <w:szCs w:val="32"/>
        </w:rPr>
        <w:t>2018年决算数为</w:t>
      </w:r>
      <w:r>
        <w:rPr>
          <w:rFonts w:hint="eastAsia" w:ascii="仿宋" w:hAnsi="仿宋" w:eastAsia="仿宋"/>
          <w:color w:val="000000"/>
          <w:sz w:val="32"/>
          <w:szCs w:val="32"/>
        </w:rPr>
        <w:t>17.94</w:t>
      </w:r>
      <w:r>
        <w:rPr>
          <w:rFonts w:ascii="仿宋" w:hAnsi="仿宋" w:eastAsia="仿宋"/>
          <w:color w:val="000000"/>
          <w:sz w:val="32"/>
          <w:szCs w:val="32"/>
        </w:rPr>
        <w:t>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17.</w:t>
      </w:r>
      <w:r>
        <w:rPr>
          <w:rFonts w:hint="eastAsia" w:ascii="仿宋" w:hAnsi="仿宋" w:eastAsia="仿宋"/>
          <w:sz w:val="32"/>
          <w:szCs w:val="32"/>
        </w:rPr>
        <w:t xml:space="preserve"> </w:t>
      </w:r>
      <w:r>
        <w:rPr>
          <w:rFonts w:hint="eastAsia" w:ascii="仿宋" w:hAnsi="仿宋" w:eastAsia="仿宋"/>
          <w:b/>
          <w:bCs/>
          <w:color w:val="000000"/>
          <w:sz w:val="32"/>
          <w:szCs w:val="32"/>
        </w:rPr>
        <w:t>医疗卫生与计划生育支出</w:t>
      </w:r>
      <w:r>
        <w:rPr>
          <w:rFonts w:ascii="仿宋" w:hAnsi="仿宋" w:eastAsia="仿宋"/>
          <w:b/>
          <w:bCs/>
          <w:color w:val="000000"/>
          <w:sz w:val="32"/>
          <w:szCs w:val="32"/>
        </w:rPr>
        <w:t>（类）</w:t>
      </w:r>
      <w:r>
        <w:rPr>
          <w:rFonts w:hint="eastAsia" w:ascii="仿宋" w:hAnsi="仿宋" w:eastAsia="仿宋"/>
          <w:b/>
          <w:bCs/>
          <w:color w:val="000000"/>
          <w:sz w:val="32"/>
          <w:szCs w:val="32"/>
        </w:rPr>
        <w:t>食品和药品监督管理事务</w:t>
      </w:r>
      <w:r>
        <w:rPr>
          <w:rFonts w:ascii="仿宋" w:hAnsi="仿宋" w:eastAsia="仿宋"/>
          <w:b/>
          <w:bCs/>
          <w:color w:val="000000"/>
          <w:sz w:val="32"/>
          <w:szCs w:val="32"/>
        </w:rPr>
        <w:t>（款）</w:t>
      </w:r>
      <w:r>
        <w:rPr>
          <w:rFonts w:hint="eastAsia" w:ascii="仿宋" w:hAnsi="仿宋" w:eastAsia="仿宋"/>
          <w:b/>
          <w:bCs/>
          <w:color w:val="000000"/>
          <w:sz w:val="32"/>
          <w:szCs w:val="32"/>
        </w:rPr>
        <w:t>其他食品和药品监督管理事务支出</w:t>
      </w:r>
      <w:r>
        <w:rPr>
          <w:rFonts w:ascii="仿宋" w:hAnsi="仿宋" w:eastAsia="仿宋"/>
          <w:b/>
          <w:bCs/>
          <w:color w:val="000000"/>
          <w:sz w:val="32"/>
          <w:szCs w:val="32"/>
        </w:rPr>
        <w:t>（项）:</w:t>
      </w:r>
      <w:r>
        <w:rPr>
          <w:rFonts w:ascii="仿宋" w:hAnsi="仿宋" w:eastAsia="仿宋"/>
          <w:color w:val="000000"/>
          <w:sz w:val="32"/>
          <w:szCs w:val="32"/>
        </w:rPr>
        <w:t>2018年决算数为20.00万元，完成预算100%。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18.医疗卫生与计划生育支出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行政事业单位医疗</w:t>
      </w:r>
      <w:r>
        <w:rPr>
          <w:rFonts w:ascii="仿宋" w:hAnsi="仿宋" w:eastAsia="仿宋"/>
          <w:b/>
          <w:bCs/>
          <w:color w:val="000000"/>
          <w:sz w:val="32"/>
          <w:szCs w:val="32"/>
        </w:rPr>
        <w:t>（款）</w:t>
      </w:r>
      <w:r>
        <w:rPr>
          <w:rFonts w:hint="eastAsia" w:ascii="仿宋" w:hAnsi="仿宋" w:eastAsia="仿宋"/>
          <w:b/>
          <w:bCs/>
          <w:color w:val="000000"/>
          <w:sz w:val="32"/>
          <w:szCs w:val="32"/>
        </w:rPr>
        <w:t>行政单位医疗</w:t>
      </w:r>
      <w:r>
        <w:rPr>
          <w:rFonts w:ascii="仿宋" w:hAnsi="仿宋" w:eastAsia="仿宋"/>
          <w:b/>
          <w:bCs/>
          <w:color w:val="000000"/>
          <w:sz w:val="32"/>
          <w:szCs w:val="32"/>
        </w:rPr>
        <w:t>（项）:</w:t>
      </w:r>
      <w:r>
        <w:rPr>
          <w:rFonts w:ascii="仿宋" w:hAnsi="仿宋" w:eastAsia="仿宋"/>
          <w:color w:val="000000"/>
          <w:sz w:val="32"/>
          <w:szCs w:val="32"/>
        </w:rPr>
        <w:t>2018年决算数为529.57万元，完成预算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19. 医疗卫生与计划生育支出</w:t>
      </w:r>
      <w:r>
        <w:rPr>
          <w:rFonts w:ascii="仿宋" w:hAnsi="仿宋" w:eastAsia="仿宋"/>
          <w:b/>
          <w:bCs/>
          <w:color w:val="000000"/>
          <w:sz w:val="32"/>
          <w:szCs w:val="32"/>
        </w:rPr>
        <w:t>（类）</w:t>
      </w:r>
      <w:r>
        <w:rPr>
          <w:rFonts w:hint="eastAsia" w:ascii="仿宋" w:hAnsi="仿宋" w:eastAsia="仿宋"/>
          <w:b/>
          <w:bCs/>
          <w:color w:val="000000"/>
          <w:sz w:val="32"/>
          <w:szCs w:val="32"/>
        </w:rPr>
        <w:t>医疗救助</w:t>
      </w:r>
      <w:r>
        <w:rPr>
          <w:rFonts w:ascii="仿宋" w:hAnsi="仿宋" w:eastAsia="仿宋"/>
          <w:b/>
          <w:bCs/>
          <w:color w:val="000000"/>
          <w:sz w:val="32"/>
          <w:szCs w:val="32"/>
        </w:rPr>
        <w:t>（款）</w:t>
      </w:r>
      <w:r>
        <w:rPr>
          <w:rFonts w:hint="eastAsia" w:ascii="仿宋" w:hAnsi="仿宋" w:eastAsia="仿宋"/>
          <w:b/>
          <w:bCs/>
          <w:color w:val="000000"/>
          <w:sz w:val="32"/>
          <w:szCs w:val="32"/>
        </w:rPr>
        <w:t>其他医疗救助支出</w:t>
      </w:r>
      <w:r>
        <w:rPr>
          <w:rFonts w:ascii="仿宋" w:hAnsi="仿宋" w:eastAsia="仿宋"/>
          <w:b/>
          <w:bCs/>
          <w:color w:val="000000"/>
          <w:sz w:val="32"/>
          <w:szCs w:val="32"/>
        </w:rPr>
        <w:t>（项）:</w:t>
      </w:r>
      <w:r>
        <w:rPr>
          <w:rFonts w:ascii="仿宋" w:hAnsi="仿宋" w:eastAsia="仿宋"/>
          <w:color w:val="000000"/>
          <w:sz w:val="32"/>
          <w:szCs w:val="32"/>
        </w:rPr>
        <w:t>2018年决算数为</w:t>
      </w:r>
      <w:r>
        <w:rPr>
          <w:rFonts w:hint="eastAsia" w:ascii="仿宋" w:hAnsi="仿宋" w:eastAsia="仿宋"/>
          <w:color w:val="000000"/>
          <w:sz w:val="32"/>
          <w:szCs w:val="32"/>
        </w:rPr>
        <w:t>19.79</w:t>
      </w:r>
      <w:r>
        <w:rPr>
          <w:rFonts w:ascii="仿宋" w:hAnsi="仿宋" w:eastAsia="仿宋"/>
          <w:color w:val="000000"/>
          <w:sz w:val="32"/>
          <w:szCs w:val="32"/>
        </w:rPr>
        <w:t>万元，完成预算</w:t>
      </w:r>
      <w:r>
        <w:rPr>
          <w:rFonts w:hint="eastAsia" w:ascii="仿宋" w:hAnsi="仿宋" w:eastAsia="仿宋"/>
          <w:color w:val="000000"/>
          <w:sz w:val="32"/>
          <w:szCs w:val="32"/>
        </w:rPr>
        <w:t>82.84</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，决算数小于预算数的主要原因是职工大病医疗补助经费下达时间过晚</w:t>
      </w:r>
      <w:r>
        <w:rPr>
          <w:rFonts w:ascii="仿宋" w:hAnsi="仿宋" w:eastAsia="仿宋"/>
          <w:color w:val="000000"/>
          <w:sz w:val="32"/>
          <w:szCs w:val="32"/>
        </w:rPr>
        <w:t>。</w:t>
      </w:r>
    </w:p>
    <w:p>
      <w:pPr>
        <w:spacing w:line="600" w:lineRule="exact"/>
        <w:ind w:firstLine="643" w:firstLineChars="200"/>
        <w:rPr>
          <w:rStyle w:val="14"/>
          <w:rFonts w:ascii="仿宋" w:hAnsi="仿宋" w:eastAsia="仿宋"/>
          <w:bCs/>
          <w:color w:val="000000"/>
          <w:sz w:val="32"/>
          <w:szCs w:val="32"/>
        </w:rPr>
      </w:pPr>
      <w:r>
        <w:rPr>
          <w:rFonts w:hint="eastAsia" w:ascii="仿宋" w:hAnsi="仿宋" w:eastAsia="仿宋"/>
          <w:b/>
          <w:bCs/>
          <w:color w:val="000000"/>
          <w:sz w:val="32"/>
          <w:szCs w:val="32"/>
        </w:rPr>
        <w:t>20.</w:t>
      </w:r>
      <w:r>
        <w:rPr>
          <w:rFonts w:hint="eastAsia" w:ascii="仿宋" w:hAnsi="仿宋" w:eastAsia="仿宋"/>
          <w:sz w:val="32"/>
          <w:szCs w:val="32"/>
        </w:rPr>
        <w:t xml:space="preserve"> </w:t>
      </w:r>
      <w:r>
        <w:rPr>
          <w:rFonts w:hint="eastAsia" w:ascii="仿宋" w:hAnsi="仿宋" w:eastAsia="仿宋"/>
          <w:b/>
          <w:bCs/>
          <w:color w:val="000000"/>
          <w:sz w:val="32"/>
          <w:szCs w:val="32"/>
        </w:rPr>
        <w:t>住房保障支出</w:t>
      </w:r>
      <w:r>
        <w:rPr>
          <w:rFonts w:ascii="仿宋" w:hAnsi="仿宋" w:eastAsia="仿宋"/>
          <w:b/>
          <w:bCs/>
          <w:color w:val="000000"/>
          <w:sz w:val="32"/>
          <w:szCs w:val="32"/>
        </w:rPr>
        <w:t>（类）</w:t>
      </w:r>
      <w:r>
        <w:rPr>
          <w:rFonts w:hint="eastAsia" w:ascii="仿宋" w:hAnsi="仿宋" w:eastAsia="仿宋"/>
          <w:b/>
          <w:bCs/>
          <w:color w:val="000000"/>
          <w:sz w:val="32"/>
          <w:szCs w:val="32"/>
        </w:rPr>
        <w:t>住房改革支出</w:t>
      </w:r>
      <w:r>
        <w:rPr>
          <w:rFonts w:ascii="仿宋" w:hAnsi="仿宋" w:eastAsia="仿宋"/>
          <w:b/>
          <w:bCs/>
          <w:color w:val="000000"/>
          <w:sz w:val="32"/>
          <w:szCs w:val="32"/>
        </w:rPr>
        <w:t>（款）</w:t>
      </w:r>
      <w:r>
        <w:rPr>
          <w:rFonts w:hint="eastAsia" w:ascii="仿宋" w:hAnsi="仿宋" w:eastAsia="仿宋"/>
          <w:b/>
          <w:bCs/>
          <w:color w:val="000000"/>
          <w:sz w:val="32"/>
          <w:szCs w:val="32"/>
        </w:rPr>
        <w:t>住房公积金</w:t>
      </w:r>
      <w:r>
        <w:rPr>
          <w:rFonts w:ascii="仿宋" w:hAnsi="仿宋" w:eastAsia="仿宋"/>
          <w:b/>
          <w:bCs/>
          <w:color w:val="000000"/>
          <w:sz w:val="32"/>
          <w:szCs w:val="32"/>
        </w:rPr>
        <w:t>（项）:</w:t>
      </w:r>
      <w:r>
        <w:rPr>
          <w:rFonts w:ascii="仿宋" w:hAnsi="仿宋" w:eastAsia="仿宋"/>
          <w:color w:val="000000"/>
          <w:sz w:val="32"/>
          <w:szCs w:val="32"/>
        </w:rPr>
        <w:t>2018年决算数为1,088.60万元，完成预算100%。</w:t>
      </w:r>
    </w:p>
    <w:p>
      <w:pPr>
        <w:tabs>
          <w:tab w:val="right" w:pos="8306"/>
        </w:tabs>
        <w:spacing w:line="600" w:lineRule="exact"/>
        <w:ind w:firstLine="640"/>
        <w:outlineLvl w:val="1"/>
        <w:rPr>
          <w:rStyle w:val="17"/>
        </w:rPr>
      </w:pPr>
      <w:bookmarkStart w:id="43" w:name="_Toc15377214"/>
      <w:bookmarkStart w:id="44" w:name="_Toc1962510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3"/>
      <w:bookmarkEnd w:id="44"/>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18,260.99</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15,484.50</w:t>
      </w:r>
      <w:r>
        <w:rPr>
          <w:rFonts w:hint="eastAsia" w:ascii="仿宋" w:hAnsi="仿宋" w:eastAsia="仿宋"/>
          <w:color w:val="000000"/>
          <w:sz w:val="32"/>
          <w:szCs w:val="32"/>
        </w:rPr>
        <w:t>万元，主要包括：基本工资、津贴补贴、奖金、伙食补助费、机关事业单位基本养老保险缴费、职业年金缴费、职工基本医疗保险缴费、公务员医疗补助缴费、住房公积金、医疗费、其他工资福利支出、离休费、生活补助、医疗费补助、奖励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2,776.49</w:t>
      </w:r>
      <w:r>
        <w:rPr>
          <w:rFonts w:hint="eastAsia" w:ascii="仿宋" w:hAnsi="仿宋" w:eastAsia="仿宋"/>
          <w:color w:val="000000"/>
          <w:sz w:val="32"/>
          <w:szCs w:val="32"/>
        </w:rPr>
        <w:t>万元，主要包括：办公费、印刷费、咨询费、手续费、水费、电费、邮电费、物业管理费、差旅费、维修（护）费、租赁费、会议费、培训费、专用材料费、被装购置费、劳务费、委托业务费、工会经费、福利费、公务用车运行维护费、其他交通费、其他商品和服务支出。</w:t>
      </w:r>
    </w:p>
    <w:p>
      <w:pPr>
        <w:spacing w:line="600" w:lineRule="exact"/>
        <w:ind w:firstLine="640"/>
        <w:outlineLvl w:val="1"/>
        <w:rPr>
          <w:rStyle w:val="17"/>
          <w:rFonts w:ascii="黑体" w:hAnsi="黑体" w:eastAsia="黑体"/>
          <w:b w:val="0"/>
        </w:rPr>
      </w:pPr>
      <w:bookmarkStart w:id="45" w:name="_Toc15377215"/>
      <w:bookmarkStart w:id="46" w:name="_Toc1962510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5"/>
      <w:bookmarkEnd w:id="46"/>
    </w:p>
    <w:p>
      <w:pPr>
        <w:spacing w:line="600" w:lineRule="exact"/>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518.78</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8" w:name="_Toc15377217"/>
      <w:r>
        <w:rPr>
          <w:rFonts w:hint="eastAsia" w:ascii="仿宋" w:hAnsi="仿宋" w:eastAsia="仿宋"/>
          <w:b/>
          <w:color w:val="000000"/>
          <w:sz w:val="32"/>
          <w:szCs w:val="32"/>
        </w:rPr>
        <w:t>（二）“三公”经费财政拨款支出决算具体情况说明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514.01</w:t>
      </w:r>
      <w:r>
        <w:rPr>
          <w:rFonts w:hint="eastAsia" w:ascii="仿宋" w:hAnsi="仿宋" w:eastAsia="仿宋"/>
          <w:color w:val="000000"/>
          <w:sz w:val="32"/>
          <w:szCs w:val="32"/>
        </w:rPr>
        <w:t>万元，占99.08</w:t>
      </w:r>
      <w:r>
        <w:rPr>
          <w:rFonts w:ascii="仿宋" w:hAnsi="仿宋" w:eastAsia="仿宋"/>
          <w:color w:val="000000"/>
          <w:sz w:val="32"/>
          <w:szCs w:val="32"/>
        </w:rPr>
        <w:t>%</w:t>
      </w:r>
      <w:r>
        <w:rPr>
          <w:rFonts w:hint="eastAsia" w:ascii="仿宋" w:hAnsi="仿宋" w:eastAsia="仿宋"/>
          <w:color w:val="000000"/>
          <w:sz w:val="32"/>
          <w:szCs w:val="32"/>
        </w:rPr>
        <w:t>；公务接待费支出决算4.77万元，占0.92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jc w:val="center"/>
        <w:rPr>
          <w:rFonts w:ascii="仿宋" w:hAnsi="仿宋" w:eastAsia="仿宋"/>
          <w:color w:val="000000"/>
          <w:sz w:val="32"/>
          <w:szCs w:val="32"/>
        </w:rPr>
      </w:pPr>
      <w:r>
        <w:drawing>
          <wp:inline distT="0" distB="0" distL="114300" distR="114300">
            <wp:extent cx="4568190" cy="2739390"/>
            <wp:effectExtent l="4445" t="4445" r="18415" b="18415"/>
            <wp:docPr id="7" name="图片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全年安排因公出国（境）团组0次，出国（境）0人。因公出国（境）支出决算与2017年持平。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514.01万元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年减少53.72万元，下降9.46</w:t>
      </w:r>
      <w:r>
        <w:rPr>
          <w:rFonts w:ascii="仿宋_GB2312" w:eastAsia="仿宋_GB2312"/>
          <w:color w:val="000000"/>
          <w:sz w:val="32"/>
          <w:szCs w:val="32"/>
        </w:rPr>
        <w:t>%</w:t>
      </w:r>
      <w:r>
        <w:rPr>
          <w:rFonts w:hint="eastAsia" w:ascii="仿宋_GB2312" w:eastAsia="仿宋_GB2312"/>
          <w:color w:val="000000"/>
          <w:sz w:val="32"/>
          <w:szCs w:val="32"/>
        </w:rPr>
        <w:t>。主要原因一是严格执行车辆使用审批手续，车辆管理更加规范高效，二是将部分用于侦查办案的公务用车运行维护费在中省转移支付办案业务经费中列支。</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49.50万元。全年按规定更新购置公务用车2辆，其中：轿车1辆、金额20.07万元，载客汽车1辆、金额21.06万元，主要用于处突运兵车、巡逻执勤，另有8.37万元用于2017年购置车辆购买车辆购置税。截至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月底，单位共有公务用车130辆，其中：轿车82辆、越野车25辆、载客汽车18辆、其他车型5辆。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464.51</w:t>
      </w:r>
      <w:r>
        <w:rPr>
          <w:rFonts w:hint="eastAsia" w:ascii="仿宋_GB2312" w:eastAsia="仿宋_GB2312"/>
          <w:color w:val="000000"/>
          <w:sz w:val="32"/>
          <w:szCs w:val="32"/>
        </w:rPr>
        <w:t>万元。主要用于公安业务侦查、案件办理、应急处突、巡逻防控等所需的公务用车燃料费、维修费、过路过桥费、保险费等支出。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4.77万元，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年减少7.94万元，下降62.47</w:t>
      </w:r>
      <w:r>
        <w:rPr>
          <w:rFonts w:ascii="仿宋_GB2312" w:eastAsia="仿宋_GB2312"/>
          <w:color w:val="000000"/>
          <w:sz w:val="32"/>
          <w:szCs w:val="32"/>
        </w:rPr>
        <w:t>%</w:t>
      </w:r>
      <w:r>
        <w:rPr>
          <w:rFonts w:hint="eastAsia" w:ascii="仿宋_GB2312" w:eastAsia="仿宋_GB2312"/>
          <w:color w:val="000000"/>
          <w:sz w:val="32"/>
          <w:szCs w:val="32"/>
        </w:rPr>
        <w:t>。主要原因一是根据《遂宁市公安局公务接待管理办法》落实中央八项规定精神和厉行节约要求，对公务接待进行了严格审批，对不符合公务接待标准的开支项目不予以报销。二是推行食堂就餐，除重要的公务事项，一般公务接待都在食堂以工作自助餐解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66批次，506人次（不包括陪同人员），共计支出4.77万元，具体内容包括：接待省公安厅督察调研2674元、接待广元公安局考察学习2352元、接待外地禁毒部门办案2285元、接待侦办1.03专案办案民警1111元。其中：</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bookmarkStart w:id="49" w:name="_Toc15377218"/>
    </w:p>
    <w:p>
      <w:pPr>
        <w:spacing w:line="600" w:lineRule="exact"/>
        <w:ind w:firstLine="640"/>
        <w:outlineLvl w:val="1"/>
        <w:rPr>
          <w:rStyle w:val="17"/>
          <w:rFonts w:ascii="黑体" w:hAnsi="黑体" w:eastAsia="黑体"/>
        </w:rPr>
      </w:pPr>
      <w:bookmarkStart w:id="50" w:name="_Toc19625106"/>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年政府性基金预算拨款支出0万元。</w:t>
      </w:r>
    </w:p>
    <w:p>
      <w:pPr>
        <w:numPr>
          <w:ilvl w:val="0"/>
          <w:numId w:val="3"/>
        </w:numPr>
        <w:spacing w:line="600" w:lineRule="exact"/>
        <w:ind w:firstLine="640"/>
        <w:outlineLvl w:val="1"/>
        <w:rPr>
          <w:rStyle w:val="17"/>
          <w:rFonts w:ascii="黑体" w:hAnsi="黑体" w:eastAsia="黑体"/>
          <w:b w:val="0"/>
        </w:rPr>
      </w:pPr>
      <w:bookmarkStart w:id="51" w:name="_Toc19625107"/>
      <w:bookmarkStart w:id="52" w:name="_Toc15377219"/>
      <w:r>
        <w:rPr>
          <w:rStyle w:val="17"/>
          <w:rFonts w:hint="eastAsia" w:ascii="黑体" w:hAnsi="黑体" w:eastAsia="黑体"/>
          <w:b w:val="0"/>
        </w:rPr>
        <w:t>国有资本经营预算支出决算情况说明</w:t>
      </w:r>
      <w:bookmarkEnd w:id="51"/>
      <w:bookmarkEnd w:id="52"/>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年国有资本经营预算拨款支出0万元。</w:t>
      </w:r>
    </w:p>
    <w:p>
      <w:pPr>
        <w:spacing w:line="600" w:lineRule="exact"/>
        <w:ind w:firstLine="640"/>
        <w:rPr>
          <w:rStyle w:val="17"/>
          <w:rFonts w:ascii="黑体" w:hAnsi="黑体" w:eastAsia="黑体"/>
          <w:b w:val="0"/>
        </w:rPr>
      </w:pPr>
      <w:bookmarkStart w:id="53" w:name="_Toc19625108"/>
      <w:r>
        <w:rPr>
          <w:rStyle w:val="17"/>
          <w:rFonts w:hint="eastAsia" w:ascii="黑体" w:hAnsi="黑体" w:eastAsia="黑体"/>
        </w:rPr>
        <w:t>十、</w:t>
      </w:r>
      <w:r>
        <w:rPr>
          <w:rStyle w:val="17"/>
          <w:rFonts w:hint="eastAsia" w:ascii="黑体" w:hAnsi="黑体" w:eastAsia="黑体"/>
          <w:b w:val="0"/>
        </w:rPr>
        <w:t>预算绩效情况说明</w:t>
      </w:r>
      <w:bookmarkEnd w:id="53"/>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31个项目开展了预算事前绩效评估，对15个项目编制了绩效目标，预算执行过程中，选取15个项目开展绩效监控，年终执行完毕后，对31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遂宁市公安局绩效评价结果良好，绩效管理水平不断提高，取得了显著成效：一是强化对敌反恐，全力确保政治安全。二是强化风险防控，竭力维护社会稳定。三是强化打击整治，聚力建设平安遂宁，始终坚持打防结合、整体防控，筑牢社会治安和公共安全“铜墙铁壁”，持续巩固“长安杯”创建成果。四是强化基层基础，合力植牢发展根基。五是强化改革创新，大力提升警务效能，始终坚持创新驱动，综合施策，强化改革项目攻坚，着力实现公安工作质量变革、效率变革和动力变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本部门还自行组织了30个项目绩效评价，从评价情况来看大部分项目编制科学合理，整体支出效益明显，强化了实战支撑能力，对全市公安业务工作发挥了积极的作用。</w:t>
      </w:r>
    </w:p>
    <w:p>
      <w:pPr>
        <w:numPr>
          <w:ilvl w:val="0"/>
          <w:numId w:val="4"/>
        </w:numPr>
        <w:spacing w:line="580" w:lineRule="exact"/>
        <w:ind w:firstLine="643" w:firstLineChars="200"/>
        <w:rPr>
          <w:rFonts w:hint="eastAsia"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年度部门决算中反映“车辆检测中心运行经费”“电子警察二期建设”“高清治安卡口专项经费”等5个项目绩效目标实际完成情况。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“车辆检测中心运行经费”项目绩效目标完成情况综述。项目全年预算数130万元，执行数为130万元，完成预算的100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。通过项目实施，保障支队民警、辅警的工作餐，解决了民警、辅警因工作繁忙或因错峰上班执勤而不能就餐的后顾之忧。</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“电子警察二期建设”项目绩效目标完成情况综述。项目全年预算数567.97万元，执行数为455.73万元，完成预算的80.24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。通过项目实施，保障了城区道路交通有序、畅通，促进了交通参与者的交通安全意识，改善了交通出行安全质量，提高了我市智慧交通的管理能力。</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“车管成本费”项目绩效目标完成情况综述。项目全年预算数106.42万元，执行数为95.86万元，完成预算的90.08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。通过项目实施，保障了车管所各项车、驾管业务正常运行。</w:t>
      </w:r>
    </w:p>
    <w:p>
      <w:pPr>
        <w:numPr>
          <w:ilvl w:val="0"/>
          <w:numId w:val="5"/>
        </w:numPr>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高清治安卡口专项经费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项目绩效目标完成情况综述。项目全年预算数146万元，执行数为146万元，完成预算的100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。通过项目实施，保障了全市治安卡口运行稳定，提高了社会治安防控管理水平。</w:t>
      </w:r>
    </w:p>
    <w:p>
      <w:pPr>
        <w:numPr>
          <w:ilvl w:val="0"/>
          <w:numId w:val="5"/>
        </w:numPr>
        <w:spacing w:line="580" w:lineRule="exact"/>
        <w:ind w:firstLine="640"/>
        <w:rPr>
          <w:rFonts w:hint="eastAsia" w:ascii="仿宋_GB2312" w:hAnsi="仿宋_GB2312" w:eastAsia="仿宋_GB2312" w:cs="仿宋_GB2312"/>
          <w:b/>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辅警服务经费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1,065.00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887.88</w:t>
      </w:r>
      <w:r>
        <w:rPr>
          <w:rFonts w:hint="eastAsia" w:ascii="仿宋_GB2312" w:hAnsi="仿宋_GB2312" w:eastAsia="仿宋_GB2312" w:cs="仿宋_GB2312"/>
          <w:sz w:val="32"/>
          <w:szCs w:val="32"/>
        </w:rPr>
        <w:t>万元，完成预算的83.37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。通过项目实施，保障了遂宁市公安局本级213名警务辅助人员的工资福利发放及服装装备购置，增强了公安队伍力量建设，提高了路面见警率，提升了群众安全感。</w:t>
      </w:r>
    </w:p>
    <w:p>
      <w:pPr>
        <w:spacing w:line="580" w:lineRule="exact"/>
        <w:ind w:left="640"/>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车辆检测中心运行经费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130万元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保障支队民警、辅警的工作餐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保障了支队民警、辅警的工作餐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就餐餐数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每日2餐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支队机关每日2餐，一线民、辅警每日3餐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就餐人数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每餐约360人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每餐约360人（民、辅警编制共有399人）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工作餐落实率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pPr>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电子警察二期建设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567.97万元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455.73万元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567.97万元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455.73万元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按合同结算建设款，保障电子警察二期运维正常</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调增了74.53万元，已按合同结算支付建设款</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次</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开展检查专项工作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开展实地调研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财政评审合格率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财政申报合格率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交通安全影响率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质量落实率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车管成本费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330305－交警支队</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95.86万元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95.86万元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保障车管所各项车、驾管业务正常运行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保障了车管所各项车、驾管业务正常运行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完成机动车驾驶员管理业务数量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大约20万人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大约20万人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完成机动车辆管理业务数量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大约41万辆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大约41万辆</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机动车定期检验率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机动车及机动车驾驶员档案管理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达到车辆管理所等级评定考核标准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达到车辆管理所等级评定考核标准</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95%以上</w:t>
            </w:r>
          </w:p>
        </w:tc>
      </w:tr>
    </w:tbl>
    <w:p>
      <w:pPr>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高清治安卡口专项经费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146万元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根据合同约定，每月对全市治安各卡口设备运行情况进行检查，根据设备运行情况进行费用支付。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保障了全市治安卡口正常运行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车道监控数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卡口在线率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不低于90%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租赁费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1194.78元/月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1194.78元/月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对治安防控的促进作用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增加监控覆盖率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增加监控覆盖率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持续年限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项目效果满意率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98%</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辅警服务经费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887.88万元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887.88万元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保障遂宁市公安局本级213名警务辅助人员的工资福利发放及服装装备购置，增强公安队伍力量建设，提高路面见警率，提升群众安全感。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保障遂宁市公安局本级213名警务辅助人员的工资福利发放及服装装备购置，增强公安队伍力量建设，提高路面见警率，提升群众安全感</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招录人数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213人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213人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入职条件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 xml:space="preserve">严格按照《市政府办公室关于规范公安机关警务辅助人员管理工作的实施意见》  </w:t>
            </w:r>
            <w:r>
              <w:rPr>
                <w:rFonts w:hint="eastAsia" w:asci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严格按照《市政府办公室关于规范公安机关警务辅助人员管理工作的实施意见》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工资福利及社保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4.5万元/人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4.5万元/人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服装被装费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0.5万元/人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0.5万元/人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建设一支应急处突力量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提高公安警用力量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提高见警率、提升群众安全感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提高见警率、提升群众安全感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增强公安机关实战能力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年部门整体支出绩效评价情况开展自评，《遂宁市公安局部门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17"/>
          <w:rFonts w:ascii="黑体" w:hAnsi="黑体" w:eastAsia="黑体"/>
        </w:rPr>
      </w:pPr>
      <w:bookmarkStart w:id="54" w:name="_Toc19625109"/>
      <w:bookmarkStart w:id="55"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ascii="仿宋" w:hAnsi="仿宋" w:eastAsia="仿宋"/>
          <w:b/>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年，遂宁市公安局机关运行经费支出2,776.49万元，比</w:t>
      </w:r>
      <w:r>
        <w:rPr>
          <w:rFonts w:ascii="仿宋_GB2312" w:eastAsia="仿宋_GB2312"/>
          <w:color w:val="000000"/>
          <w:sz w:val="32"/>
          <w:szCs w:val="32"/>
        </w:rPr>
        <w:t>2017</w:t>
      </w:r>
      <w:r>
        <w:rPr>
          <w:rFonts w:hint="eastAsia" w:ascii="仿宋_GB2312" w:eastAsia="仿宋_GB2312"/>
          <w:color w:val="000000"/>
          <w:sz w:val="32"/>
          <w:szCs w:val="32"/>
        </w:rPr>
        <w:t>年减少238.45万元，下降7.91</w:t>
      </w:r>
      <w:r>
        <w:rPr>
          <w:rFonts w:ascii="仿宋_GB2312" w:eastAsia="仿宋_GB2312"/>
          <w:color w:val="000000"/>
          <w:sz w:val="32"/>
          <w:szCs w:val="32"/>
        </w:rPr>
        <w:t>%</w:t>
      </w:r>
      <w:r>
        <w:rPr>
          <w:rFonts w:hint="eastAsia" w:ascii="仿宋_GB2312" w:eastAsia="仿宋_GB2312"/>
          <w:color w:val="000000"/>
          <w:sz w:val="32"/>
          <w:szCs w:val="32"/>
        </w:rPr>
        <w:t>。主要原因是继续积极贯彻落实中央八项规定及省委省政府十项规定要求，加强行政单位日常经费管理。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年，遂宁市公安局政府采购支出总额</w:t>
      </w:r>
      <w:r>
        <w:rPr>
          <w:rFonts w:ascii="仿宋_GB2312" w:eastAsia="仿宋_GB2312"/>
          <w:color w:val="000000"/>
          <w:sz w:val="32"/>
          <w:szCs w:val="32"/>
        </w:rPr>
        <w:t>1,702.96</w:t>
      </w:r>
      <w:r>
        <w:rPr>
          <w:rFonts w:hint="eastAsia" w:ascii="仿宋_GB2312" w:eastAsia="仿宋_GB2312"/>
          <w:color w:val="000000"/>
          <w:sz w:val="32"/>
          <w:szCs w:val="32"/>
        </w:rPr>
        <w:t>万元，其中：政府采购货物支出</w:t>
      </w:r>
      <w:r>
        <w:rPr>
          <w:rFonts w:ascii="仿宋_GB2312" w:eastAsia="仿宋_GB2312"/>
          <w:color w:val="000000"/>
          <w:sz w:val="32"/>
          <w:szCs w:val="32"/>
        </w:rPr>
        <w:t>944.97</w:t>
      </w:r>
      <w:r>
        <w:rPr>
          <w:rFonts w:hint="eastAsia" w:ascii="仿宋_GB2312" w:eastAsia="仿宋_GB2312"/>
          <w:color w:val="000000"/>
          <w:sz w:val="32"/>
          <w:szCs w:val="32"/>
        </w:rPr>
        <w:t>万元、政府采购工程支出</w:t>
      </w:r>
      <w:r>
        <w:rPr>
          <w:rFonts w:ascii="仿宋_GB2312" w:eastAsia="仿宋_GB2312"/>
          <w:color w:val="000000"/>
          <w:sz w:val="32"/>
          <w:szCs w:val="32"/>
        </w:rPr>
        <w:t>142.68</w:t>
      </w:r>
      <w:r>
        <w:rPr>
          <w:rFonts w:hint="eastAsia" w:ascii="仿宋_GB2312" w:eastAsia="仿宋_GB2312"/>
          <w:color w:val="000000"/>
          <w:sz w:val="32"/>
          <w:szCs w:val="32"/>
        </w:rPr>
        <w:t>万元、政府采购服务支出</w:t>
      </w:r>
      <w:r>
        <w:rPr>
          <w:rFonts w:ascii="仿宋_GB2312" w:eastAsia="仿宋_GB2312"/>
          <w:color w:val="000000"/>
          <w:sz w:val="32"/>
          <w:szCs w:val="32"/>
        </w:rPr>
        <w:t>615.31</w:t>
      </w:r>
      <w:r>
        <w:rPr>
          <w:rFonts w:hint="eastAsia" w:ascii="仿宋_GB2312" w:eastAsia="仿宋_GB2312"/>
          <w:color w:val="000000"/>
          <w:sz w:val="32"/>
          <w:szCs w:val="32"/>
        </w:rPr>
        <w:t>万元。主要用于天网工程租赁、高清治安卡口租赁、购买辅警服务等。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日，遂宁市公安局共有车辆130辆，其中：应急保障用车1辆、一般执法执勤用车114辆、特种专业技术用车15辆。单价</w:t>
      </w:r>
      <w:r>
        <w:rPr>
          <w:rFonts w:ascii="仿宋_GB2312" w:eastAsia="仿宋_GB2312"/>
          <w:color w:val="000000"/>
          <w:sz w:val="32"/>
          <w:szCs w:val="32"/>
        </w:rPr>
        <w:t>50</w:t>
      </w:r>
      <w:r>
        <w:rPr>
          <w:rFonts w:hint="eastAsia" w:ascii="仿宋_GB2312" w:eastAsia="仿宋_GB2312"/>
          <w:color w:val="000000"/>
          <w:sz w:val="32"/>
          <w:szCs w:val="32"/>
        </w:rPr>
        <w:t>万元以上通用设备19台（套），单价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万元以上专用设备17台（套）。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16"/>
          <w:rFonts w:ascii="黑体" w:hAnsi="黑体" w:eastAsia="黑体"/>
          <w:b w:val="0"/>
        </w:rPr>
      </w:pPr>
      <w:bookmarkStart w:id="59" w:name="_Toc19625110"/>
      <w:bookmarkStart w:id="60" w:name="_Toc15377225"/>
      <w:r>
        <w:rPr>
          <w:rFonts w:hint="eastAsia" w:ascii="黑体" w:hAnsi="黑体" w:eastAsia="黑体"/>
          <w:b/>
          <w:color w:val="000000"/>
          <w:sz w:val="44"/>
          <w:szCs w:val="44"/>
        </w:rPr>
        <w:t>名</w:t>
      </w:r>
      <w:r>
        <w:rPr>
          <w:rStyle w:val="16"/>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5"/>
        <w:spacing w:line="560" w:lineRule="exact"/>
        <w:ind w:firstLine="640" w:firstLineChars="200"/>
        <w:rPr>
          <w:rFonts w:hint="eastAsia" w:hAnsi="仿宋" w:cs="Times New Roman"/>
          <w:sz w:val="32"/>
          <w:szCs w:val="32"/>
        </w:rPr>
      </w:pPr>
      <w:bookmarkStart w:id="61" w:name="_Toc15377226"/>
      <w:r>
        <w:rPr>
          <w:rFonts w:hAnsi="仿宋" w:cs="Times New Roman"/>
          <w:sz w:val="32"/>
          <w:szCs w:val="32"/>
        </w:rPr>
        <w:t>1.</w:t>
      </w:r>
      <w:r>
        <w:rPr>
          <w:rFonts w:hint="eastAsia" w:hAnsi="仿宋" w:cs="Times New Roman"/>
          <w:sz w:val="32"/>
          <w:szCs w:val="32"/>
        </w:rPr>
        <w:t xml:space="preserve"> </w:t>
      </w:r>
      <w:r>
        <w:rPr>
          <w:rFonts w:hAnsi="仿宋" w:cs="Times New Roman"/>
          <w:sz w:val="32"/>
          <w:szCs w:val="32"/>
        </w:rPr>
        <w:t>财政拨款收入：指单位从同级财政部门取得的财政预算资金。</w:t>
      </w:r>
    </w:p>
    <w:p>
      <w:pPr>
        <w:pStyle w:val="25"/>
        <w:spacing w:line="560" w:lineRule="exact"/>
        <w:ind w:firstLine="640" w:firstLineChars="200"/>
        <w:rPr>
          <w:rFonts w:hAnsi="仿宋" w:cs="Times New Roman"/>
          <w:sz w:val="32"/>
          <w:szCs w:val="32"/>
        </w:rPr>
      </w:pPr>
      <w:r>
        <w:rPr>
          <w:rFonts w:hint="eastAsia" w:hAnsi="仿宋" w:cs="Times New Roman"/>
          <w:sz w:val="32"/>
          <w:szCs w:val="32"/>
        </w:rPr>
        <w:t>2</w:t>
      </w:r>
      <w:r>
        <w:rPr>
          <w:rFonts w:hAnsi="仿宋" w:cs="Times New Roman"/>
          <w:sz w:val="32"/>
          <w:szCs w:val="32"/>
        </w:rPr>
        <w:t>.</w:t>
      </w:r>
      <w:r>
        <w:rPr>
          <w:rFonts w:hint="eastAsia" w:hAnsi="仿宋" w:cs="Times New Roman"/>
          <w:sz w:val="32"/>
          <w:szCs w:val="32"/>
        </w:rPr>
        <w:t xml:space="preserve"> </w:t>
      </w:r>
      <w:r>
        <w:rPr>
          <w:rFonts w:hAnsi="仿宋" w:cs="Times New Roman"/>
          <w:sz w:val="32"/>
          <w:szCs w:val="32"/>
        </w:rPr>
        <w:t>其他收入：指单位取得的除上述收入以外的各项收入。主要是</w:t>
      </w:r>
      <w:r>
        <w:rPr>
          <w:rFonts w:hint="eastAsia" w:hAnsi="仿宋" w:cs="Times New Roman"/>
          <w:sz w:val="32"/>
          <w:szCs w:val="32"/>
        </w:rPr>
        <w:t>省厅专项经费拨款、存量资金</w:t>
      </w:r>
      <w:r>
        <w:rPr>
          <w:rFonts w:hAnsi="仿宋" w:cs="Times New Roman"/>
          <w:sz w:val="32"/>
          <w:szCs w:val="32"/>
        </w:rPr>
        <w:t xml:space="preserve">等。 </w:t>
      </w:r>
    </w:p>
    <w:p>
      <w:pPr>
        <w:pStyle w:val="25"/>
        <w:spacing w:line="560" w:lineRule="exact"/>
        <w:ind w:firstLine="640" w:firstLineChars="200"/>
        <w:rPr>
          <w:rFonts w:hAnsi="仿宋" w:cs="Times New Roman"/>
          <w:sz w:val="32"/>
          <w:szCs w:val="32"/>
        </w:rPr>
      </w:pPr>
      <w:r>
        <w:rPr>
          <w:rFonts w:hint="eastAsia" w:hAnsi="仿宋" w:cs="Times New Roman"/>
          <w:sz w:val="32"/>
          <w:szCs w:val="32"/>
        </w:rPr>
        <w:t>3</w:t>
      </w:r>
      <w:r>
        <w:rPr>
          <w:rFonts w:hAnsi="仿宋" w:cs="Times New Roman"/>
          <w:sz w:val="32"/>
          <w:szCs w:val="32"/>
        </w:rPr>
        <w:t>.</w:t>
      </w:r>
      <w:r>
        <w:rPr>
          <w:rFonts w:hint="eastAsia" w:hAnsi="仿宋" w:cs="Times New Roman"/>
          <w:sz w:val="32"/>
          <w:szCs w:val="32"/>
        </w:rPr>
        <w:t xml:space="preserve"> </w:t>
      </w:r>
      <w:r>
        <w:rPr>
          <w:rFonts w:hAnsi="仿宋" w:cs="Times New Roman"/>
          <w:sz w:val="32"/>
          <w:szCs w:val="32"/>
        </w:rPr>
        <w:t xml:space="preserve">年初结转和结余：指以前年度尚未完成、结转到本年按有关规定继续使用的资金。 </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 xml:space="preserve">4. </w:t>
      </w:r>
      <w:r>
        <w:rPr>
          <w:rFonts w:hAnsi="仿宋" w:cs="Times New Roman"/>
          <w:sz w:val="32"/>
          <w:szCs w:val="32"/>
        </w:rPr>
        <w:t>年末结转和结余：指单位按有关规定结转到下年或以后年度继续使用的资金。</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5. 公共安全支出（类）公安（款）行政运行（项）:指行政单位的基本支出。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6. 公共安全支出（类）公安（款）一般行政管理事务（项）:指行政单位未单独设置项级科目的其他项目支出。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7. 公共安全支出（类）公安（款）治安管理（项）:指各级公安机关开展治安管理工作的支出，包括所属巡警队、特警队、派出所、110等方面的支出。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8.公共安全支出（类）公安（款）国内安全保卫（项）:指各级公安机关开展国内安全保卫工作的支出。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9.公共安全支出（类）公安（款）刑事侦查（项）:指各级公安机关开展打击刑事犯罪活动的支出。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10.公共安全支出（类）公安（款）出入境管理（项）:指各级公安机关开展出入境管理工作的支出，包括“三非”外国人遣返，出入境证照印制、管理以及出入境边防检查站等方面的支出。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11.公共安全支出（类）公安（款）禁毒管理（项）:指各级公安机关开展禁毒工作的支出。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12.公共安全支出（类）公安（款）道路交通管理（项）:指各级公安机关开展道路交通管理工作的支出。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13.公共安全支出（类）公安（款）网络运行及维护（项）:指各级公安机关各类专网、局域网的租费、运行费、维护费、软件开发费等方面的支出。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14.公共安全支出（类）公安（款）拘押收教场所管理（项）:指各级公安机关所属看守所、行政拘留所、收容教育所、强制戒毒所等方面的支出。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15.公共安全支出（类）公安（款）警犬繁育及训养（项）:指各级公安机关警犬繁育及训养的支出。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16.公共安全支出（类）公安（款）其他公安支出（项）:指其他用于公安方面的支出。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17. 社会保障和就业支出（类）行政事业单位离退休（款）未归口管理的行政单位离退休（项）:指未实行归口管理的行政单位（包括实行公务员管理的事业单位）开支的离退休支出。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18. 社会保障和就业支出（类）行政事业单位离退休（款）机关事业单位基本养老保险缴费支出（项）:指机关事业单位实施养老保险制度由单位缴纳的基本养老保险费支出。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19. 社会保障和就业支出（类）抚恤（款）死亡抚恤（项）:指按规定用于烈士和牺牲、病故人员家属的一次性和定期抚恤金以及丧葬补助费。</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20. 社会保障和就业支出（类）其他社会保障和就业支出（款）其他社会保障和就业支出（项）:指其他用于社会保障和就业方面的支出。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21. 医疗卫生与计划生育支出（类）食品和药品监督管理事务（款）其他食品和药品监督管理事务支出（项）:指其他用于食品和药品监督管理事务方面的支出。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22.医疗卫生与计划生育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23. 医疗卫生与计划生育支出（类）行政事业单位医疗（款）  其他行政事业单位医疗支出（项）:指其他用于行政事业单位医疗方面的支出。</w:t>
      </w:r>
    </w:p>
    <w:p>
      <w:pPr>
        <w:pStyle w:val="25"/>
        <w:spacing w:line="560" w:lineRule="exact"/>
        <w:ind w:firstLine="640" w:firstLineChars="200"/>
        <w:rPr>
          <w:rFonts w:hint="eastAsia" w:hAnsi="仿宋" w:cs="Times New Roman"/>
          <w:sz w:val="32"/>
          <w:szCs w:val="32"/>
        </w:rPr>
      </w:pPr>
      <w:r>
        <w:rPr>
          <w:rFonts w:hint="eastAsia" w:hAnsi="仿宋" w:cs="Times New Roman"/>
          <w:sz w:val="32"/>
          <w:szCs w:val="32"/>
        </w:rPr>
        <w:t>24. 医疗卫生与计划生育支出（类）医疗救助（款）其他医疗救助支出（项）:指其他用于医疗救助方面的支出。</w:t>
      </w:r>
    </w:p>
    <w:p>
      <w:pPr>
        <w:pStyle w:val="25"/>
        <w:spacing w:line="560" w:lineRule="exact"/>
        <w:ind w:firstLine="640" w:firstLineChars="200"/>
        <w:rPr>
          <w:rFonts w:hAnsi="仿宋"/>
          <w:b/>
          <w:sz w:val="32"/>
          <w:szCs w:val="32"/>
        </w:rPr>
      </w:pPr>
      <w:r>
        <w:rPr>
          <w:rFonts w:hint="eastAsia" w:hAnsi="仿宋" w:cs="Times New Roman"/>
          <w:sz w:val="32"/>
          <w:szCs w:val="32"/>
        </w:rPr>
        <w:t>25. 住房保障支出（类）住房改革支出（款）住房公积金（项）:指行政事业单位按人力资源和社会保障部、财政部规定的基本工资和津补贴以及规定比例为职工缴纳的住房公积金。</w:t>
      </w:r>
    </w:p>
    <w:p>
      <w:pPr>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 xml:space="preserve"> </w:t>
      </w:r>
      <w:r>
        <w:rPr>
          <w:rFonts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rPr>
      </w:pPr>
      <w:r>
        <w:rPr>
          <w:rFonts w:ascii="仿宋" w:hAnsi="仿宋" w:eastAsia="仿宋"/>
          <w:color w:val="000000"/>
          <w:sz w:val="32"/>
          <w:szCs w:val="32"/>
        </w:rPr>
        <w:t>2</w:t>
      </w: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 xml:space="preserve"> </w:t>
      </w:r>
      <w:r>
        <w:rPr>
          <w:rFonts w:ascii="仿宋" w:hAnsi="仿宋" w:eastAsia="仿宋"/>
          <w:color w:val="000000"/>
          <w:sz w:val="32"/>
          <w:szCs w:val="32"/>
        </w:rPr>
        <w:t>项目支出：指在基本支出之外为完成特定行政任务和事业发展目标所发生的支出。</w:t>
      </w:r>
      <w:r>
        <w:rPr>
          <w:rFonts w:ascii="仿宋" w:hAnsi="仿宋" w:eastAsia="仿宋"/>
          <w:color w:val="000000"/>
        </w:rPr>
        <w:t xml:space="preserve"> </w:t>
      </w:r>
    </w:p>
    <w:p>
      <w:pPr>
        <w:pStyle w:val="25"/>
        <w:spacing w:line="560" w:lineRule="exact"/>
        <w:ind w:firstLine="640" w:firstLineChars="200"/>
        <w:rPr>
          <w:rFonts w:hAnsi="仿宋" w:cs="Times New Roman"/>
          <w:sz w:val="32"/>
          <w:szCs w:val="32"/>
        </w:rPr>
      </w:pPr>
      <w:r>
        <w:rPr>
          <w:rFonts w:hint="eastAsia" w:hAnsi="仿宋" w:cs="Times New Roman"/>
          <w:sz w:val="32"/>
          <w:szCs w:val="32"/>
        </w:rPr>
        <w:t>28</w:t>
      </w:r>
      <w:r>
        <w:rPr>
          <w:rFonts w:hAnsi="仿宋" w:cs="Times New Roman"/>
          <w:sz w:val="32"/>
          <w:szCs w:val="32"/>
        </w:rPr>
        <w:t>.</w:t>
      </w:r>
      <w:r>
        <w:rPr>
          <w:rFonts w:hint="eastAsia" w:hAnsi="仿宋" w:cs="Times New Roman"/>
          <w:sz w:val="32"/>
          <w:szCs w:val="32"/>
        </w:rPr>
        <w:t xml:space="preserve"> </w:t>
      </w:r>
      <w:r>
        <w:rPr>
          <w:rFonts w:hAnsi="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s="Times New Roman"/>
          <w:sz w:val="32"/>
          <w:szCs w:val="32"/>
        </w:rPr>
      </w:pPr>
      <w:r>
        <w:rPr>
          <w:rFonts w:hint="eastAsia" w:hAnsi="仿宋" w:cs="Times New Roman"/>
          <w:sz w:val="32"/>
          <w:szCs w:val="32"/>
        </w:rPr>
        <w:t>29</w:t>
      </w:r>
      <w:r>
        <w:rPr>
          <w:rFonts w:hAnsi="仿宋" w:cs="Times New Roman"/>
          <w:sz w:val="32"/>
          <w:szCs w:val="32"/>
        </w:rPr>
        <w:t>.</w:t>
      </w:r>
      <w:r>
        <w:rPr>
          <w:rFonts w:hint="eastAsia" w:hAnsi="仿宋" w:cs="Times New Roman"/>
          <w:sz w:val="32"/>
          <w:szCs w:val="32"/>
        </w:rPr>
        <w:t xml:space="preserve"> </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hAnsi="仿宋" w:cs="Times New Roman"/>
          <w:sz w:val="32"/>
          <w:szCs w:val="32"/>
        </w:rPr>
        <w:t>。</w:t>
      </w:r>
    </w:p>
    <w:p>
      <w:pPr>
        <w:spacing w:line="600" w:lineRule="exact"/>
        <w:jc w:val="center"/>
        <w:outlineLvl w:val="0"/>
        <w:rPr>
          <w:rStyle w:val="16"/>
          <w:rFonts w:ascii="黑体" w:hAnsi="黑体" w:eastAsia="黑体"/>
          <w:b w:val="0"/>
        </w:rPr>
      </w:pPr>
      <w:r>
        <w:rPr>
          <w:rFonts w:ascii="宋体"/>
          <w:b/>
          <w:color w:val="000000"/>
          <w:sz w:val="44"/>
          <w:szCs w:val="44"/>
        </w:rPr>
        <w:br w:type="page"/>
      </w:r>
      <w:bookmarkStart w:id="62" w:name="_Toc19625111"/>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62"/>
    </w:p>
    <w:p>
      <w:pPr>
        <w:spacing w:line="600" w:lineRule="exact"/>
        <w:jc w:val="center"/>
        <w:outlineLvl w:val="0"/>
        <w:rPr>
          <w:rFonts w:hint="eastAsia" w:ascii="黑体" w:hAnsi="黑体" w:eastAsia="黑体" w:cs="方正小标宋简体"/>
          <w:sz w:val="36"/>
          <w:szCs w:val="36"/>
        </w:rPr>
      </w:pPr>
      <w:bookmarkStart w:id="63" w:name="_Toc15396616"/>
      <w:bookmarkStart w:id="64" w:name="_Toc19625113"/>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遂宁市公安局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3"/>
      <w:bookmarkEnd w:id="64"/>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遂宁市公安局下属二级预算单位7个，均为行政单位。主要包括：遂宁市公安局经济技术开发区分局、遂宁市公安局河东新区分局、遂宁市公安局交通警察支队、遂宁市公安局收容教育所、遂宁市公安局强制隔离戒毒所、遂宁市看守所、遂宁市强制医疗所。</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（二）机构职能。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遂宁市公安局基本职能：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境入境管理工作；依法管理交通、车辆、驾驶员；组织实施消防监督、火灾预防和扑救工作；组织开展对国家机关、社会团体、企业事业单位、重点建设工程和治安保卫工作以及群众性组织的治安防范工作。</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（三）人员概况。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截止2018年底，我局实有编制内人数741人（公务员729人，工勤人员12人）。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2018年遂宁市公安局财政资金收入36,568.46万元，其中当年收入32,609.81万元，上年结转3,958.65万元。</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2018年遂宁市公安局财政资金支出26,635.93万元，其中公共安全支出28,432.92万元，社会保障和就业支出1,268.12万元，医疗卫生与计划生育支出569.36万元，住房保障支出1,088.60万元。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三、部门财政支出管理情况</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（一）预算编制情况</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按照市财政局2018年部门预算编制通知要求，按时完成全局年初预算编制工作。在编制过程中，认真核实单位实际财政供养人数和单位实有编制情况，正确编制人员经费和公用经费等，做到尽量细化项目资金支出预算范围和科目，涉及绩效目标填报的，积极与相关业务部门进行沟通协调以便合理填报数据。最终按时上报相关科室进行审核，对我局预算予以通过。</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（二）执行管理情况</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部门预算执行情况。我局在财政资金执行过程中，严格按照中、省、市各级财务管理规章制度，管好、用好每笔资金。在中省项目资金使用过程中，严格按照项目资金管理办法的规定做好项目实施和监管，切实做到专款专用，从而发挥好项目资金对项目实施的促进作用；对涉及专项资金支出额度较大时，实行“三重一大”制度，杜绝违规违法事件的发生。</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（2）中期评估。在每年年中组织相关业务部门对所有项目进行中期评估，认真核查项目的进展，梳理全年目标任务的完成情况，确保项目按时完成和财政资金及时、安全、高效的使用。</w:t>
      </w:r>
    </w:p>
    <w:p>
      <w:pPr>
        <w:spacing w:line="580" w:lineRule="exact"/>
        <w:ind w:firstLine="640" w:firstLineChars="200"/>
        <w:rPr>
          <w:rFonts w:ascii="仿宋" w:hAnsi="仿宋" w:eastAsia="仿宋" w:cs="黑体"/>
          <w:sz w:val="32"/>
          <w:szCs w:val="32"/>
        </w:rPr>
      </w:pPr>
      <w:r>
        <w:rPr>
          <w:rFonts w:hint="eastAsia" w:ascii="仿宋" w:hAnsi="仿宋" w:eastAsia="仿宋" w:cs="黑体"/>
          <w:sz w:val="32"/>
          <w:szCs w:val="32"/>
        </w:rPr>
        <w:t>（3）节能降耗。我局认真开展厉行节约反对浪费规定学习的同时，倡导全体民警弘扬艰苦奋斗、勤俭节约的优良作风，进一步推进建设节约型机关。首先节约办公用电。办公室、会议室等尽量采用自然光，尽可能少开灯或不开灯。全体民警做到离开办公室随手关灯，杜绝“长明灯”、“白昼灯”，下班后自觉关闭各类电器设备电源。其次做到节约用水，强化节水意识，切实做到节约每一滴水，使广大民警养成良好的节水习惯。三是节约办公耗材，加强办公用品的使用管理，规范办公用品的采购，积极推行网络办公，尽量在电子媒介上撰写、修改文稿，加快推进无纸化办公。</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（4）三公经费预算执行情况。2018年度“三公”经费财政拨款支出519.93万元，同比下降10.43%，其中：因公出国（境）费支出决算持平；公务用车购置及运行维护费支出515.16万元，同比下降9.26%；公务接待</w:t>
      </w:r>
      <w:bookmarkStart w:id="79" w:name="_GoBack"/>
      <w:bookmarkEnd w:id="79"/>
      <w:r>
        <w:rPr>
          <w:rFonts w:hint="eastAsia" w:ascii="仿宋" w:hAnsi="仿宋" w:eastAsia="仿宋" w:cs="黑体"/>
          <w:sz w:val="32"/>
          <w:szCs w:val="32"/>
        </w:rPr>
        <w:t>费支出4.77万元，同比下降62.47%。减少的主要原因一是根据《遂宁市公安局公务接待管理办法》落实中央八项规定精神和厉行节约要求，对公务接待进行了严格审批，对不符合公务接待标准的开支项目不予以报销。二是推行食堂就餐，除重要的公务事项，一般公务接待都在食堂以工作自助餐解决。</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（三）综合管理情况</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（1）政府性债务管理情况。我局无政府性债务。</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（2）非税收入。我局按要求将2018年度所有非税收入5,170.82万元上缴市财政局专户。</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（3）政府采购情况。因工作需要购置办公设备或服务时，严格按照政府采购制度编制采购计划，执行采购程序，报经采购中心批准后再进行采购。</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4）资产管理情况。单位资产管理由警务保障部门总负责，使用人具体负责管理。新增购置的资产按照使用人逐一录入资产管理系统，对达到报废标准的资产由使用人经部门领导审批同意后交回警务保障部门按照资产报废程序统一报国资委审批后处置。同时每年对单位资产进行一次集中清理，确保账实一致，防止国有资产流失。</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5）内控制度管理。我局积极组织开展了贯彻实施《行政事业单位内控规范》的工作，在坚持内控制度要全面性、重要性、制衡性、适应性等原则的基础上进一步完善了本单位的内部控制制度，制定了《遂宁市公安局内控手册》，使之成为符合实际、行之有效的一套内控制度，提高了单位的管理水平，加强了廉政风险防控机制建设。</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（6）信息公开情况。对要求公开的预决算信息均按市财政的统一安排，依法及时进行了公开并接受社会的监督。</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7）财政监督情况。我局在执行国家有关财务法律法规的同时，建立健全了内部财务管理制度，按照党风廉政建设的要求，全体民警廉洁奉公、忠于职守，禁止利用职权和职务上的便利谋取不正当的利益，通过执行《遂宁市公安局内控手册》加强了项目资金的管理和监督，杜绝违规违法事件的发生。我单位扎实开展内部审计和严肃财经纪律专项检查，对二级预算单位开展了财经专项检查和部门领导经济责任审计，做到了检查一次规范一次，有力提高了各单位的财务管理水平和能力。同时本着勤俭节约原则，管好用好每笔资金的原则，认真接受市审计、财政、纪检监察等部门的各项监督检查。</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（四）整体绩效。</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一是强化对敌反恐，全力确保政治安全。二是强化风险防控，竭力维护社会稳定。三是强化打击整治，聚力建设平安遂宁，始终坚持打防结合、整体防控，筑牢社会治安和公共安全“铜墙铁壁”，持续巩固“长安杯”创建成果。四是强化基层基础，合力植牢发展根基。五是强化改革创新，大力提升警务效能，始终坚持创新驱动，综合施策，强化改革项目攻坚，着力实现公安工作质量变革、效率变革和动力变革。</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（一）评价结论</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我局较好的完成了财政资金支出的绩效管理。</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（二）存在问题</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公安装备建设经费保障压力大。随着现代科技的发展，我市现有公安技术侦察手段建设和道路及公安交警信息化建设已不能满足形势需要，信息化建设水平还急待改善和提高，这必然要求大量资金的投入，而现有装备资金有限，极大的限制了公安职责的履行，公安机关装备建设经费保障面临很大压力。</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（2）会计核算支出经济科目有待完善，由于公安工作的特殊性，例如办案费中的特殊科目无法列入财政统一的核算科目。</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（3）部分政府采购项目论证、审核、招投标流程耗时较长造成相关资金支出不及时，个别的需要结转到下一年度使用。</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（三）改进建议。</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（1）中省转移支付经费拨付时间要及时，避免项目实施与资金到位时间脱节，一方面影响项目建设进度，另一方面造成账面上存量资金过大。</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spacing w:line="58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（3）加强财务管理，严格财务审核。在费用报账支付时，按照预算规定的费用项目和用途进行资金使用审核、列报支付、财务核算，杜绝超支现象的发生。</w:t>
      </w:r>
    </w:p>
    <w:p>
      <w:pPr>
        <w:spacing w:line="580" w:lineRule="exact"/>
        <w:ind w:firstLine="640" w:firstLineChars="200"/>
        <w:rPr>
          <w:rFonts w:ascii="黑体" w:hAnsi="黑体" w:eastAsia="黑体" w:cs="黑体"/>
          <w:sz w:val="32"/>
          <w:szCs w:val="32"/>
        </w:rPr>
      </w:pPr>
      <w:r>
        <w:rPr>
          <w:rFonts w:hint="eastAsia" w:ascii="仿宋" w:hAnsi="仿宋" w:eastAsia="仿宋" w:cs="黑体"/>
          <w:sz w:val="32"/>
          <w:szCs w:val="32"/>
        </w:rPr>
        <w:t>（4）持续抓好“三公”经费控制管理。严格控制“三公”经费的规模和比例，把关“三公”经费支出的审核、审批，杜绝挪用和挤占其他预算资金行为；进一步细化“三公”经费的管理，合理压缩“三公”经费支出。</w:t>
      </w:r>
    </w:p>
    <w:p>
      <w:pPr>
        <w:spacing w:line="580" w:lineRule="exact"/>
        <w:ind w:firstLine="640" w:firstLineChars="200"/>
        <w:rPr>
          <w:rStyle w:val="16"/>
          <w:rFonts w:ascii="仿宋" w:hAnsi="仿宋" w:eastAsia="仿宋" w:cs="仿宋_GB2312"/>
          <w:b w:val="0"/>
          <w:bCs w:val="0"/>
          <w:kern w:val="2"/>
          <w:sz w:val="32"/>
          <w:szCs w:val="32"/>
        </w:rPr>
      </w:pPr>
      <w:r>
        <w:rPr>
          <w:rFonts w:ascii="黑体" w:hAnsi="黑体" w:eastAsia="黑体" w:cs="黑体"/>
          <w:sz w:val="32"/>
          <w:szCs w:val="32"/>
        </w:rPr>
        <w:br w:type="page"/>
      </w:r>
    </w:p>
    <w:p>
      <w:pPr>
        <w:spacing w:line="600" w:lineRule="exact"/>
        <w:jc w:val="center"/>
        <w:outlineLvl w:val="0"/>
        <w:rPr>
          <w:rStyle w:val="16"/>
          <w:rFonts w:ascii="黑体" w:hAnsi="黑体" w:eastAsia="黑体"/>
          <w:b w:val="0"/>
        </w:rPr>
      </w:pPr>
      <w:bookmarkStart w:id="65" w:name="_Toc19625114"/>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61"/>
      <w:bookmarkEnd w:id="65"/>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6" w:name="_Toc19625115"/>
      <w:r>
        <w:rPr>
          <w:rFonts w:hint="eastAsia" w:ascii="仿宋" w:hAnsi="仿宋" w:eastAsia="仿宋"/>
          <w:b w:val="0"/>
          <w:color w:val="000000"/>
        </w:rPr>
        <w:t>一、收</w:t>
      </w:r>
      <w:r>
        <w:rPr>
          <w:rStyle w:val="17"/>
          <w:rFonts w:hint="eastAsia" w:ascii="仿宋" w:hAnsi="仿宋" w:eastAsia="仿宋"/>
          <w:b w:val="0"/>
          <w:bCs w:val="0"/>
        </w:rPr>
        <w:t>入支出决算总表</w:t>
      </w:r>
      <w:bookmarkEnd w:id="66"/>
    </w:p>
    <w:p>
      <w:pPr>
        <w:pStyle w:val="3"/>
        <w:rPr>
          <w:rFonts w:ascii="仿宋" w:hAnsi="仿宋" w:eastAsia="仿宋"/>
          <w:color w:val="000000"/>
        </w:rPr>
      </w:pPr>
      <w:bookmarkStart w:id="67" w:name="_Toc19625116"/>
      <w:r>
        <w:rPr>
          <w:rFonts w:hint="eastAsia" w:ascii="仿宋" w:hAnsi="仿宋" w:eastAsia="仿宋"/>
          <w:b w:val="0"/>
          <w:color w:val="000000"/>
        </w:rPr>
        <w:t>二、收</w:t>
      </w:r>
      <w:r>
        <w:rPr>
          <w:rStyle w:val="17"/>
          <w:rFonts w:hint="eastAsia" w:ascii="仿宋" w:hAnsi="仿宋" w:eastAsia="仿宋"/>
          <w:b w:val="0"/>
          <w:bCs w:val="0"/>
        </w:rPr>
        <w:t>入总表</w:t>
      </w:r>
      <w:bookmarkEnd w:id="67"/>
    </w:p>
    <w:p>
      <w:pPr>
        <w:pStyle w:val="3"/>
        <w:rPr>
          <w:rFonts w:ascii="仿宋" w:hAnsi="仿宋" w:eastAsia="仿宋"/>
          <w:color w:val="000000"/>
        </w:rPr>
      </w:pPr>
      <w:bookmarkStart w:id="68" w:name="_Toc19625117"/>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8"/>
    </w:p>
    <w:p>
      <w:pPr>
        <w:pStyle w:val="3"/>
        <w:rPr>
          <w:rFonts w:ascii="仿宋" w:hAnsi="仿宋" w:eastAsia="仿宋"/>
          <w:b w:val="0"/>
          <w:color w:val="000000"/>
        </w:rPr>
      </w:pPr>
      <w:bookmarkStart w:id="69" w:name="_Toc19625118"/>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9"/>
    </w:p>
    <w:p>
      <w:pPr>
        <w:pStyle w:val="3"/>
        <w:rPr>
          <w:rFonts w:ascii="仿宋" w:hAnsi="仿宋" w:eastAsia="仿宋"/>
          <w:color w:val="000000"/>
        </w:rPr>
      </w:pPr>
      <w:bookmarkStart w:id="70" w:name="_Toc19625119"/>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70"/>
    </w:p>
    <w:p>
      <w:pPr>
        <w:pStyle w:val="3"/>
        <w:rPr>
          <w:rFonts w:ascii="仿宋" w:hAnsi="仿宋" w:eastAsia="仿宋"/>
          <w:color w:val="000000"/>
        </w:rPr>
      </w:pPr>
      <w:bookmarkStart w:id="71" w:name="_Toc19625120"/>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71"/>
    </w:p>
    <w:p>
      <w:pPr>
        <w:pStyle w:val="3"/>
        <w:rPr>
          <w:rFonts w:ascii="仿宋" w:hAnsi="仿宋" w:eastAsia="仿宋"/>
          <w:color w:val="000000"/>
        </w:rPr>
      </w:pPr>
      <w:bookmarkStart w:id="72" w:name="_Toc19625121"/>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72"/>
    </w:p>
    <w:p>
      <w:pPr>
        <w:pStyle w:val="3"/>
        <w:rPr>
          <w:rFonts w:ascii="仿宋" w:hAnsi="仿宋" w:eastAsia="仿宋"/>
          <w:color w:val="000000"/>
        </w:rPr>
      </w:pPr>
      <w:bookmarkStart w:id="73" w:name="_Toc19625122"/>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73"/>
    </w:p>
    <w:p>
      <w:pPr>
        <w:pStyle w:val="3"/>
        <w:rPr>
          <w:rFonts w:ascii="仿宋" w:hAnsi="仿宋" w:eastAsia="仿宋"/>
          <w:color w:val="000000"/>
        </w:rPr>
      </w:pPr>
      <w:bookmarkStart w:id="74" w:name="_Toc19625123"/>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4"/>
    </w:p>
    <w:p>
      <w:pPr>
        <w:pStyle w:val="3"/>
        <w:rPr>
          <w:rFonts w:ascii="仿宋" w:hAnsi="仿宋" w:eastAsia="仿宋"/>
          <w:color w:val="000000"/>
        </w:rPr>
      </w:pPr>
      <w:bookmarkStart w:id="75" w:name="_Toc19625124"/>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5"/>
    </w:p>
    <w:p>
      <w:pPr>
        <w:pStyle w:val="3"/>
        <w:rPr>
          <w:rFonts w:ascii="仿宋" w:hAnsi="仿宋" w:eastAsia="仿宋"/>
          <w:color w:val="000000"/>
        </w:rPr>
      </w:pPr>
      <w:bookmarkStart w:id="76" w:name="_Toc19625125"/>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6"/>
    </w:p>
    <w:p>
      <w:pPr>
        <w:pStyle w:val="3"/>
        <w:rPr>
          <w:rFonts w:ascii="仿宋" w:hAnsi="仿宋" w:eastAsia="仿宋"/>
          <w:color w:val="000000"/>
        </w:rPr>
      </w:pPr>
      <w:bookmarkStart w:id="77" w:name="_Toc19625126"/>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7"/>
    </w:p>
    <w:p>
      <w:pPr>
        <w:pStyle w:val="3"/>
        <w:rPr>
          <w:rFonts w:ascii="仿宋" w:hAnsi="仿宋" w:eastAsia="仿宋"/>
          <w:color w:val="000000"/>
        </w:rPr>
      </w:pPr>
      <w:bookmarkStart w:id="78" w:name="_Toc19625127"/>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F03"/>
    <w:rsid w:val="000158E3"/>
    <w:rsid w:val="000222C6"/>
    <w:rsid w:val="0002549F"/>
    <w:rsid w:val="00031A59"/>
    <w:rsid w:val="000375C0"/>
    <w:rsid w:val="00040A4E"/>
    <w:rsid w:val="0004561E"/>
    <w:rsid w:val="0004633D"/>
    <w:rsid w:val="00057AD3"/>
    <w:rsid w:val="0006487A"/>
    <w:rsid w:val="00065F8F"/>
    <w:rsid w:val="00070547"/>
    <w:rsid w:val="00070B19"/>
    <w:rsid w:val="000768F2"/>
    <w:rsid w:val="00090EAC"/>
    <w:rsid w:val="0009184B"/>
    <w:rsid w:val="0009561C"/>
    <w:rsid w:val="0009593C"/>
    <w:rsid w:val="000A778C"/>
    <w:rsid w:val="000B047F"/>
    <w:rsid w:val="000B5923"/>
    <w:rsid w:val="000B5A48"/>
    <w:rsid w:val="000B6FF3"/>
    <w:rsid w:val="000C090D"/>
    <w:rsid w:val="000C3467"/>
    <w:rsid w:val="000C3CA6"/>
    <w:rsid w:val="000C40A2"/>
    <w:rsid w:val="000C54C1"/>
    <w:rsid w:val="000C75B6"/>
    <w:rsid w:val="000D1267"/>
    <w:rsid w:val="000D1D50"/>
    <w:rsid w:val="000D5782"/>
    <w:rsid w:val="000E03DD"/>
    <w:rsid w:val="000E6613"/>
    <w:rsid w:val="000E7119"/>
    <w:rsid w:val="000F6BA1"/>
    <w:rsid w:val="00112F4F"/>
    <w:rsid w:val="00114E9B"/>
    <w:rsid w:val="00140A76"/>
    <w:rsid w:val="00143EF2"/>
    <w:rsid w:val="00144B1B"/>
    <w:rsid w:val="0014729F"/>
    <w:rsid w:val="00157BAB"/>
    <w:rsid w:val="00160061"/>
    <w:rsid w:val="00162F32"/>
    <w:rsid w:val="001631C7"/>
    <w:rsid w:val="001654D1"/>
    <w:rsid w:val="0018106D"/>
    <w:rsid w:val="00181FB9"/>
    <w:rsid w:val="00183D69"/>
    <w:rsid w:val="001877A7"/>
    <w:rsid w:val="00191536"/>
    <w:rsid w:val="00196687"/>
    <w:rsid w:val="00197274"/>
    <w:rsid w:val="001A4B7E"/>
    <w:rsid w:val="001A7899"/>
    <w:rsid w:val="001C0962"/>
    <w:rsid w:val="001C140F"/>
    <w:rsid w:val="001C7AE7"/>
    <w:rsid w:val="001D5198"/>
    <w:rsid w:val="001D7531"/>
    <w:rsid w:val="001E737D"/>
    <w:rsid w:val="001F0592"/>
    <w:rsid w:val="001F384E"/>
    <w:rsid w:val="001F47E9"/>
    <w:rsid w:val="001F7506"/>
    <w:rsid w:val="00200371"/>
    <w:rsid w:val="002006CD"/>
    <w:rsid w:val="0020152C"/>
    <w:rsid w:val="00202B36"/>
    <w:rsid w:val="00202BD3"/>
    <w:rsid w:val="00202FE2"/>
    <w:rsid w:val="00204B7A"/>
    <w:rsid w:val="0021101A"/>
    <w:rsid w:val="00220536"/>
    <w:rsid w:val="002241C3"/>
    <w:rsid w:val="00235629"/>
    <w:rsid w:val="00240926"/>
    <w:rsid w:val="0024358E"/>
    <w:rsid w:val="00260C38"/>
    <w:rsid w:val="002616C0"/>
    <w:rsid w:val="002662AA"/>
    <w:rsid w:val="00266C28"/>
    <w:rsid w:val="00280496"/>
    <w:rsid w:val="0029100B"/>
    <w:rsid w:val="00295495"/>
    <w:rsid w:val="002B2613"/>
    <w:rsid w:val="002B46E8"/>
    <w:rsid w:val="002B5E53"/>
    <w:rsid w:val="002D2395"/>
    <w:rsid w:val="002D29F8"/>
    <w:rsid w:val="002F1818"/>
    <w:rsid w:val="002F567B"/>
    <w:rsid w:val="003216A9"/>
    <w:rsid w:val="00340AF6"/>
    <w:rsid w:val="00347ABE"/>
    <w:rsid w:val="00366ACB"/>
    <w:rsid w:val="0037013F"/>
    <w:rsid w:val="00380C92"/>
    <w:rsid w:val="003A291B"/>
    <w:rsid w:val="003A484F"/>
    <w:rsid w:val="003B0BE0"/>
    <w:rsid w:val="003B0C1B"/>
    <w:rsid w:val="003B688C"/>
    <w:rsid w:val="003C0291"/>
    <w:rsid w:val="003C116B"/>
    <w:rsid w:val="003C188E"/>
    <w:rsid w:val="003C39AE"/>
    <w:rsid w:val="003C7B60"/>
    <w:rsid w:val="003D1FB2"/>
    <w:rsid w:val="003D66DA"/>
    <w:rsid w:val="003E1310"/>
    <w:rsid w:val="003E6F55"/>
    <w:rsid w:val="0040148A"/>
    <w:rsid w:val="00406254"/>
    <w:rsid w:val="004223DE"/>
    <w:rsid w:val="00434489"/>
    <w:rsid w:val="00436E4D"/>
    <w:rsid w:val="00437085"/>
    <w:rsid w:val="00443880"/>
    <w:rsid w:val="004464F4"/>
    <w:rsid w:val="00452087"/>
    <w:rsid w:val="00461B7B"/>
    <w:rsid w:val="00471401"/>
    <w:rsid w:val="00472D86"/>
    <w:rsid w:val="00473F31"/>
    <w:rsid w:val="00476EE6"/>
    <w:rsid w:val="00480FCB"/>
    <w:rsid w:val="0048263A"/>
    <w:rsid w:val="00487E5D"/>
    <w:rsid w:val="00491A34"/>
    <w:rsid w:val="00496A31"/>
    <w:rsid w:val="004A5583"/>
    <w:rsid w:val="004A711F"/>
    <w:rsid w:val="004B199D"/>
    <w:rsid w:val="004B4690"/>
    <w:rsid w:val="004B535D"/>
    <w:rsid w:val="004C7092"/>
    <w:rsid w:val="004C712B"/>
    <w:rsid w:val="004E0A2D"/>
    <w:rsid w:val="004E1D53"/>
    <w:rsid w:val="004E206B"/>
    <w:rsid w:val="004E6DF7"/>
    <w:rsid w:val="004F0FBD"/>
    <w:rsid w:val="004F6C21"/>
    <w:rsid w:val="00505A47"/>
    <w:rsid w:val="00512FDA"/>
    <w:rsid w:val="00520DA0"/>
    <w:rsid w:val="005600E4"/>
    <w:rsid w:val="005664BB"/>
    <w:rsid w:val="005665FB"/>
    <w:rsid w:val="0057315E"/>
    <w:rsid w:val="0057481D"/>
    <w:rsid w:val="00575E4B"/>
    <w:rsid w:val="005808A8"/>
    <w:rsid w:val="0058486E"/>
    <w:rsid w:val="005A1DD0"/>
    <w:rsid w:val="005A30A5"/>
    <w:rsid w:val="005B0D4E"/>
    <w:rsid w:val="005B142C"/>
    <w:rsid w:val="005B61BC"/>
    <w:rsid w:val="005D1C8B"/>
    <w:rsid w:val="005D3E46"/>
    <w:rsid w:val="005D5CED"/>
    <w:rsid w:val="005D65F1"/>
    <w:rsid w:val="005F1A4C"/>
    <w:rsid w:val="005F555B"/>
    <w:rsid w:val="00600089"/>
    <w:rsid w:val="00605688"/>
    <w:rsid w:val="00606104"/>
    <w:rsid w:val="006070AF"/>
    <w:rsid w:val="00607E6C"/>
    <w:rsid w:val="006101B1"/>
    <w:rsid w:val="0061069E"/>
    <w:rsid w:val="00614E44"/>
    <w:rsid w:val="006211B3"/>
    <w:rsid w:val="00622830"/>
    <w:rsid w:val="00630AEF"/>
    <w:rsid w:val="006325F8"/>
    <w:rsid w:val="00633CF7"/>
    <w:rsid w:val="00634C9A"/>
    <w:rsid w:val="00637D08"/>
    <w:rsid w:val="00637F83"/>
    <w:rsid w:val="006440E4"/>
    <w:rsid w:val="00644F9E"/>
    <w:rsid w:val="00652234"/>
    <w:rsid w:val="006544EA"/>
    <w:rsid w:val="0066343B"/>
    <w:rsid w:val="00664777"/>
    <w:rsid w:val="006748A4"/>
    <w:rsid w:val="00683E73"/>
    <w:rsid w:val="006A2E26"/>
    <w:rsid w:val="006A3141"/>
    <w:rsid w:val="006A5E34"/>
    <w:rsid w:val="006B2422"/>
    <w:rsid w:val="006B2B9A"/>
    <w:rsid w:val="006B6424"/>
    <w:rsid w:val="006C1937"/>
    <w:rsid w:val="006D3A74"/>
    <w:rsid w:val="006E0967"/>
    <w:rsid w:val="006E7D6D"/>
    <w:rsid w:val="006F020C"/>
    <w:rsid w:val="007127B7"/>
    <w:rsid w:val="007267A7"/>
    <w:rsid w:val="00731CAC"/>
    <w:rsid w:val="007416B6"/>
    <w:rsid w:val="0074600E"/>
    <w:rsid w:val="00746F48"/>
    <w:rsid w:val="00747A6C"/>
    <w:rsid w:val="0075404D"/>
    <w:rsid w:val="0076182A"/>
    <w:rsid w:val="00767B7E"/>
    <w:rsid w:val="007770C3"/>
    <w:rsid w:val="00781EED"/>
    <w:rsid w:val="00784D24"/>
    <w:rsid w:val="00785FBA"/>
    <w:rsid w:val="00786E4A"/>
    <w:rsid w:val="007875EB"/>
    <w:rsid w:val="0079426B"/>
    <w:rsid w:val="007A0B58"/>
    <w:rsid w:val="007B33F2"/>
    <w:rsid w:val="007B356B"/>
    <w:rsid w:val="007D1ADA"/>
    <w:rsid w:val="007D312A"/>
    <w:rsid w:val="007D35A9"/>
    <w:rsid w:val="007D3F19"/>
    <w:rsid w:val="007E23B0"/>
    <w:rsid w:val="007F1991"/>
    <w:rsid w:val="007F2C2F"/>
    <w:rsid w:val="007F2CAA"/>
    <w:rsid w:val="007F55FC"/>
    <w:rsid w:val="007F5665"/>
    <w:rsid w:val="00800112"/>
    <w:rsid w:val="00812269"/>
    <w:rsid w:val="0082063F"/>
    <w:rsid w:val="008253BB"/>
    <w:rsid w:val="008276A5"/>
    <w:rsid w:val="0083146C"/>
    <w:rsid w:val="0083706E"/>
    <w:rsid w:val="008423A5"/>
    <w:rsid w:val="00850625"/>
    <w:rsid w:val="00853718"/>
    <w:rsid w:val="00855221"/>
    <w:rsid w:val="00860645"/>
    <w:rsid w:val="008713D7"/>
    <w:rsid w:val="00871F71"/>
    <w:rsid w:val="00885AF4"/>
    <w:rsid w:val="008939CD"/>
    <w:rsid w:val="00894E7A"/>
    <w:rsid w:val="00896637"/>
    <w:rsid w:val="008A3A9A"/>
    <w:rsid w:val="008B768C"/>
    <w:rsid w:val="008C4DB1"/>
    <w:rsid w:val="008C4EAF"/>
    <w:rsid w:val="008C5176"/>
    <w:rsid w:val="008C7FD0"/>
    <w:rsid w:val="008D1E3C"/>
    <w:rsid w:val="008D7CF0"/>
    <w:rsid w:val="008D7EA4"/>
    <w:rsid w:val="008E1DE7"/>
    <w:rsid w:val="008E707C"/>
    <w:rsid w:val="008F2594"/>
    <w:rsid w:val="008F58C6"/>
    <w:rsid w:val="00900B08"/>
    <w:rsid w:val="00902155"/>
    <w:rsid w:val="00902FA3"/>
    <w:rsid w:val="00923564"/>
    <w:rsid w:val="0092392E"/>
    <w:rsid w:val="009262D1"/>
    <w:rsid w:val="009315F9"/>
    <w:rsid w:val="00931603"/>
    <w:rsid w:val="00935E71"/>
    <w:rsid w:val="00936C7B"/>
    <w:rsid w:val="00942224"/>
    <w:rsid w:val="00946945"/>
    <w:rsid w:val="00951248"/>
    <w:rsid w:val="0095152F"/>
    <w:rsid w:val="00954C49"/>
    <w:rsid w:val="009637A5"/>
    <w:rsid w:val="00967AA1"/>
    <w:rsid w:val="0097099F"/>
    <w:rsid w:val="00971997"/>
    <w:rsid w:val="00971C9A"/>
    <w:rsid w:val="00971FFC"/>
    <w:rsid w:val="009762DE"/>
    <w:rsid w:val="00980B19"/>
    <w:rsid w:val="00982421"/>
    <w:rsid w:val="0098660A"/>
    <w:rsid w:val="009931C3"/>
    <w:rsid w:val="00994A42"/>
    <w:rsid w:val="00996A9E"/>
    <w:rsid w:val="009A437E"/>
    <w:rsid w:val="009A6A8E"/>
    <w:rsid w:val="009B2C43"/>
    <w:rsid w:val="009B4EAE"/>
    <w:rsid w:val="009B7573"/>
    <w:rsid w:val="009C22F4"/>
    <w:rsid w:val="009C2E98"/>
    <w:rsid w:val="009D3447"/>
    <w:rsid w:val="009D4711"/>
    <w:rsid w:val="009F1185"/>
    <w:rsid w:val="009F18CD"/>
    <w:rsid w:val="009F2A13"/>
    <w:rsid w:val="00A04EB0"/>
    <w:rsid w:val="00A13CC1"/>
    <w:rsid w:val="00A16847"/>
    <w:rsid w:val="00A20E95"/>
    <w:rsid w:val="00A237D8"/>
    <w:rsid w:val="00A268C4"/>
    <w:rsid w:val="00A307CD"/>
    <w:rsid w:val="00A40A00"/>
    <w:rsid w:val="00A40A73"/>
    <w:rsid w:val="00A4142F"/>
    <w:rsid w:val="00A56DF2"/>
    <w:rsid w:val="00A62A9F"/>
    <w:rsid w:val="00A66BE4"/>
    <w:rsid w:val="00A67142"/>
    <w:rsid w:val="00A67AB5"/>
    <w:rsid w:val="00A81720"/>
    <w:rsid w:val="00A866ED"/>
    <w:rsid w:val="00A91760"/>
    <w:rsid w:val="00A93B00"/>
    <w:rsid w:val="00A93C21"/>
    <w:rsid w:val="00A965EA"/>
    <w:rsid w:val="00AA0E33"/>
    <w:rsid w:val="00AB3030"/>
    <w:rsid w:val="00AC3C6A"/>
    <w:rsid w:val="00AD4DE1"/>
    <w:rsid w:val="00AD5620"/>
    <w:rsid w:val="00AD7C1B"/>
    <w:rsid w:val="00AE16BA"/>
    <w:rsid w:val="00AE1EBE"/>
    <w:rsid w:val="00AE47A6"/>
    <w:rsid w:val="00AF01A0"/>
    <w:rsid w:val="00AF49D3"/>
    <w:rsid w:val="00B02975"/>
    <w:rsid w:val="00B03C9D"/>
    <w:rsid w:val="00B060AE"/>
    <w:rsid w:val="00B061D8"/>
    <w:rsid w:val="00B10517"/>
    <w:rsid w:val="00B14E76"/>
    <w:rsid w:val="00B161B8"/>
    <w:rsid w:val="00B2048C"/>
    <w:rsid w:val="00B218EC"/>
    <w:rsid w:val="00B21C00"/>
    <w:rsid w:val="00B310B9"/>
    <w:rsid w:val="00B35F3F"/>
    <w:rsid w:val="00B36CBB"/>
    <w:rsid w:val="00B41941"/>
    <w:rsid w:val="00B425E0"/>
    <w:rsid w:val="00B427A1"/>
    <w:rsid w:val="00B440AA"/>
    <w:rsid w:val="00B44B70"/>
    <w:rsid w:val="00B53C56"/>
    <w:rsid w:val="00B65017"/>
    <w:rsid w:val="00B76552"/>
    <w:rsid w:val="00B76E25"/>
    <w:rsid w:val="00B77EA6"/>
    <w:rsid w:val="00B80C41"/>
    <w:rsid w:val="00B81598"/>
    <w:rsid w:val="00B841F1"/>
    <w:rsid w:val="00B944D6"/>
    <w:rsid w:val="00B962A1"/>
    <w:rsid w:val="00BA1CD9"/>
    <w:rsid w:val="00BB4DF0"/>
    <w:rsid w:val="00BC289F"/>
    <w:rsid w:val="00BC39D6"/>
    <w:rsid w:val="00BC5361"/>
    <w:rsid w:val="00BC5460"/>
    <w:rsid w:val="00BC59A0"/>
    <w:rsid w:val="00BC6B50"/>
    <w:rsid w:val="00BC787E"/>
    <w:rsid w:val="00BD0E25"/>
    <w:rsid w:val="00BD67E4"/>
    <w:rsid w:val="00BF5BD6"/>
    <w:rsid w:val="00C023BC"/>
    <w:rsid w:val="00C03E31"/>
    <w:rsid w:val="00C04865"/>
    <w:rsid w:val="00C33E72"/>
    <w:rsid w:val="00C354B2"/>
    <w:rsid w:val="00C35554"/>
    <w:rsid w:val="00C42709"/>
    <w:rsid w:val="00C51B2B"/>
    <w:rsid w:val="00C51E45"/>
    <w:rsid w:val="00C533CC"/>
    <w:rsid w:val="00C5751C"/>
    <w:rsid w:val="00C61BFC"/>
    <w:rsid w:val="00C62B85"/>
    <w:rsid w:val="00C65438"/>
    <w:rsid w:val="00C7762C"/>
    <w:rsid w:val="00C8541A"/>
    <w:rsid w:val="00C91CBB"/>
    <w:rsid w:val="00CC09B6"/>
    <w:rsid w:val="00CC666F"/>
    <w:rsid w:val="00CD1E3F"/>
    <w:rsid w:val="00CD3FED"/>
    <w:rsid w:val="00CD54CD"/>
    <w:rsid w:val="00CE44F6"/>
    <w:rsid w:val="00CE49DA"/>
    <w:rsid w:val="00CE7B61"/>
    <w:rsid w:val="00CF6C25"/>
    <w:rsid w:val="00D00095"/>
    <w:rsid w:val="00D0074B"/>
    <w:rsid w:val="00D07CB2"/>
    <w:rsid w:val="00D20620"/>
    <w:rsid w:val="00D217A3"/>
    <w:rsid w:val="00D26091"/>
    <w:rsid w:val="00D276F2"/>
    <w:rsid w:val="00D34E7C"/>
    <w:rsid w:val="00D35489"/>
    <w:rsid w:val="00D51276"/>
    <w:rsid w:val="00D632FE"/>
    <w:rsid w:val="00D64073"/>
    <w:rsid w:val="00D650E9"/>
    <w:rsid w:val="00D7035F"/>
    <w:rsid w:val="00D779A5"/>
    <w:rsid w:val="00D841C5"/>
    <w:rsid w:val="00D86CC9"/>
    <w:rsid w:val="00D917D8"/>
    <w:rsid w:val="00DA0391"/>
    <w:rsid w:val="00DA3AAF"/>
    <w:rsid w:val="00DA3FFD"/>
    <w:rsid w:val="00DA65AC"/>
    <w:rsid w:val="00DB0F51"/>
    <w:rsid w:val="00DB1913"/>
    <w:rsid w:val="00DC17DA"/>
    <w:rsid w:val="00DC1FF5"/>
    <w:rsid w:val="00DC410D"/>
    <w:rsid w:val="00DC4337"/>
    <w:rsid w:val="00DC68CA"/>
    <w:rsid w:val="00DC7CBA"/>
    <w:rsid w:val="00DD149C"/>
    <w:rsid w:val="00DD73B7"/>
    <w:rsid w:val="00DE0959"/>
    <w:rsid w:val="00DF28BC"/>
    <w:rsid w:val="00DF34B9"/>
    <w:rsid w:val="00E01053"/>
    <w:rsid w:val="00E07ACF"/>
    <w:rsid w:val="00E1379A"/>
    <w:rsid w:val="00E331A1"/>
    <w:rsid w:val="00E33202"/>
    <w:rsid w:val="00E336A9"/>
    <w:rsid w:val="00E50624"/>
    <w:rsid w:val="00E568DF"/>
    <w:rsid w:val="00E64269"/>
    <w:rsid w:val="00E739B6"/>
    <w:rsid w:val="00E814FB"/>
    <w:rsid w:val="00E82267"/>
    <w:rsid w:val="00E84874"/>
    <w:rsid w:val="00E92AE1"/>
    <w:rsid w:val="00E94386"/>
    <w:rsid w:val="00EA010F"/>
    <w:rsid w:val="00EA2EAA"/>
    <w:rsid w:val="00EA6D6A"/>
    <w:rsid w:val="00EB360D"/>
    <w:rsid w:val="00EC1EB3"/>
    <w:rsid w:val="00EC3A13"/>
    <w:rsid w:val="00ED19AB"/>
    <w:rsid w:val="00ED1B63"/>
    <w:rsid w:val="00ED3C1F"/>
    <w:rsid w:val="00ED4085"/>
    <w:rsid w:val="00ED420E"/>
    <w:rsid w:val="00ED6E5C"/>
    <w:rsid w:val="00EE2F57"/>
    <w:rsid w:val="00EF1D5A"/>
    <w:rsid w:val="00EF4C34"/>
    <w:rsid w:val="00EF77C6"/>
    <w:rsid w:val="00F05438"/>
    <w:rsid w:val="00F1361C"/>
    <w:rsid w:val="00F160C7"/>
    <w:rsid w:val="00F210D0"/>
    <w:rsid w:val="00F32910"/>
    <w:rsid w:val="00F36D8F"/>
    <w:rsid w:val="00F417B1"/>
    <w:rsid w:val="00F602DF"/>
    <w:rsid w:val="00F609A2"/>
    <w:rsid w:val="00F738B3"/>
    <w:rsid w:val="00F81FD9"/>
    <w:rsid w:val="00F841AA"/>
    <w:rsid w:val="00F94172"/>
    <w:rsid w:val="00FA0271"/>
    <w:rsid w:val="00FA23E8"/>
    <w:rsid w:val="00FB4BE5"/>
    <w:rsid w:val="00FC072F"/>
    <w:rsid w:val="00FD13FC"/>
    <w:rsid w:val="00FD3CC1"/>
    <w:rsid w:val="00FD5DDA"/>
    <w:rsid w:val="00FF1E02"/>
    <w:rsid w:val="00FF30B4"/>
    <w:rsid w:val="10C055FF"/>
    <w:rsid w:val="16BB723D"/>
    <w:rsid w:val="240371BF"/>
    <w:rsid w:val="29FD04D3"/>
    <w:rsid w:val="319F7F4E"/>
    <w:rsid w:val="58E563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8"/>
    <w:semiHidden/>
    <w:uiPriority w:val="99"/>
    <w:rPr>
      <w:sz w:val="18"/>
      <w:szCs w:val="18"/>
    </w:rPr>
  </w:style>
  <w:style w:type="paragraph" w:styleId="8">
    <w:name w:val="footer"/>
    <w:basedOn w:val="1"/>
    <w:link w:val="23"/>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iPriority w:val="39"/>
    <w:pPr>
      <w:tabs>
        <w:tab w:val="right" w:leader="dot" w:pos="8296"/>
      </w:tabs>
      <w:ind w:left="420" w:leftChars="200"/>
    </w:pPr>
    <w:rPr>
      <w:rFonts w:ascii="仿宋" w:hAnsi="仿宋" w:eastAsia="仿宋"/>
      <w:sz w:val="28"/>
      <w:szCs w:val="28"/>
    </w:rPr>
  </w:style>
  <w:style w:type="character" w:styleId="14">
    <w:name w:val="Strong"/>
    <w:qFormat/>
    <w:uiPriority w:val="99"/>
    <w:rPr>
      <w:rFonts w:cs="Times New Roman"/>
      <w:b/>
    </w:rPr>
  </w:style>
  <w:style w:type="character" w:styleId="15">
    <w:name w:val="Hyperlink"/>
    <w:uiPriority w:val="99"/>
    <w:rPr>
      <w:rFonts w:cs="Times New Roman"/>
      <w:color w:val="0000FF"/>
      <w:u w:val="single"/>
    </w:rPr>
  </w:style>
  <w:style w:type="character" w:customStyle="1" w:styleId="16">
    <w:name w:val="标题 1 Char"/>
    <w:link w:val="2"/>
    <w:qFormat/>
    <w:locked/>
    <w:uiPriority w:val="99"/>
    <w:rPr>
      <w:rFonts w:ascii="Times New Roman" w:hAnsi="Times New Roman" w:cs="Times New Roman"/>
      <w:b/>
      <w:bCs/>
      <w:kern w:val="44"/>
      <w:sz w:val="44"/>
      <w:szCs w:val="44"/>
    </w:rPr>
  </w:style>
  <w:style w:type="character" w:customStyle="1" w:styleId="17">
    <w:name w:val="标题 2 Char"/>
    <w:link w:val="3"/>
    <w:qFormat/>
    <w:locked/>
    <w:uiPriority w:val="99"/>
    <w:rPr>
      <w:rFonts w:ascii="Cambria" w:hAnsi="Cambria" w:eastAsia="宋体" w:cs="Times New Roman"/>
      <w:b/>
      <w:bCs/>
      <w:kern w:val="2"/>
      <w:sz w:val="32"/>
      <w:szCs w:val="32"/>
    </w:rPr>
  </w:style>
  <w:style w:type="character" w:customStyle="1" w:styleId="18">
    <w:name w:val="标题 3 Char"/>
    <w:link w:val="4"/>
    <w:locked/>
    <w:uiPriority w:val="99"/>
    <w:rPr>
      <w:rFonts w:ascii="Times New Roman" w:hAnsi="Times New Roman" w:cs="Times New Roman"/>
      <w:b/>
      <w:bCs/>
      <w:kern w:val="2"/>
      <w:sz w:val="32"/>
      <w:szCs w:val="32"/>
    </w:rPr>
  </w:style>
  <w:style w:type="character" w:customStyle="1" w:styleId="19">
    <w:name w:val="Body Text Char"/>
    <w:semiHidden/>
    <w:locked/>
    <w:uiPriority w:val="99"/>
    <w:rPr>
      <w:rFonts w:ascii="Times New Roman" w:hAnsi="Times New Roman" w:cs="Times New Roman"/>
      <w:sz w:val="24"/>
      <w:szCs w:val="24"/>
    </w:rPr>
  </w:style>
  <w:style w:type="character" w:customStyle="1" w:styleId="20">
    <w:name w:val="Footer Char"/>
    <w:semiHidden/>
    <w:locked/>
    <w:uiPriority w:val="99"/>
    <w:rPr>
      <w:rFonts w:ascii="Times New Roman" w:hAnsi="Times New Roman" w:cs="Times New Roman"/>
      <w:sz w:val="18"/>
      <w:szCs w:val="18"/>
    </w:rPr>
  </w:style>
  <w:style w:type="character" w:customStyle="1" w:styleId="21">
    <w:name w:val="Header Char"/>
    <w:semiHidden/>
    <w:locked/>
    <w:uiPriority w:val="99"/>
    <w:rPr>
      <w:rFonts w:ascii="Times New Roman" w:hAnsi="Times New Roman" w:cs="Times New Roman"/>
      <w:sz w:val="18"/>
      <w:szCs w:val="18"/>
    </w:rPr>
  </w:style>
  <w:style w:type="character" w:customStyle="1" w:styleId="22">
    <w:name w:val="页眉 Char"/>
    <w:link w:val="9"/>
    <w:semiHidden/>
    <w:locked/>
    <w:uiPriority w:val="99"/>
    <w:rPr>
      <w:sz w:val="18"/>
    </w:rPr>
  </w:style>
  <w:style w:type="character" w:customStyle="1" w:styleId="23">
    <w:name w:val="页脚 Char"/>
    <w:link w:val="8"/>
    <w:locked/>
    <w:uiPriority w:val="99"/>
    <w:rPr>
      <w:sz w:val="18"/>
    </w:rPr>
  </w:style>
  <w:style w:type="character" w:customStyle="1" w:styleId="24">
    <w:name w:val="正文文本 Char"/>
    <w:link w:val="5"/>
    <w:locked/>
    <w:uiPriority w:val="99"/>
    <w:rPr>
      <w:rFonts w:ascii="仿宋_GB2312" w:hAnsi="Times New Roman" w:eastAsia="仿宋_GB2312"/>
      <w:sz w:val="24"/>
    </w:rPr>
  </w:style>
  <w:style w:type="paragraph" w:customStyle="1" w:styleId="25">
    <w:name w:val="Defaul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批注框文本 Char"/>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file:///C:\Users\&#25964;&#27874;\Desktop\2018&#24180;&#20915;&#31639;&#20844;&#24320;\3-2018&#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收、支决算总计变动情况图</a:t>
            </a:r>
            <a:r>
              <a:rPr lang="zh-CN" altLang="zh-CN" sz="1800" b="1" i="0" u="none" strike="noStrike" baseline="0"/>
              <a:t> </a:t>
            </a:r>
            <a:endParaRPr lang="zh-CN" altLang="en-US"/>
          </a:p>
        </c:rich>
      </c:tx>
      <c:layout/>
      <c:overlay val="0"/>
    </c:title>
    <c:autoTitleDeleted val="0"/>
    <c:plotArea>
      <c:layout/>
      <c:barChart>
        <c:barDir val="col"/>
        <c:grouping val="clustered"/>
        <c:varyColors val="0"/>
        <c:ser>
          <c:idx val="0"/>
          <c:order val="0"/>
          <c:tx>
            <c:strRef>
              <c:f>Sheet1!$A$3</c:f>
              <c:strCache>
                <c:ptCount val="1"/>
                <c:pt idx="0">
                  <c:v>收支总计</c:v>
                </c:pt>
              </c:strCache>
            </c:strRef>
          </c:tx>
          <c:invertIfNegative val="0"/>
          <c:dPt>
            <c:idx val="1"/>
            <c:invertIfNegative val="0"/>
            <c:bubble3D val="0"/>
            <c:spPr>
              <a:solidFill>
                <a:schemeClr val="accent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Sheet1!$B$1:$C$2</c:f>
              <c:strCache>
                <c:ptCount val="2"/>
                <c:pt idx="0">
                  <c:v>2017年</c:v>
                </c:pt>
                <c:pt idx="1">
                  <c:v>2018年</c:v>
                </c:pt>
              </c:strCache>
            </c:strRef>
          </c:cat>
          <c:val>
            <c:numRef>
              <c:f>Sheet1!$B$3:$C$3</c:f>
              <c:numCache>
                <c:formatCode>#,##0.00</c:formatCode>
                <c:ptCount val="2"/>
                <c:pt idx="0">
                  <c:v>32397.07</c:v>
                </c:pt>
                <c:pt idx="1">
                  <c:v>36568.46</c:v>
                </c:pt>
              </c:numCache>
            </c:numRef>
          </c:val>
        </c:ser>
        <c:dLbls>
          <c:showLegendKey val="0"/>
          <c:showVal val="0"/>
          <c:showCatName val="0"/>
          <c:showSerName val="0"/>
          <c:showPercent val="0"/>
          <c:showBubbleSize val="0"/>
        </c:dLbls>
        <c:gapWidth val="150"/>
        <c:axId val="197022464"/>
        <c:axId val="197024768"/>
      </c:barChart>
      <c:catAx>
        <c:axId val="1970224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24768"/>
        <c:crosses val="autoZero"/>
        <c:auto val="1"/>
        <c:lblAlgn val="ctr"/>
        <c:lblOffset val="100"/>
        <c:noMultiLvlLbl val="0"/>
      </c:catAx>
      <c:valAx>
        <c:axId val="19702476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22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收入决算结构图</a:t>
            </a:r>
            <a:r>
              <a:rPr lang="zh-CN" altLang="zh-CN" sz="1800" b="1" i="0" u="none" strike="noStrike" baseline="0"/>
              <a:t> </a:t>
            </a:r>
            <a:endParaRPr lang="zh-CN" altLang="en-US"/>
          </a:p>
        </c:rich>
      </c:tx>
      <c:layout/>
      <c:overlay val="0"/>
    </c:title>
    <c:autoTitleDeleted val="0"/>
    <c:plotArea>
      <c:layout/>
      <c:pieChart>
        <c:varyColors val="1"/>
        <c:ser>
          <c:idx val="0"/>
          <c:order val="0"/>
          <c:tx>
            <c:strRef>
              <c:f>Sheet1!$A$27</c:f>
              <c:strCache>
                <c:ptCount val="1"/>
                <c:pt idx="0">
                  <c:v>收入合计</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Sheet1!$B$26:$C$26</c:f>
              <c:strCache>
                <c:ptCount val="2"/>
                <c:pt idx="0">
                  <c:v>一般公共预算财政拨款收入</c:v>
                </c:pt>
                <c:pt idx="1">
                  <c:v>其他收入</c:v>
                </c:pt>
              </c:strCache>
            </c:strRef>
          </c:cat>
          <c:val>
            <c:numRef>
              <c:f>Sheet1!$B$27:$C$27</c:f>
              <c:numCache>
                <c:formatCode>0.00%</c:formatCode>
                <c:ptCount val="2"/>
                <c:pt idx="0">
                  <c:v>0.8491</c:v>
                </c:pt>
                <c:pt idx="1">
                  <c:v>0.1509</c:v>
                </c:pt>
              </c:numCache>
            </c:numRef>
          </c:val>
        </c:ser>
        <c:ser>
          <c:idx val="1"/>
          <c:order val="1"/>
          <c:explosion val="0"/>
          <c:dPt>
            <c:idx val="0"/>
            <c:bubble3D val="0"/>
          </c:dPt>
          <c:dLbls>
            <c:delete val="1"/>
          </c:dLbls>
          <c:cat>
            <c:strRef>
              <c:f>Sheet1!$B$26:$C$26</c:f>
              <c:strCache>
                <c:ptCount val="2"/>
                <c:pt idx="0">
                  <c:v>一般公共预算财政拨款收入</c:v>
                </c:pt>
                <c:pt idx="1">
                  <c:v>其他收入</c:v>
                </c:pt>
              </c:strCache>
            </c:strRef>
          </c:cat>
          <c:val>
            <c:numRef>
              <c:f>Sheet1!$A$24</c:f>
              <c:numCache>
                <c:formatCode>General</c:formatCode>
                <c:ptCount val="1"/>
                <c:pt idx="0">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支出决算结构图</a:t>
            </a:r>
            <a:r>
              <a:rPr lang="zh-CN" altLang="zh-CN" sz="1800" b="1" i="0" u="none" strike="noStrike" baseline="0"/>
              <a:t> </a:t>
            </a:r>
            <a:endParaRPr lang="zh-CN" altLang="en-US"/>
          </a:p>
        </c:rich>
      </c:tx>
      <c:layout/>
      <c:overlay val="0"/>
    </c:title>
    <c:autoTitleDeleted val="0"/>
    <c:plotArea>
      <c:layout/>
      <c:pieChart>
        <c:varyColors val="1"/>
        <c:ser>
          <c:idx val="0"/>
          <c:order val="0"/>
          <c:tx>
            <c:strRef>
              <c:f>Sheet1!$A$49</c:f>
              <c:strCache>
                <c:ptCount val="1"/>
                <c:pt idx="0">
                  <c:v>本年支出合计</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Sheet1!$B$48:$C$48</c:f>
              <c:strCache>
                <c:ptCount val="2"/>
                <c:pt idx="0">
                  <c:v>基本支出</c:v>
                </c:pt>
                <c:pt idx="1">
                  <c:v>项目支出</c:v>
                </c:pt>
              </c:strCache>
            </c:strRef>
          </c:cat>
          <c:val>
            <c:numRef>
              <c:f>Sheet1!$B$49:$C$49</c:f>
              <c:numCache>
                <c:formatCode>0.00%</c:formatCode>
                <c:ptCount val="2"/>
                <c:pt idx="0">
                  <c:v>0.6704</c:v>
                </c:pt>
                <c:pt idx="1">
                  <c:v>0.3296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财政拨款收、支决算总计变动情况</a:t>
            </a:r>
            <a:r>
              <a:rPr lang="zh-CN" altLang="zh-CN" sz="1800" b="1" i="0" u="none" strike="noStrike" baseline="0"/>
              <a:t> </a:t>
            </a:r>
            <a:endParaRPr lang="zh-CN" altLang="en-US"/>
          </a:p>
        </c:rich>
      </c:tx>
      <c:layout/>
      <c:overlay val="0"/>
    </c:title>
    <c:autoTitleDeleted val="0"/>
    <c:plotArea>
      <c:layout/>
      <c:barChart>
        <c:barDir val="col"/>
        <c:grouping val="clustered"/>
        <c:varyColors val="0"/>
        <c:ser>
          <c:idx val="0"/>
          <c:order val="0"/>
          <c:tx>
            <c:strRef>
              <c:f>Sheet1!$A$73</c:f>
              <c:strCache>
                <c:ptCount val="1"/>
                <c:pt idx="0">
                  <c:v>收支总计</c:v>
                </c:pt>
              </c:strCache>
            </c:strRef>
          </c:tx>
          <c:invertIfNegative val="0"/>
          <c:dPt>
            <c:idx val="1"/>
            <c:invertIfNegative val="0"/>
            <c:bubble3D val="0"/>
            <c:spPr>
              <a:solidFill>
                <a:schemeClr val="accent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Sheet1!$B$72:$C$72</c:f>
              <c:strCache>
                <c:ptCount val="2"/>
                <c:pt idx="0">
                  <c:v>2017年</c:v>
                </c:pt>
                <c:pt idx="1">
                  <c:v>2018年</c:v>
                </c:pt>
              </c:strCache>
            </c:strRef>
          </c:cat>
          <c:val>
            <c:numRef>
              <c:f>Sheet1!$B$73:$C$73</c:f>
              <c:numCache>
                <c:formatCode>#,##0.00</c:formatCode>
                <c:ptCount val="2"/>
                <c:pt idx="0">
                  <c:v>30249.91</c:v>
                </c:pt>
                <c:pt idx="1">
                  <c:v>31299.65</c:v>
                </c:pt>
              </c:numCache>
            </c:numRef>
          </c:val>
        </c:ser>
        <c:dLbls>
          <c:showLegendKey val="0"/>
          <c:showVal val="0"/>
          <c:showCatName val="0"/>
          <c:showSerName val="0"/>
          <c:showPercent val="0"/>
          <c:showBubbleSize val="0"/>
        </c:dLbls>
        <c:gapWidth val="150"/>
        <c:axId val="197022464"/>
        <c:axId val="197024768"/>
      </c:barChart>
      <c:catAx>
        <c:axId val="1970224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24768"/>
        <c:crosses val="autoZero"/>
        <c:auto val="1"/>
        <c:lblAlgn val="ctr"/>
        <c:lblOffset val="100"/>
        <c:noMultiLvlLbl val="0"/>
      </c:catAx>
      <c:valAx>
        <c:axId val="19702476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22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一般公共预算财政拨款支出决算变动情况</a:t>
            </a:r>
            <a:r>
              <a:rPr lang="zh-CN" altLang="zh-CN" sz="1800" b="1" i="0" u="none" strike="noStrike" baseline="0"/>
              <a:t> </a:t>
            </a:r>
            <a:endParaRPr lang="zh-CN" altLang="en-US"/>
          </a:p>
        </c:rich>
      </c:tx>
      <c:layout/>
      <c:overlay val="0"/>
    </c:title>
    <c:autoTitleDeleted val="0"/>
    <c:plotArea>
      <c:layout/>
      <c:barChart>
        <c:barDir val="col"/>
        <c:grouping val="clustered"/>
        <c:varyColors val="0"/>
        <c:ser>
          <c:idx val="0"/>
          <c:order val="0"/>
          <c:tx>
            <c:strRef>
              <c:f>Sheet1!$A$98</c:f>
              <c:strCache>
                <c:ptCount val="1"/>
                <c:pt idx="0">
                  <c:v>收支总计</c:v>
                </c:pt>
              </c:strCache>
            </c:strRef>
          </c:tx>
          <c:invertIfNegative val="0"/>
          <c:dPt>
            <c:idx val="1"/>
            <c:invertIfNegative val="0"/>
            <c:bubble3D val="0"/>
            <c:spPr>
              <a:solidFill>
                <a:schemeClr val="accent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Sheet1!$B$97:$C$97</c:f>
              <c:strCache>
                <c:ptCount val="2"/>
                <c:pt idx="0">
                  <c:v>2017年</c:v>
                </c:pt>
                <c:pt idx="1">
                  <c:v>2018年</c:v>
                </c:pt>
              </c:strCache>
            </c:strRef>
          </c:cat>
          <c:val>
            <c:numRef>
              <c:f>Sheet1!$B$98:$C$98</c:f>
              <c:numCache>
                <c:formatCode>#,##0.00</c:formatCode>
                <c:ptCount val="2"/>
                <c:pt idx="0">
                  <c:v>26635.92</c:v>
                </c:pt>
                <c:pt idx="1">
                  <c:v>26646.02</c:v>
                </c:pt>
              </c:numCache>
            </c:numRef>
          </c:val>
        </c:ser>
        <c:dLbls>
          <c:showLegendKey val="0"/>
          <c:showVal val="0"/>
          <c:showCatName val="0"/>
          <c:showSerName val="0"/>
          <c:showPercent val="0"/>
          <c:showBubbleSize val="0"/>
        </c:dLbls>
        <c:gapWidth val="150"/>
        <c:axId val="190822656"/>
        <c:axId val="191235584"/>
      </c:barChart>
      <c:catAx>
        <c:axId val="1908226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1235584"/>
        <c:crosses val="autoZero"/>
        <c:auto val="1"/>
        <c:lblAlgn val="ctr"/>
        <c:lblOffset val="100"/>
        <c:noMultiLvlLbl val="0"/>
      </c:catAx>
      <c:valAx>
        <c:axId val="19123558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226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一般公共预算财政拨款支出决算结构</a:t>
            </a:r>
            <a:r>
              <a:rPr lang="zh-CN" altLang="zh-CN" sz="1800" b="1" i="0" u="none" strike="noStrike" baseline="0"/>
              <a:t> </a:t>
            </a:r>
            <a:endParaRPr lang="zh-CN" altLang="en-US"/>
          </a:p>
        </c:rich>
      </c:tx>
      <c:layout/>
      <c:overlay val="0"/>
    </c:title>
    <c:autoTitleDeleted val="0"/>
    <c:plotArea>
      <c:layout/>
      <c:pieChart>
        <c:varyColors val="1"/>
        <c:ser>
          <c:idx val="0"/>
          <c:order val="0"/>
          <c:tx>
            <c:strRef>
              <c:f>Sheet1!$A$122</c:f>
              <c:strCache>
                <c:ptCount val="1"/>
                <c:pt idx="0">
                  <c:v>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Sheet1!$B$121:$E$121</c:f>
              <c:strCache>
                <c:ptCount val="4"/>
                <c:pt idx="0">
                  <c:v>公共安全</c:v>
                </c:pt>
                <c:pt idx="1">
                  <c:v>社会保障和就业</c:v>
                </c:pt>
                <c:pt idx="2">
                  <c:v>医疗卫生与计划生育</c:v>
                </c:pt>
                <c:pt idx="3">
                  <c:v>住房保障</c:v>
                </c:pt>
              </c:strCache>
            </c:strRef>
          </c:cat>
          <c:val>
            <c:numRef>
              <c:f>Sheet1!$B$122:$E$122</c:f>
              <c:numCache>
                <c:formatCode>0.00%</c:formatCode>
                <c:ptCount val="4"/>
                <c:pt idx="0">
                  <c:v>0.8947</c:v>
                </c:pt>
                <c:pt idx="1">
                  <c:v>0.0431</c:v>
                </c:pt>
                <c:pt idx="2">
                  <c:v>0.0214</c:v>
                </c:pt>
                <c:pt idx="3">
                  <c:v>0.0409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u="none" strike="noStrike" baseline="0">
                <a:effectLst/>
              </a:rPr>
              <a:t>“三公”经费财政拨款支出结构</a:t>
            </a:r>
            <a:r>
              <a:rPr lang="zh-CN" altLang="zh-CN" sz="1800" b="1" i="0" u="none" strike="noStrike" baseline="0"/>
              <a:t> </a:t>
            </a:r>
            <a:endParaRPr lang="zh-CN" altLang="en-US"/>
          </a:p>
        </c:rich>
      </c:tx>
      <c:layout/>
      <c:overlay val="0"/>
    </c:title>
    <c:autoTitleDeleted val="0"/>
    <c:plotArea>
      <c:layout/>
      <c:pieChart>
        <c:varyColors val="1"/>
        <c:ser>
          <c:idx val="0"/>
          <c:order val="0"/>
          <c:tx>
            <c:strRef>
              <c:f>Sheet1!$A$148</c:f>
              <c:strCache>
                <c:ptCount val="1"/>
                <c:pt idx="0">
                  <c:v>三公经费</c:v>
                </c:pt>
              </c:strCache>
            </c:strRef>
          </c:tx>
          <c:explosion val="0"/>
          <c:dPt>
            <c:idx val="0"/>
            <c:bubble3D val="0"/>
          </c:dPt>
          <c:dPt>
            <c:idx val="1"/>
            <c:bubble3D val="0"/>
          </c:dPt>
          <c:dPt>
            <c:idx val="2"/>
            <c:bubble3D val="0"/>
          </c:dPt>
          <c:dLbls>
            <c:dLbl>
              <c:idx val="0"/>
              <c:layout>
                <c:manualLayout>
                  <c:x val="-0.0621751968503937"/>
                  <c:y val="-0.008781714785651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78842957130359"/>
                  <c:y val="-0.02281022163896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Sheet1!$B$147:$D$147</c:f>
              <c:strCache>
                <c:ptCount val="3"/>
                <c:pt idx="0">
                  <c:v>因公出国（境）费</c:v>
                </c:pt>
                <c:pt idx="1">
                  <c:v>公务用车购置及运行维护费</c:v>
                </c:pt>
                <c:pt idx="2">
                  <c:v>公务接待费</c:v>
                </c:pt>
              </c:strCache>
            </c:strRef>
          </c:cat>
          <c:val>
            <c:numRef>
              <c:f>Sheet1!$B$148:$D$148</c:f>
              <c:numCache>
                <c:formatCode>General</c:formatCode>
                <c:ptCount val="3"/>
                <c:pt idx="0">
                  <c:v>0</c:v>
                </c:pt>
                <c:pt idx="1" c:formatCode="0.00%">
                  <c:v>0.9908</c:v>
                </c:pt>
                <c:pt idx="2" c:formatCode="0.00%">
                  <c:v>0.0092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2484</Words>
  <Characters>14159</Characters>
  <Lines>117</Lines>
  <Paragraphs>33</Paragraphs>
  <TotalTime>2039</TotalTime>
  <ScaleCrop>false</ScaleCrop>
  <LinksUpToDate>false</LinksUpToDate>
  <CharactersWithSpaces>16610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2019-09-07T02:12:00Z</dcterms:created>
  <dc:creator>张彬茜</dc:creator>
  <cp:lastModifiedBy>QBZX</cp:lastModifiedBy>
  <cp:lastPrinted>2019-09-09T06:04:00Z</cp:lastPrinted>
  <dcterms:modified xsi:type="dcterms:W3CDTF">2022-01-14T02:32:27Z</dcterms:modified>
  <dc:title>四川省***</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779143C146754AA1A0677B9713C6DFC2</vt:lpwstr>
  </property>
</Properties>
</file>