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hint="default" w:ascii="方正小标宋简体" w:hAnsi="宋体" w:eastAsia="方正小标宋简体"/>
          <w:color w:val="auto"/>
          <w:sz w:val="72"/>
          <w:szCs w:val="72"/>
          <w:highlight w:val="none"/>
          <w:lang w:val="en-US" w:eastAsia="zh-CN"/>
        </w:rPr>
      </w:pPr>
      <w:bookmarkStart w:id="0" w:name="_Toc15306267"/>
      <w:bookmarkStart w:id="1" w:name="_Toc15396597"/>
      <w:bookmarkStart w:id="2" w:name="_Toc15378441"/>
      <w:bookmarkStart w:id="3" w:name="_Toc15377425"/>
      <w:bookmarkStart w:id="4" w:name="_Toc15377193"/>
      <w:bookmarkStart w:id="5" w:name="_Toc15396475"/>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p>
      <w:pPr>
        <w:spacing w:line="600" w:lineRule="exact"/>
        <w:jc w:val="center"/>
        <w:outlineLvl w:val="0"/>
        <w:rPr>
          <w:rFonts w:ascii="方正小标宋简体" w:hAnsi="宋体" w:eastAsia="方正小标宋简体"/>
          <w:color w:val="auto"/>
          <w:sz w:val="72"/>
          <w:szCs w:val="72"/>
          <w:highlight w:val="none"/>
        </w:rPr>
      </w:pPr>
    </w:p>
    <w:bookmarkEnd w:id="0"/>
    <w:bookmarkEnd w:id="1"/>
    <w:bookmarkEnd w:id="2"/>
    <w:bookmarkEnd w:id="3"/>
    <w:bookmarkEnd w:id="4"/>
    <w:bookmarkEnd w:id="5"/>
    <w:p>
      <w:pPr>
        <w:adjustRightInd w:val="0"/>
        <w:snapToGrid w:val="0"/>
        <w:spacing w:line="360" w:lineRule="auto"/>
        <w:jc w:val="center"/>
        <w:outlineLvl w:val="0"/>
        <w:rPr>
          <w:rFonts w:hint="eastAsia" w:ascii="黑体" w:hAnsi="黑体" w:eastAsia="黑体" w:cs="黑体"/>
          <w:color w:val="auto"/>
          <w:sz w:val="72"/>
          <w:szCs w:val="72"/>
          <w:highlight w:val="none"/>
        </w:rPr>
      </w:pPr>
      <w:bookmarkStart w:id="74" w:name="_GoBack"/>
      <w:bookmarkEnd w:id="74"/>
      <w:r>
        <w:rPr>
          <w:rFonts w:hint="eastAsia" w:ascii="黑体" w:hAnsi="黑体" w:eastAsia="黑体" w:cs="黑体"/>
          <w:color w:val="auto"/>
          <w:sz w:val="72"/>
          <w:szCs w:val="72"/>
          <w:highlight w:val="none"/>
        </w:rPr>
        <w:t>20</w:t>
      </w:r>
      <w:r>
        <w:rPr>
          <w:rFonts w:hint="eastAsia" w:ascii="黑体" w:hAnsi="黑体" w:eastAsia="黑体" w:cs="黑体"/>
          <w:color w:val="auto"/>
          <w:sz w:val="72"/>
          <w:szCs w:val="72"/>
          <w:highlight w:val="none"/>
          <w:lang w:val="en-US" w:eastAsia="zh-CN"/>
        </w:rPr>
        <w:t>22</w:t>
      </w:r>
      <w:r>
        <w:rPr>
          <w:rFonts w:hint="eastAsia" w:ascii="黑体" w:hAnsi="黑体" w:eastAsia="黑体" w:cs="黑体"/>
          <w:color w:val="auto"/>
          <w:sz w:val="72"/>
          <w:szCs w:val="72"/>
          <w:highlight w:val="none"/>
        </w:rPr>
        <w:t>年度</w:t>
      </w:r>
    </w:p>
    <w:p>
      <w:pPr>
        <w:adjustRightInd w:val="0"/>
        <w:snapToGrid w:val="0"/>
        <w:spacing w:line="360" w:lineRule="auto"/>
        <w:jc w:val="center"/>
        <w:outlineLvl w:val="0"/>
        <w:rPr>
          <w:rFonts w:hint="eastAsia" w:ascii="黑体" w:hAnsi="黑体" w:eastAsia="黑体" w:cs="黑体"/>
          <w:color w:val="auto"/>
          <w:sz w:val="72"/>
          <w:szCs w:val="72"/>
          <w:highlight w:val="none"/>
          <w:lang w:val="en-US" w:eastAsia="zh-CN"/>
        </w:rPr>
      </w:pPr>
      <w:bookmarkStart w:id="6" w:name="_Toc15396476"/>
      <w:bookmarkStart w:id="7" w:name="_Toc15377194"/>
      <w:bookmarkStart w:id="8" w:name="_Toc15378442"/>
      <w:bookmarkStart w:id="9" w:name="_Toc15396598"/>
      <w:bookmarkStart w:id="10" w:name="_Toc15377426"/>
      <w:r>
        <w:rPr>
          <w:rFonts w:hint="eastAsia" w:ascii="黑体" w:hAnsi="黑体" w:eastAsia="黑体" w:cs="黑体"/>
          <w:color w:val="auto"/>
          <w:sz w:val="72"/>
          <w:szCs w:val="72"/>
          <w:highlight w:val="none"/>
        </w:rPr>
        <w:t>四川省</w:t>
      </w:r>
      <w:bookmarkStart w:id="11" w:name="_Toc15306268"/>
      <w:r>
        <w:rPr>
          <w:rFonts w:hint="eastAsia" w:ascii="黑体" w:hAnsi="黑体" w:eastAsia="黑体" w:cs="黑体"/>
          <w:color w:val="auto"/>
          <w:sz w:val="72"/>
          <w:szCs w:val="72"/>
          <w:highlight w:val="none"/>
          <w:lang w:val="en-US" w:eastAsia="zh-CN"/>
        </w:rPr>
        <w:t>遂宁市公安局</w:t>
      </w: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r>
        <w:rPr>
          <w:rFonts w:hint="eastAsia" w:ascii="黑体" w:hAnsi="黑体" w:eastAsia="黑体" w:cs="黑体"/>
          <w:color w:val="auto"/>
          <w:sz w:val="72"/>
          <w:szCs w:val="72"/>
          <w:highlight w:val="none"/>
          <w:lang w:val="en-US" w:eastAsia="zh-CN"/>
        </w:rPr>
        <w:t>部门</w:t>
      </w:r>
      <w:r>
        <w:rPr>
          <w:rFonts w:hint="eastAsia" w:ascii="黑体" w:hAnsi="黑体" w:eastAsia="黑体" w:cs="黑体"/>
          <w:color w:val="auto"/>
          <w:sz w:val="72"/>
          <w:szCs w:val="72"/>
          <w:highlight w:val="none"/>
        </w:rPr>
        <w:t>决算</w:t>
      </w:r>
      <w:bookmarkEnd w:id="6"/>
      <w:bookmarkEnd w:id="7"/>
      <w:bookmarkEnd w:id="8"/>
      <w:bookmarkEnd w:id="9"/>
      <w:bookmarkEnd w:id="10"/>
      <w:bookmarkEnd w:id="11"/>
    </w:p>
    <w:p>
      <w:pPr>
        <w:widowControl/>
        <w:jc w:val="center"/>
        <w:rPr>
          <w:rFonts w:ascii="黑体" w:hAnsi="黑体" w:eastAsia="黑体"/>
          <w:color w:val="auto"/>
          <w:sz w:val="48"/>
          <w:szCs w:val="4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z w:val="48"/>
          <w:szCs w:val="48"/>
          <w:highlight w:val="none"/>
        </w:rPr>
        <w:t>目录</w:t>
      </w:r>
    </w:p>
    <w:p>
      <w:pPr>
        <w:widowControl/>
        <w:jc w:val="center"/>
        <w:rPr>
          <w:rFonts w:ascii="黑体" w:hAnsi="黑体" w:eastAsia="黑体" w:cstheme="minorBidi"/>
          <w:color w:val="auto"/>
          <w:sz w:val="28"/>
          <w:szCs w:val="28"/>
          <w:highlight w:val="none"/>
        </w:rPr>
      </w:pPr>
    </w:p>
    <w:p>
      <w:pPr>
        <w:pStyle w:val="10"/>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8</w:t>
      </w:r>
      <w:r>
        <w:rPr>
          <w:rFonts w:hint="eastAsia"/>
          <w:color w:val="auto"/>
          <w:highlight w:val="none"/>
        </w:rPr>
        <w:t>月</w:t>
      </w:r>
      <w:r>
        <w:rPr>
          <w:rFonts w:hint="eastAsia"/>
          <w:color w:val="auto"/>
          <w:highlight w:val="none"/>
          <w:lang w:val="en-US" w:eastAsia="zh-CN"/>
        </w:rPr>
        <w:t>25</w:t>
      </w:r>
      <w:r>
        <w:rPr>
          <w:rFonts w:hint="eastAsia"/>
          <w:color w:val="auto"/>
          <w:highlight w:val="none"/>
        </w:rPr>
        <w:t>日</w:t>
      </w:r>
    </w:p>
    <w:p>
      <w:pPr>
        <w:rPr>
          <w:color w:val="auto"/>
          <w:highlight w:val="none"/>
        </w:rPr>
      </w:pPr>
    </w:p>
    <w:p>
      <w:pPr>
        <w:pStyle w:val="10"/>
        <w:adjustRightInd w:val="0"/>
        <w:snapToGrid w:val="0"/>
        <w:spacing w:before="0" w:line="440" w:lineRule="exact"/>
        <w:jc w:val="left"/>
        <w:rPr>
          <w:rFonts w:hint="default" w:eastAsia="仿宋" w:cstheme="minorBidi"/>
          <w:color w:val="auto"/>
          <w:sz w:val="24"/>
          <w:szCs w:val="24"/>
          <w:highlight w:val="none"/>
          <w:lang w:val="en-US" w:eastAsia="zh-CN"/>
        </w:rPr>
      </w:pPr>
      <w:r>
        <w:rPr>
          <w:rFonts w:hint="eastAsia"/>
          <w:color w:val="auto"/>
          <w:sz w:val="24"/>
          <w:highlight w:val="none"/>
        </w:rPr>
        <w:t>第一部分</w:t>
      </w:r>
      <w:r>
        <w:rPr>
          <w:color w:val="auto"/>
          <w:sz w:val="24"/>
          <w:highlight w:val="none"/>
        </w:rPr>
        <w:t xml:space="preserve"> </w:t>
      </w:r>
      <w:r>
        <w:rPr>
          <w:rFonts w:hint="eastAsia"/>
          <w:color w:val="auto"/>
          <w:sz w:val="24"/>
          <w:highlight w:val="none"/>
        </w:rPr>
        <w:t>部门概况</w:t>
      </w:r>
      <w:r>
        <w:rPr>
          <w:rFonts w:hint="eastAsia"/>
          <w:color w:val="auto"/>
          <w:sz w:val="24"/>
          <w:highlight w:val="none"/>
          <w:lang w:val="en-US" w:eastAsia="zh-CN"/>
        </w:rPr>
        <w:t>.................................................1</w:t>
      </w:r>
    </w:p>
    <w:p>
      <w:pPr>
        <w:pStyle w:val="11"/>
        <w:adjustRightInd w:val="0"/>
        <w:snapToGrid w:val="0"/>
        <w:spacing w:line="440" w:lineRule="exact"/>
        <w:jc w:val="left"/>
        <w:rPr>
          <w:rFonts w:hint="default" w:eastAsia="宋体"/>
          <w:color w:val="auto"/>
          <w:sz w:val="24"/>
          <w:highlight w:val="none"/>
          <w:lang w:val="en-US" w:eastAsia="zh-CN"/>
        </w:rPr>
      </w:pPr>
      <w:r>
        <w:rPr>
          <w:rFonts w:hint="eastAsia"/>
          <w:color w:val="auto"/>
          <w:sz w:val="24"/>
          <w:highlight w:val="none"/>
        </w:rPr>
        <w:t>一、</w:t>
      </w:r>
      <w:r>
        <w:rPr>
          <w:rFonts w:hint="eastAsia"/>
          <w:color w:val="auto"/>
          <w:sz w:val="24"/>
          <w:highlight w:val="none"/>
          <w:lang w:val="en-US" w:eastAsia="zh-CN"/>
        </w:rPr>
        <w:t>主要职责.....................................................................................................1</w:t>
      </w:r>
    </w:p>
    <w:p>
      <w:pPr>
        <w:pStyle w:val="11"/>
        <w:adjustRightInd w:val="0"/>
        <w:snapToGrid w:val="0"/>
        <w:spacing w:line="440" w:lineRule="exact"/>
        <w:jc w:val="left"/>
        <w:rPr>
          <w:rFonts w:hint="default" w:asciiTheme="minorEastAsia" w:hAnsiTheme="minorEastAsia" w:eastAsiaTheme="minorEastAsia" w:cstheme="minorEastAsia"/>
          <w:color w:val="auto"/>
          <w:sz w:val="24"/>
          <w:highlight w:val="none"/>
          <w:lang w:val="en-US" w:eastAsia="zh-CN"/>
        </w:rPr>
      </w:pPr>
      <w:r>
        <w:rPr>
          <w:rFonts w:hint="eastAsia"/>
          <w:color w:val="auto"/>
          <w:sz w:val="24"/>
          <w:highlight w:val="none"/>
        </w:rPr>
        <w:t>二、机构设置</w:t>
      </w:r>
      <w:r>
        <w:rPr>
          <w:rFonts w:hint="eastAsia"/>
          <w:color w:val="auto"/>
          <w:sz w:val="24"/>
          <w:highlight w:val="none"/>
          <w:lang w:val="en-US" w:eastAsia="zh-CN"/>
        </w:rPr>
        <w:t>......................................................................................................6</w:t>
      </w:r>
    </w:p>
    <w:p>
      <w:pPr>
        <w:pStyle w:val="10"/>
        <w:adjustRightInd w:val="0"/>
        <w:snapToGrid w:val="0"/>
        <w:spacing w:before="0" w:line="440" w:lineRule="exact"/>
        <w:jc w:val="left"/>
        <w:rPr>
          <w:rFonts w:hint="default" w:eastAsia="仿宋"/>
          <w:color w:val="auto"/>
          <w:sz w:val="24"/>
          <w:szCs w:val="24"/>
          <w:highlight w:val="none"/>
          <w:lang w:val="en-US" w:eastAsia="zh-CN"/>
        </w:rPr>
      </w:pPr>
      <w:r>
        <w:rPr>
          <w:rFonts w:hint="eastAsia"/>
          <w:color w:val="auto"/>
          <w:sz w:val="24"/>
          <w:highlight w:val="none"/>
        </w:rPr>
        <w:t>第二部分</w:t>
      </w:r>
      <w:r>
        <w:rPr>
          <w:rFonts w:hint="eastAsia"/>
          <w:color w:val="auto"/>
          <w:sz w:val="24"/>
          <w:highlight w:val="none"/>
          <w:lang w:val="en-US" w:eastAsia="zh-CN"/>
        </w:rPr>
        <w:t xml:space="preserve"> 2022年度</w:t>
      </w:r>
      <w:r>
        <w:rPr>
          <w:rFonts w:hint="eastAsia"/>
          <w:color w:val="auto"/>
          <w:sz w:val="24"/>
          <w:highlight w:val="none"/>
          <w:lang w:eastAsia="zh-CN"/>
        </w:rPr>
        <w:t>单位</w:t>
      </w:r>
      <w:r>
        <w:rPr>
          <w:rFonts w:hint="eastAsia"/>
          <w:color w:val="auto"/>
          <w:sz w:val="24"/>
          <w:highlight w:val="none"/>
        </w:rPr>
        <w:t>决算情况说明</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宋体" w:cstheme="minorBidi"/>
          <w:color w:val="auto"/>
          <w:sz w:val="24"/>
          <w:highlight w:val="none"/>
          <w:lang w:val="en-US" w:eastAsia="zh-CN"/>
        </w:rPr>
      </w:pPr>
      <w:r>
        <w:rPr>
          <w:rFonts w:hint="eastAsia"/>
          <w:color w:val="auto"/>
          <w:sz w:val="24"/>
          <w:highlight w:val="none"/>
        </w:rPr>
        <w:t>一、收入支出决算总体情况说明</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二、收入决算情况说明</w:t>
      </w:r>
      <w:r>
        <w:rPr>
          <w:rFonts w:hint="eastAsia"/>
          <w:color w:val="auto"/>
          <w:sz w:val="24"/>
          <w:highlight w:val="none"/>
          <w:lang w:val="en-US" w:eastAsia="zh-CN"/>
        </w:rPr>
        <w:t>......................................................................................7</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三、支出决算情况说明</w:t>
      </w:r>
      <w:r>
        <w:rPr>
          <w:rFonts w:hint="eastAsia"/>
          <w:color w:val="auto"/>
          <w:sz w:val="24"/>
          <w:highlight w:val="none"/>
          <w:lang w:val="en-US" w:eastAsia="zh-CN"/>
        </w:rPr>
        <w:t>......................................................................................8</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四、财政拨款收入支出决算总体情况说明</w:t>
      </w:r>
      <w:r>
        <w:rPr>
          <w:rFonts w:hint="eastAsia"/>
          <w:color w:val="auto"/>
          <w:sz w:val="24"/>
          <w:highlight w:val="none"/>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五、一般公共预算财政拨款支出决算情况说明</w:t>
      </w:r>
      <w:r>
        <w:rPr>
          <w:rFonts w:hint="eastAsia"/>
          <w:color w:val="auto"/>
          <w:sz w:val="24"/>
          <w:highlight w:val="none"/>
          <w:lang w:val="en-US" w:eastAsia="zh-CN"/>
        </w:rPr>
        <w:t>..............................................9</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六、一般公共预算财政拨款基本支出决算情况说明</w:t>
      </w:r>
      <w:r>
        <w:rPr>
          <w:rFonts w:hint="eastAsia"/>
          <w:color w:val="auto"/>
          <w:sz w:val="24"/>
          <w:highlight w:val="none"/>
          <w:lang w:val="en-US" w:eastAsia="zh-CN"/>
        </w:rPr>
        <w:t>....................................13</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七、</w:t>
      </w:r>
      <w:r>
        <w:rPr>
          <w:rFonts w:hint="eastAsia"/>
          <w:color w:val="auto"/>
          <w:sz w:val="24"/>
          <w:highlight w:val="none"/>
          <w:lang w:eastAsia="zh-CN"/>
        </w:rPr>
        <w:t>“</w:t>
      </w:r>
      <w:r>
        <w:rPr>
          <w:rFonts w:hint="eastAsia"/>
          <w:color w:val="auto"/>
          <w:sz w:val="24"/>
          <w:highlight w:val="none"/>
        </w:rPr>
        <w:t>三公”经费财政拨款支出决算情况说明</w:t>
      </w:r>
      <w:r>
        <w:rPr>
          <w:rFonts w:hint="eastAsia"/>
          <w:color w:val="auto"/>
          <w:sz w:val="24"/>
          <w:highlight w:val="none"/>
          <w:lang w:val="en-US" w:eastAsia="zh-CN"/>
        </w:rPr>
        <w:t>............................................14</w:t>
      </w:r>
    </w:p>
    <w:p>
      <w:pPr>
        <w:pStyle w:val="11"/>
        <w:adjustRightInd w:val="0"/>
        <w:snapToGrid w:val="0"/>
        <w:spacing w:line="440" w:lineRule="exact"/>
        <w:jc w:val="left"/>
        <w:rPr>
          <w:rFonts w:hint="default" w:ascii="仿宋" w:hAnsi="仿宋" w:eastAsia="仿宋" w:cstheme="minorBidi"/>
          <w:color w:val="auto"/>
          <w:sz w:val="24"/>
          <w:highlight w:val="none"/>
          <w:lang w:val="en-US"/>
        </w:rPr>
      </w:pPr>
      <w:r>
        <w:rPr>
          <w:rFonts w:hint="eastAsia"/>
          <w:color w:val="auto"/>
          <w:sz w:val="24"/>
          <w:highlight w:val="none"/>
        </w:rPr>
        <w:t>八、政府性基金预算支出决算情况说明</w:t>
      </w:r>
      <w:r>
        <w:rPr>
          <w:rFonts w:hint="eastAsia"/>
          <w:color w:val="auto"/>
          <w:sz w:val="24"/>
          <w:highlight w:val="none"/>
          <w:lang w:val="en-US" w:eastAsia="zh-CN"/>
        </w:rPr>
        <w:t>........................................................15</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九、国有资本经营预算支出决算情况说明</w:t>
      </w:r>
      <w:r>
        <w:rPr>
          <w:rFonts w:hint="eastAsia"/>
          <w:color w:val="auto"/>
          <w:sz w:val="24"/>
          <w:highlight w:val="none"/>
          <w:lang w:val="en-US" w:eastAsia="zh-CN"/>
        </w:rPr>
        <w:t>....................................................15</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rPr>
        <w:t>十、其他重要事项的情况说明</w:t>
      </w:r>
      <w:r>
        <w:rPr>
          <w:rFonts w:hint="eastAsia"/>
          <w:color w:val="auto"/>
          <w:sz w:val="24"/>
          <w:highlight w:val="none"/>
          <w:lang w:val="en-US" w:eastAsia="zh-CN"/>
        </w:rPr>
        <w:t>........................................................................15</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第三部分</w:t>
      </w:r>
      <w:r>
        <w:rPr>
          <w:color w:val="auto"/>
          <w:sz w:val="24"/>
          <w:highlight w:val="none"/>
        </w:rPr>
        <w:t xml:space="preserve"> </w:t>
      </w:r>
      <w:r>
        <w:rPr>
          <w:rFonts w:hint="eastAsia"/>
          <w:color w:val="auto"/>
          <w:sz w:val="24"/>
          <w:highlight w:val="none"/>
        </w:rPr>
        <w:t>名词解释</w:t>
      </w:r>
      <w:r>
        <w:rPr>
          <w:rFonts w:hint="eastAsia"/>
          <w:color w:val="auto"/>
          <w:sz w:val="24"/>
          <w:highlight w:val="none"/>
          <w:lang w:val="en-US" w:eastAsia="zh-CN"/>
        </w:rPr>
        <w:t>................................................18</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第四部分</w:t>
      </w:r>
      <w:r>
        <w:rPr>
          <w:color w:val="auto"/>
          <w:sz w:val="24"/>
          <w:highlight w:val="none"/>
        </w:rPr>
        <w:t xml:space="preserve"> </w:t>
      </w:r>
      <w:r>
        <w:rPr>
          <w:rFonts w:hint="eastAsia"/>
          <w:color w:val="auto"/>
          <w:sz w:val="24"/>
          <w:highlight w:val="none"/>
        </w:rPr>
        <w:t>附件</w:t>
      </w:r>
      <w:r>
        <w:rPr>
          <w:rFonts w:hint="eastAsia"/>
          <w:color w:val="auto"/>
          <w:sz w:val="24"/>
          <w:highlight w:val="none"/>
          <w:lang w:val="en-US" w:eastAsia="zh-CN"/>
        </w:rPr>
        <w:t>....................................................22</w:t>
      </w:r>
    </w:p>
    <w:p>
      <w:pPr>
        <w:pStyle w:val="10"/>
        <w:adjustRightInd w:val="0"/>
        <w:snapToGrid w:val="0"/>
        <w:spacing w:before="0" w:line="440" w:lineRule="exact"/>
        <w:jc w:val="left"/>
        <w:rPr>
          <w:rFonts w:hint="default" w:cstheme="minorBidi"/>
          <w:color w:val="auto"/>
          <w:sz w:val="24"/>
          <w:szCs w:val="24"/>
          <w:highlight w:val="none"/>
          <w:lang w:val="en-US"/>
        </w:rPr>
      </w:pPr>
      <w:r>
        <w:rPr>
          <w:rFonts w:hint="eastAsia"/>
          <w:color w:val="auto"/>
          <w:sz w:val="24"/>
          <w:highlight w:val="none"/>
        </w:rPr>
        <w:t>第五部分</w:t>
      </w:r>
      <w:r>
        <w:rPr>
          <w:color w:val="auto"/>
          <w:sz w:val="24"/>
          <w:highlight w:val="none"/>
        </w:rPr>
        <w:t xml:space="preserve"> </w:t>
      </w:r>
      <w:r>
        <w:rPr>
          <w:rFonts w:hint="eastAsia"/>
          <w:color w:val="auto"/>
          <w:sz w:val="24"/>
          <w:highlight w:val="none"/>
        </w:rPr>
        <w:t>附表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一、收入支出决算总表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二、收入决算表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三、支出决算表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四、财政拨款收入支出决算总表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五、财政拨款支出决算明细表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六、一般公共预算财政拨款支出决算表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七、一般公共预算财政拨款支出决算明细表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八、一般公共预算财政拨款基本支出决算表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九、一般公共预算财政拨款项目支出决算表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十、政府性基金预算财政拨款收入支出决算表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十</w:t>
      </w:r>
      <w:r>
        <w:rPr>
          <w:rFonts w:hint="eastAsia"/>
          <w:color w:val="auto"/>
          <w:sz w:val="24"/>
          <w:highlight w:val="none"/>
          <w:lang w:val="en-US" w:eastAsia="zh-CN"/>
        </w:rPr>
        <w:t>一</w:t>
      </w:r>
      <w:r>
        <w:rPr>
          <w:rFonts w:hint="eastAsia"/>
          <w:color w:val="auto"/>
          <w:sz w:val="24"/>
          <w:highlight w:val="none"/>
        </w:rPr>
        <w:t>、国有资本经营预算</w:t>
      </w:r>
      <w:r>
        <w:rPr>
          <w:rFonts w:hint="eastAsia"/>
          <w:color w:val="auto"/>
          <w:sz w:val="24"/>
          <w:highlight w:val="none"/>
          <w:lang w:eastAsia="zh-CN"/>
        </w:rPr>
        <w:t>财政拨款收入</w:t>
      </w:r>
      <w:r>
        <w:rPr>
          <w:rFonts w:hint="eastAsia"/>
          <w:color w:val="auto"/>
          <w:sz w:val="24"/>
          <w:highlight w:val="none"/>
        </w:rPr>
        <w:t>支出决算表</w:t>
      </w:r>
      <w:r>
        <w:rPr>
          <w:rFonts w:hint="eastAsia"/>
          <w:color w:val="auto"/>
          <w:sz w:val="24"/>
          <w:highlight w:val="none"/>
          <w:lang w:val="en-US" w:eastAsia="zh-CN"/>
        </w:rPr>
        <w:t>...................................59</w:t>
      </w:r>
    </w:p>
    <w:p>
      <w:pPr>
        <w:pStyle w:val="11"/>
        <w:adjustRightInd w:val="0"/>
        <w:snapToGrid w:val="0"/>
        <w:spacing w:line="440" w:lineRule="exact"/>
        <w:jc w:val="left"/>
        <w:rPr>
          <w:rFonts w:hint="default"/>
          <w:color w:val="auto"/>
          <w:sz w:val="24"/>
          <w:highlight w:val="none"/>
          <w:lang w:val="en-US" w:eastAsia="zh-CN"/>
        </w:rPr>
      </w:pPr>
      <w:r>
        <w:rPr>
          <w:rFonts w:hint="eastAsia"/>
          <w:color w:val="auto"/>
          <w:sz w:val="24"/>
          <w:highlight w:val="none"/>
          <w:lang w:val="en-US" w:eastAsia="zh-CN"/>
        </w:rPr>
        <w:t>十二、国有资本经营预算财政拨款支出决算表...........................................59</w:t>
      </w:r>
    </w:p>
    <w:p>
      <w:pPr>
        <w:pStyle w:val="11"/>
        <w:adjustRightInd w:val="0"/>
        <w:snapToGrid w:val="0"/>
        <w:spacing w:line="440" w:lineRule="exact"/>
        <w:jc w:val="left"/>
        <w:rPr>
          <w:rFonts w:hint="default"/>
          <w:color w:val="auto"/>
          <w:sz w:val="24"/>
          <w:highlight w:val="none"/>
          <w:lang w:val="en-US"/>
        </w:rPr>
      </w:pPr>
      <w:r>
        <w:rPr>
          <w:rFonts w:hint="eastAsia"/>
          <w:color w:val="auto"/>
          <w:sz w:val="24"/>
          <w:highlight w:val="none"/>
        </w:rPr>
        <w:t>十</w:t>
      </w:r>
      <w:r>
        <w:rPr>
          <w:rFonts w:hint="eastAsia"/>
          <w:color w:val="auto"/>
          <w:sz w:val="24"/>
          <w:highlight w:val="none"/>
          <w:lang w:val="en-US" w:eastAsia="zh-CN"/>
        </w:rPr>
        <w:t>三</w:t>
      </w:r>
      <w:r>
        <w:rPr>
          <w:rFonts w:hint="eastAsia"/>
          <w:color w:val="auto"/>
          <w:sz w:val="24"/>
          <w:highlight w:val="none"/>
        </w:rPr>
        <w:t>、财政拨款“三公”经费支出决算表</w:t>
      </w:r>
      <w:r>
        <w:rPr>
          <w:rFonts w:hint="eastAsia"/>
          <w:color w:val="auto"/>
          <w:sz w:val="24"/>
          <w:highlight w:val="none"/>
          <w:lang w:val="en-US" w:eastAsia="zh-CN"/>
        </w:rPr>
        <w:t>...................................................59</w:t>
      </w:r>
    </w:p>
    <w:p>
      <w:pPr>
        <w:pStyle w:val="11"/>
        <w:adjustRightInd w:val="0"/>
        <w:snapToGrid w:val="0"/>
        <w:spacing w:line="440" w:lineRule="exact"/>
        <w:jc w:val="left"/>
        <w:rPr>
          <w:rFonts w:hint="default" w:ascii="黑体" w:hAnsi="黑体" w:eastAsia="黑体"/>
          <w:b w:val="0"/>
          <w:color w:val="auto"/>
          <w:highlight w:val="none"/>
          <w:lang w:val="en-US"/>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pPr>
        <w:widowControl/>
        <w:spacing w:line="440" w:lineRule="exact"/>
        <w:jc w:val="left"/>
        <w:rPr>
          <w:rFonts w:ascii="仿宋" w:hAnsi="仿宋" w:eastAsia="仿宋"/>
          <w:bCs/>
          <w:color w:val="auto"/>
          <w:kern w:val="44"/>
          <w:sz w:val="24"/>
          <w:highlight w:val="none"/>
        </w:rPr>
      </w:pPr>
      <w:bookmarkStart w:id="12" w:name="_Toc15377196"/>
      <w:bookmarkStart w:id="13" w:name="_Toc15396599"/>
    </w:p>
    <w:p>
      <w:pPr>
        <w:pStyle w:val="3"/>
        <w:jc w:val="center"/>
        <w:rPr>
          <w:rFonts w:ascii="黑体" w:eastAsia="黑体"/>
          <w:color w:val="auto"/>
          <w:sz w:val="32"/>
          <w:szCs w:val="32"/>
          <w:highlight w:val="none"/>
        </w:rPr>
      </w:pPr>
      <w:r>
        <w:rPr>
          <w:rFonts w:hint="eastAsia" w:ascii="黑体" w:hAnsi="黑体" w:eastAsia="黑体"/>
          <w:b w:val="0"/>
          <w:color w:val="auto"/>
          <w:highlight w:val="none"/>
        </w:rPr>
        <w:t xml:space="preserve">第一部分 </w:t>
      </w:r>
      <w:r>
        <w:rPr>
          <w:rStyle w:val="26"/>
          <w:rFonts w:hint="eastAsia" w:ascii="黑体" w:hAnsi="黑体" w:eastAsia="黑体"/>
          <w:b w:val="0"/>
          <w:bCs w:val="0"/>
          <w:color w:val="auto"/>
          <w:highlight w:val="none"/>
        </w:rPr>
        <w:t>部门概况</w:t>
      </w:r>
      <w:bookmarkEnd w:id="12"/>
      <w:bookmarkEnd w:id="13"/>
    </w:p>
    <w:p>
      <w:pPr>
        <w:pStyle w:val="4"/>
        <w:rPr>
          <w:rStyle w:val="27"/>
          <w:rFonts w:hint="eastAsia" w:ascii="仿宋" w:hAnsi="仿宋" w:eastAsia="黑体"/>
          <w:b w:val="0"/>
          <w:bCs w:val="0"/>
          <w:color w:val="auto"/>
          <w:highlight w:val="none"/>
          <w:lang w:val="en-US" w:eastAsia="zh-CN"/>
        </w:rPr>
      </w:pPr>
      <w:bookmarkStart w:id="14" w:name="_Toc15396600"/>
      <w:bookmarkStart w:id="15" w:name="_Toc15377197"/>
      <w:r>
        <w:rPr>
          <w:rFonts w:hint="eastAsia" w:ascii="黑体" w:hAnsi="黑体" w:eastAsia="黑体"/>
          <w:b w:val="0"/>
          <w:color w:val="auto"/>
          <w:highlight w:val="none"/>
        </w:rPr>
        <w:t>一、</w:t>
      </w:r>
      <w:bookmarkEnd w:id="14"/>
      <w:bookmarkEnd w:id="15"/>
      <w:r>
        <w:rPr>
          <w:rFonts w:hint="eastAsia" w:ascii="黑体" w:hAnsi="黑体" w:eastAsia="黑体"/>
          <w:b w:val="0"/>
          <w:color w:val="auto"/>
          <w:highlight w:val="none"/>
          <w:lang w:val="en-US" w:eastAsia="zh-CN"/>
        </w:rPr>
        <w:t>主要职责</w:t>
      </w:r>
    </w:p>
    <w:p>
      <w:pPr>
        <w:pStyle w:val="32"/>
        <w:spacing w:line="600" w:lineRule="exact"/>
        <w:ind w:firstLine="634"/>
        <w:rPr>
          <w:rFonts w:hint="eastAsia" w:ascii="仿宋_GB2312" w:eastAsia="仿宋_GB2312"/>
        </w:rPr>
      </w:pPr>
      <w:bookmarkStart w:id="16" w:name="_Toc15377199"/>
      <w:bookmarkStart w:id="17" w:name="_Toc15378446"/>
      <w:r>
        <w:rPr>
          <w:rFonts w:hint="eastAsia" w:ascii="仿宋_GB2312" w:eastAsia="仿宋_GB2312"/>
          <w:lang w:val="en-US" w:eastAsia="zh-CN"/>
        </w:rPr>
        <w:t>1.</w:t>
      </w:r>
      <w:r>
        <w:rPr>
          <w:rFonts w:hint="eastAsia" w:ascii="仿宋_GB2312" w:eastAsia="仿宋_GB2312"/>
        </w:rPr>
        <w:t>贯彻执行国家公安工作的方针、政策和法律、法规、规章，部署、指导、监督、检查全市公安工作；负责本系统、本部门依法行政工作，落实行政执法责任制。</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2.</w:t>
      </w:r>
      <w:r>
        <w:rPr>
          <w:rFonts w:hint="eastAsia" w:ascii="仿宋_GB2312" w:eastAsia="仿宋_GB2312"/>
        </w:rPr>
        <w:t>指导、协调全市公安机关应急管理、抢险救援工作和社会公共突发事件的处置工作。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3.</w:t>
      </w:r>
      <w:r>
        <w:rPr>
          <w:rFonts w:hint="eastAsia" w:ascii="仿宋_GB2312" w:eastAsia="仿宋_GB2312"/>
        </w:rPr>
        <w:t>组织指导全市公安机关侦查工作，协调处理或直接侦办全市重大刑事犯罪案件及重大经济犯罪案件。</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4.</w:t>
      </w:r>
      <w:r>
        <w:rPr>
          <w:rFonts w:hint="eastAsia" w:ascii="仿宋_GB2312" w:eastAsia="仿宋_GB2312"/>
        </w:rPr>
        <w:t>负责全市治安管理工作并承担相应责任。指导、监督全市公安机关依法查处破坏社会治安秩序行为，依法开展治安行政管理工作，指导、监督全市公安机关治安保卫工作。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5.</w:t>
      </w:r>
      <w:r>
        <w:rPr>
          <w:rFonts w:hint="eastAsia" w:ascii="仿宋_GB2312" w:eastAsia="仿宋_GB2312"/>
        </w:rPr>
        <w:t>负责全市出入境管理有关工作。依法管理国籍、口岸边防检查工作，组织、指导全市出境、入境和持普通护照的外国人在遂居留、旅行的有关管理工作。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6.</w:t>
      </w:r>
      <w:r>
        <w:rPr>
          <w:rFonts w:hint="eastAsia" w:ascii="仿宋_GB2312" w:eastAsia="仿宋_GB2312"/>
        </w:rPr>
        <w:t>负责全市道路交通安全管理工作并承担相应责任。指导、监督全市公安机关维护道路交通安全、道路交通秩序以及开展机动车辆（不含拖拉机）、驾驶人管理工作。</w:t>
      </w:r>
    </w:p>
    <w:p>
      <w:pPr>
        <w:pStyle w:val="32"/>
        <w:spacing w:line="600" w:lineRule="exact"/>
        <w:ind w:firstLine="634"/>
        <w:rPr>
          <w:rFonts w:hint="eastAsia" w:ascii="仿宋_GB2312" w:eastAsia="仿宋_GB2312"/>
        </w:rPr>
      </w:pPr>
      <w:r>
        <w:rPr>
          <w:rFonts w:hint="eastAsia" w:ascii="仿宋_GB2312" w:eastAsia="仿宋_GB2312"/>
          <w:lang w:val="en-US" w:eastAsia="zh-CN"/>
        </w:rPr>
        <w:t>7.</w:t>
      </w:r>
      <w:r>
        <w:rPr>
          <w:rFonts w:hint="eastAsia" w:ascii="仿宋_GB2312" w:eastAsia="仿宋_GB2312"/>
        </w:rPr>
        <w:t>指导、监督全市公安机关对公共信息网络的安全保护工作，负责信息安全等级保护工作的监督、检查、指导。</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8.</w:t>
      </w:r>
      <w:r>
        <w:rPr>
          <w:rFonts w:hint="eastAsia" w:ascii="仿宋_GB2312" w:eastAsia="仿宋_GB2312"/>
        </w:rPr>
        <w:t>组织、指导、协调对恐怖活动的情报、防范、侦察和应急处置工作。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9.</w:t>
      </w:r>
      <w:r>
        <w:rPr>
          <w:rFonts w:hint="eastAsia" w:ascii="仿宋_GB2312" w:eastAsia="仿宋_GB2312"/>
        </w:rPr>
        <w:t>指导、监督全市公安机关依法承担的执行刑罚和监督、考察工作，指导、监督全市公安机关看守所、拘留所、强制隔离戒毒所、</w:t>
      </w:r>
      <w:r>
        <w:rPr>
          <w:rFonts w:hint="eastAsia" w:ascii="仿宋_GB2312" w:eastAsia="仿宋_GB2312"/>
          <w:lang w:val="en-US" w:eastAsia="zh-CN"/>
        </w:rPr>
        <w:t>强医所</w:t>
      </w:r>
      <w:r>
        <w:rPr>
          <w:rFonts w:hint="eastAsia" w:ascii="仿宋_GB2312" w:eastAsia="仿宋_GB2312"/>
        </w:rPr>
        <w:t>、戒毒康复中心的管理工作，指导、监督、办理收容教养审批工作。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10.</w:t>
      </w:r>
      <w:r>
        <w:rPr>
          <w:rFonts w:hint="eastAsia" w:ascii="仿宋_GB2312" w:eastAsia="仿宋_GB2312"/>
        </w:rPr>
        <w:t>指导全市公安警卫业务工作，组织实施对有关的党和国家领导人以及重要外宾在遂的安全警卫工作并承担相应责任。</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11.</w:t>
      </w:r>
      <w:r>
        <w:rPr>
          <w:rFonts w:hint="eastAsia" w:ascii="仿宋_GB2312" w:eastAsia="仿宋_GB2312"/>
        </w:rPr>
        <w:t>组织实施全市公安科学技术工作，组织、指导、规划全市公安机关的指挥系统、信息技术、刑事技术建设。</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12.</w:t>
      </w:r>
      <w:r>
        <w:rPr>
          <w:rFonts w:hint="eastAsia" w:ascii="仿宋_GB2312" w:eastAsia="仿宋_GB2312"/>
        </w:rPr>
        <w:t>拟订全市公安机关装备、被装和经费等警务保障计划和管理制度，组织协调全市公安机关重大任务的警务保障工作。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13.</w:t>
      </w:r>
      <w:r>
        <w:rPr>
          <w:rFonts w:hint="eastAsia" w:ascii="仿宋_GB2312" w:eastAsia="仿宋_GB2312"/>
        </w:rPr>
        <w:t>指导全市公安队伍建设和公安机关党风廉政建设，组织、指导全市公安机关人事管理、民警教育训练和宣传工作，按规定权限管理干部，拟订全市公安队伍监督管理工作规章制度，组织、指导全市公安机关督察、审计、信访工作，指导、监督全市公安机关及人民警察的执法活动，按规定权限实施对干部的监督，查处或督办公安队伍重大违纪案件。</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14.</w:t>
      </w:r>
      <w:r>
        <w:rPr>
          <w:rFonts w:hint="eastAsia" w:ascii="仿宋_GB2312" w:eastAsia="仿宋_GB2312"/>
        </w:rPr>
        <w:t>指导市内铁路、交通、民航、森林等专门公安机关的业务工作。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15.</w:t>
      </w:r>
      <w:r>
        <w:rPr>
          <w:rFonts w:hint="eastAsia" w:ascii="仿宋_GB2312" w:eastAsia="仿宋_GB2312"/>
        </w:rPr>
        <w:t>承担市政府禁毒委员会、反恐怖工作协调小组的具体工作。</w:t>
      </w:r>
    </w:p>
    <w:p>
      <w:pPr>
        <w:pStyle w:val="32"/>
        <w:spacing w:line="600" w:lineRule="exact"/>
        <w:ind w:firstLine="640" w:firstLineChars="200"/>
        <w:rPr>
          <w:rFonts w:hint="eastAsia" w:ascii="仿宋_GB2312" w:eastAsia="仿宋_GB2312"/>
        </w:rPr>
      </w:pPr>
      <w:r>
        <w:rPr>
          <w:rFonts w:hint="eastAsia" w:ascii="仿宋_GB2312" w:eastAsia="仿宋_GB2312"/>
          <w:lang w:val="en-US" w:eastAsia="zh-CN"/>
        </w:rPr>
        <w:t>16.</w:t>
      </w:r>
      <w:r>
        <w:rPr>
          <w:rFonts w:hint="eastAsia" w:ascii="仿宋_GB2312" w:eastAsia="仿宋_GB2312"/>
        </w:rPr>
        <w:t>承担市政府公布的有关行政审批事项。</w:t>
      </w:r>
    </w:p>
    <w:p>
      <w:pPr>
        <w:pStyle w:val="32"/>
        <w:numPr>
          <w:ilvl w:val="0"/>
          <w:numId w:val="0"/>
        </w:numPr>
        <w:spacing w:line="600" w:lineRule="exact"/>
        <w:ind w:firstLine="640" w:firstLineChars="200"/>
        <w:rPr>
          <w:rFonts w:hint="eastAsia" w:ascii="仿宋_GB2312" w:eastAsia="仿宋_GB2312"/>
        </w:rPr>
      </w:pPr>
      <w:r>
        <w:rPr>
          <w:rFonts w:hint="eastAsia" w:ascii="仿宋_GB2312" w:eastAsia="仿宋_GB2312"/>
          <w:lang w:val="en-US" w:eastAsia="zh-CN"/>
        </w:rPr>
        <w:t>17.</w:t>
      </w:r>
      <w:r>
        <w:rPr>
          <w:rFonts w:hint="eastAsia" w:ascii="仿宋_GB2312" w:eastAsia="仿宋_GB2312"/>
        </w:rPr>
        <w:t>承办市政府和公安厅交办的其他事项。</w:t>
      </w:r>
    </w:p>
    <w:p>
      <w:pPr>
        <w:pStyle w:val="32"/>
        <w:numPr>
          <w:ilvl w:val="0"/>
          <w:numId w:val="0"/>
        </w:numPr>
        <w:spacing w:line="600" w:lineRule="exact"/>
        <w:ind w:firstLine="640" w:firstLineChars="200"/>
        <w:rPr>
          <w:rFonts w:hint="eastAsia" w:ascii="仿宋_GB2312" w:eastAsia="仿宋_GB2312"/>
        </w:rPr>
      </w:pPr>
    </w:p>
    <w:bookmarkEnd w:id="16"/>
    <w:bookmarkEnd w:id="17"/>
    <w:p>
      <w:pPr>
        <w:pStyle w:val="4"/>
        <w:rPr>
          <w:rStyle w:val="27"/>
          <w:b w:val="0"/>
          <w:bCs w:val="0"/>
          <w:color w:val="auto"/>
          <w:highlight w:val="none"/>
        </w:rPr>
      </w:pPr>
      <w:bookmarkStart w:id="18" w:name="_Toc15377200"/>
      <w:bookmarkStart w:id="19" w:name="_Toc15396601"/>
      <w:r>
        <w:rPr>
          <w:rFonts w:hint="eastAsia" w:ascii="黑体" w:eastAsia="黑体"/>
          <w:b w:val="0"/>
          <w:color w:val="auto"/>
          <w:highlight w:val="none"/>
        </w:rPr>
        <w:t>二、</w:t>
      </w:r>
      <w:r>
        <w:rPr>
          <w:rFonts w:hint="eastAsia" w:ascii="黑体" w:hAnsi="黑体" w:eastAsia="黑体"/>
          <w:b w:val="0"/>
          <w:color w:val="auto"/>
          <w:highlight w:val="none"/>
        </w:rPr>
        <w:t>机</w:t>
      </w:r>
      <w:r>
        <w:rPr>
          <w:rStyle w:val="27"/>
          <w:rFonts w:hint="eastAsia" w:ascii="黑体" w:hAnsi="黑体" w:eastAsia="黑体"/>
          <w:b w:val="0"/>
          <w:bCs w:val="0"/>
          <w:color w:val="auto"/>
          <w:highlight w:val="none"/>
        </w:rPr>
        <w:t>构设置</w:t>
      </w:r>
      <w:bookmarkEnd w:id="18"/>
      <w:bookmarkEnd w:id="19"/>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rPr>
        <w:t>遂宁市公安局下属二级预算单位</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个，其中行政单位</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个，参照公务员法管理的事业单位0个，其他事业单位0个。纳入</w:t>
      </w:r>
      <w:r>
        <w:rPr>
          <w:rFonts w:hint="eastAsia" w:ascii="仿宋" w:hAnsi="仿宋" w:eastAsia="仿宋"/>
          <w:bCs/>
          <w:color w:val="000000"/>
          <w:sz w:val="32"/>
          <w:szCs w:val="32"/>
          <w:lang w:val="en-US" w:eastAsia="zh-CN"/>
        </w:rPr>
        <w:t>本次</w:t>
      </w:r>
      <w:r>
        <w:rPr>
          <w:rFonts w:hint="eastAsia" w:ascii="仿宋" w:hAnsi="仿宋" w:eastAsia="仿宋"/>
          <w:bCs/>
          <w:color w:val="000000"/>
          <w:sz w:val="32"/>
          <w:szCs w:val="32"/>
        </w:rPr>
        <w:t>20</w:t>
      </w:r>
      <w:r>
        <w:rPr>
          <w:rFonts w:hint="eastAsia" w:ascii="仿宋" w:hAnsi="仿宋" w:eastAsia="仿宋"/>
          <w:bCs/>
          <w:color w:val="000000"/>
          <w:sz w:val="32"/>
          <w:szCs w:val="32"/>
          <w:lang w:val="en-US" w:eastAsia="zh-CN"/>
        </w:rPr>
        <w:t>22</w:t>
      </w:r>
      <w:r>
        <w:rPr>
          <w:rFonts w:hint="eastAsia" w:ascii="仿宋" w:hAnsi="仿宋" w:eastAsia="仿宋"/>
          <w:bCs/>
          <w:color w:val="000000"/>
          <w:sz w:val="32"/>
          <w:szCs w:val="32"/>
        </w:rPr>
        <w:t>年度部门决算编制范围的二级预算单位包括：</w:t>
      </w:r>
    </w:p>
    <w:p>
      <w:pPr>
        <w:snapToGrid w:val="0"/>
        <w:spacing w:line="360" w:lineRule="auto"/>
        <w:ind w:firstLine="640" w:firstLineChars="200"/>
        <w:rPr>
          <w:rFonts w:hint="eastAsia" w:ascii="仿宋" w:hAnsi="仿宋" w:eastAsia="仿宋"/>
          <w:bCs/>
          <w:color w:val="000000"/>
          <w:sz w:val="32"/>
          <w:szCs w:val="32"/>
          <w:lang w:eastAsia="zh-CN"/>
        </w:rPr>
      </w:pPr>
      <w:r>
        <w:rPr>
          <w:rFonts w:hint="eastAsia" w:ascii="仿宋" w:hAnsi="仿宋" w:eastAsia="仿宋"/>
          <w:bCs/>
          <w:color w:val="000000"/>
          <w:sz w:val="32"/>
          <w:szCs w:val="32"/>
          <w:lang w:val="en-US" w:eastAsia="zh-CN"/>
        </w:rPr>
        <w:t>①</w:t>
      </w:r>
      <w:r>
        <w:rPr>
          <w:rFonts w:hint="eastAsia" w:ascii="仿宋" w:hAnsi="仿宋" w:eastAsia="仿宋"/>
          <w:bCs/>
          <w:color w:val="000000"/>
          <w:sz w:val="32"/>
          <w:szCs w:val="32"/>
        </w:rPr>
        <w:t>遂宁市</w:t>
      </w:r>
      <w:r>
        <w:rPr>
          <w:rFonts w:hint="eastAsia" w:ascii="仿宋" w:hAnsi="仿宋" w:eastAsia="仿宋"/>
          <w:bCs/>
          <w:color w:val="000000"/>
          <w:sz w:val="32"/>
          <w:szCs w:val="32"/>
          <w:lang w:val="en-US" w:eastAsia="zh-CN"/>
        </w:rPr>
        <w:t>拘留所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②</w:t>
      </w:r>
      <w:r>
        <w:rPr>
          <w:rFonts w:hint="eastAsia" w:ascii="仿宋" w:hAnsi="仿宋" w:eastAsia="仿宋"/>
          <w:bCs/>
          <w:color w:val="000000"/>
          <w:sz w:val="32"/>
          <w:szCs w:val="32"/>
        </w:rPr>
        <w:t>遂宁市强制隔离戒毒所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③</w:t>
      </w:r>
      <w:r>
        <w:rPr>
          <w:rFonts w:hint="eastAsia" w:ascii="仿宋" w:hAnsi="仿宋" w:eastAsia="仿宋"/>
          <w:bCs/>
          <w:color w:val="000000"/>
          <w:sz w:val="32"/>
          <w:szCs w:val="32"/>
        </w:rPr>
        <w:t>遂宁市看守所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④</w:t>
      </w:r>
      <w:r>
        <w:rPr>
          <w:rFonts w:hint="eastAsia" w:ascii="仿宋" w:hAnsi="仿宋" w:eastAsia="仿宋"/>
          <w:bCs/>
          <w:color w:val="000000"/>
          <w:sz w:val="32"/>
          <w:szCs w:val="32"/>
        </w:rPr>
        <w:t>遂宁市强制医疗所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⑤</w:t>
      </w:r>
      <w:r>
        <w:rPr>
          <w:rFonts w:hint="eastAsia" w:ascii="仿宋" w:hAnsi="仿宋" w:eastAsia="仿宋"/>
          <w:bCs/>
          <w:color w:val="000000"/>
          <w:sz w:val="32"/>
          <w:szCs w:val="32"/>
        </w:rPr>
        <w:t>遂宁市公安局经济技术开发区分局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⑥</w:t>
      </w:r>
      <w:r>
        <w:rPr>
          <w:rFonts w:hint="eastAsia" w:ascii="仿宋" w:hAnsi="仿宋" w:eastAsia="仿宋"/>
          <w:bCs/>
          <w:color w:val="000000"/>
          <w:sz w:val="32"/>
          <w:szCs w:val="32"/>
        </w:rPr>
        <w:t>遂宁市公安局河东新区分局</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⑦</w:t>
      </w:r>
      <w:r>
        <w:rPr>
          <w:rFonts w:hint="eastAsia" w:ascii="仿宋" w:hAnsi="仿宋" w:eastAsia="仿宋"/>
          <w:bCs/>
          <w:color w:val="000000"/>
          <w:sz w:val="32"/>
          <w:szCs w:val="32"/>
        </w:rPr>
        <w:t>遂宁市公安局交通警察支队</w:t>
      </w:r>
    </w:p>
    <w:p>
      <w:pPr>
        <w:snapToGrid w:val="0"/>
        <w:spacing w:line="360" w:lineRule="auto"/>
        <w:ind w:firstLine="640" w:firstLineChars="200"/>
        <w:rPr>
          <w:rFonts w:hint="eastAsia" w:ascii="仿宋" w:hAnsi="仿宋" w:eastAsia="仿宋"/>
          <w:bCs/>
          <w:color w:val="000000"/>
          <w:sz w:val="32"/>
          <w:szCs w:val="32"/>
        </w:rPr>
      </w:pPr>
      <w:r>
        <w:rPr>
          <w:rFonts w:hint="eastAsia" w:ascii="仿宋" w:hAnsi="仿宋" w:eastAsia="仿宋"/>
          <w:bCs/>
          <w:color w:val="000000"/>
          <w:sz w:val="32"/>
          <w:szCs w:val="32"/>
          <w:lang w:val="en-US" w:eastAsia="zh-CN"/>
        </w:rPr>
        <w:t>⑧</w:t>
      </w:r>
      <w:r>
        <w:rPr>
          <w:rFonts w:hint="eastAsia" w:ascii="仿宋" w:hAnsi="仿宋" w:eastAsia="仿宋"/>
          <w:bCs/>
          <w:color w:val="000000"/>
          <w:sz w:val="32"/>
          <w:szCs w:val="32"/>
        </w:rPr>
        <w:t>遂宁市公安局</w:t>
      </w:r>
      <w:r>
        <w:rPr>
          <w:rFonts w:hint="eastAsia" w:ascii="仿宋" w:hAnsi="仿宋" w:eastAsia="仿宋"/>
          <w:bCs/>
          <w:color w:val="000000"/>
          <w:sz w:val="32"/>
          <w:szCs w:val="32"/>
          <w:lang w:val="en-US" w:eastAsia="zh-CN"/>
        </w:rPr>
        <w:t>森林</w:t>
      </w:r>
      <w:r>
        <w:rPr>
          <w:rFonts w:hint="eastAsia" w:ascii="仿宋" w:hAnsi="仿宋" w:eastAsia="仿宋"/>
          <w:bCs/>
          <w:color w:val="000000"/>
          <w:sz w:val="32"/>
          <w:szCs w:val="32"/>
        </w:rPr>
        <w:t>警察支队</w:t>
      </w:r>
    </w:p>
    <w:p>
      <w:pPr>
        <w:widowControl/>
        <w:jc w:val="center"/>
        <w:rPr>
          <w:rStyle w:val="26"/>
          <w:rFonts w:ascii="黑体" w:hAnsi="黑体" w:eastAsia="黑体"/>
          <w:b w:val="0"/>
          <w:bCs/>
          <w:color w:val="auto"/>
          <w:highlight w:val="none"/>
        </w:rPr>
      </w:pPr>
      <w:r>
        <w:rPr>
          <w:rFonts w:ascii="仿宋" w:hAnsi="仿宋" w:eastAsia="仿宋"/>
          <w:color w:val="auto"/>
          <w:sz w:val="32"/>
          <w:szCs w:val="32"/>
          <w:highlight w:val="none"/>
        </w:rPr>
        <w:br w:type="page"/>
      </w:r>
      <w:bookmarkStart w:id="20" w:name="_Toc15396602"/>
      <w:bookmarkStart w:id="21" w:name="_Toc15377204"/>
      <w:r>
        <w:rPr>
          <w:rStyle w:val="26"/>
          <w:rFonts w:hint="eastAsia" w:ascii="黑体" w:hAnsi="黑体" w:eastAsia="黑体" w:cstheme="minorBidi"/>
          <w:b w:val="0"/>
          <w:bCs/>
          <w:color w:val="auto"/>
          <w:highlight w:val="none"/>
        </w:rPr>
        <w:t xml:space="preserve">第二部分 </w:t>
      </w:r>
      <w:r>
        <w:rPr>
          <w:rStyle w:val="26"/>
          <w:rFonts w:hint="eastAsia" w:ascii="黑体" w:hAnsi="黑体" w:eastAsia="黑体" w:cstheme="minorBidi"/>
          <w:b w:val="0"/>
          <w:bCs/>
          <w:color w:val="auto"/>
          <w:highlight w:val="none"/>
          <w:lang w:val="en-US" w:eastAsia="zh-CN"/>
        </w:rPr>
        <w:t>2022年度</w:t>
      </w:r>
      <w:r>
        <w:rPr>
          <w:rStyle w:val="26"/>
          <w:rFonts w:hint="eastAsia" w:ascii="黑体" w:hAnsi="黑体" w:eastAsia="黑体" w:cstheme="minorBidi"/>
          <w:b w:val="0"/>
          <w:bCs/>
          <w:color w:val="auto"/>
          <w:highlight w:val="none"/>
        </w:rPr>
        <w:t>部门决算</w:t>
      </w:r>
      <w:r>
        <w:rPr>
          <w:rStyle w:val="26"/>
          <w:rFonts w:hint="eastAsia" w:ascii="黑体" w:hAnsi="黑体" w:eastAsia="黑体"/>
          <w:b w:val="0"/>
          <w:bCs/>
          <w:color w:val="auto"/>
          <w:highlight w:val="none"/>
        </w:rPr>
        <w:t>情况说明</w:t>
      </w:r>
      <w:bookmarkEnd w:id="20"/>
      <w:bookmarkEnd w:id="21"/>
    </w:p>
    <w:p>
      <w:pPr>
        <w:rPr>
          <w:color w:val="auto"/>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2" w:name="_Toc15377205"/>
      <w:bookmarkStart w:id="23" w:name="_Toc15396603"/>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入支出决算总体情况说明</w:t>
      </w:r>
      <w:bookmarkEnd w:id="22"/>
      <w:bookmarkEnd w:id="23"/>
    </w:p>
    <w:p>
      <w:pPr>
        <w:spacing w:line="600" w:lineRule="exact"/>
        <w:ind w:firstLine="640" w:firstLineChars="200"/>
        <w:outlineLvl w:val="1"/>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2022年度收、支总计34,686.54万元。与2021年36,782.09万元相比，收、支总计各减少2,095.55万元，减少5.70%。主要变动原因是项目支出的减少。</w:t>
      </w:r>
    </w:p>
    <w:p>
      <w:pPr>
        <w:pStyle w:val="2"/>
        <w:rPr>
          <w:rFonts w:hint="eastAsia"/>
          <w:lang w:val="en-US" w:eastAsia="zh-CN"/>
        </w:rPr>
      </w:pPr>
    </w:p>
    <w:p>
      <w:pPr>
        <w:pStyle w:val="2"/>
        <w:jc w:val="center"/>
        <w:rPr>
          <w:rFonts w:hint="eastAsia" w:ascii="仿宋_GB2312" w:hAnsi="仿宋" w:eastAsia="仿宋_GB2312"/>
          <w:sz w:val="32"/>
          <w:szCs w:val="32"/>
          <w:lang w:val="en-US" w:eastAsia="zh-CN"/>
        </w:rPr>
      </w:pPr>
      <w:r>
        <w:drawing>
          <wp:inline distT="0" distB="0" distL="114300" distR="114300">
            <wp:extent cx="4572000" cy="2743200"/>
            <wp:effectExtent l="4445" t="4445" r="10795" b="1079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w:t>
      </w:r>
    </w:p>
    <w:p>
      <w:pPr>
        <w:spacing w:line="600" w:lineRule="exact"/>
        <w:ind w:firstLine="640" w:firstLineChars="200"/>
        <w:jc w:val="left"/>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4" w:name="_Toc15377206"/>
      <w:bookmarkStart w:id="25" w:name="_Toc15396604"/>
      <w:r>
        <w:rPr>
          <w:rFonts w:hint="eastAsia" w:ascii="黑体" w:hAnsi="黑体" w:eastAsia="黑体"/>
          <w:color w:val="auto"/>
          <w:sz w:val="32"/>
          <w:szCs w:val="32"/>
          <w:highlight w:val="none"/>
        </w:rPr>
        <w:t>收</w:t>
      </w:r>
      <w:r>
        <w:rPr>
          <w:rStyle w:val="27"/>
          <w:rFonts w:hint="eastAsia" w:ascii="黑体" w:hAnsi="黑体" w:eastAsia="黑体"/>
          <w:b w:val="0"/>
          <w:color w:val="auto"/>
          <w:highlight w:val="none"/>
        </w:rPr>
        <w:t>入决算情况说明</w:t>
      </w:r>
      <w:bookmarkEnd w:id="24"/>
      <w:bookmarkEnd w:id="25"/>
    </w:p>
    <w:p>
      <w:pPr>
        <w:spacing w:line="600" w:lineRule="exact"/>
        <w:ind w:firstLine="640" w:firstLineChars="200"/>
        <w:outlineLvl w:val="1"/>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2022年本年收入合计34,686.54万元，其中：一般公共预算财政拨款收入29,651.16万元，占85.48%；其他收入4,228.49万元，占12.19%；年初结转和结余收入746.89万元，占2.33%。</w:t>
      </w:r>
    </w:p>
    <w:p>
      <w:pPr>
        <w:pStyle w:val="2"/>
        <w:jc w:val="center"/>
        <w:rPr>
          <w:rFonts w:ascii="仿宋" w:hAnsi="仿宋" w:eastAsia="仿宋"/>
          <w:color w:val="auto"/>
          <w:sz w:val="32"/>
          <w:szCs w:val="32"/>
          <w:highlight w:val="none"/>
        </w:rPr>
      </w:pPr>
      <w:r>
        <w:drawing>
          <wp:inline distT="0" distB="0" distL="114300" distR="114300">
            <wp:extent cx="4572000" cy="2743200"/>
            <wp:effectExtent l="4445" t="4445" r="10795" b="1079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（图2：收入决算结构图）</w:t>
      </w:r>
    </w:p>
    <w:p>
      <w:pPr>
        <w:spacing w:line="600" w:lineRule="exact"/>
        <w:ind w:firstLine="640" w:firstLineChars="200"/>
        <w:rPr>
          <w:rFonts w:ascii="仿宋_GB2312" w:eastAsia="仿宋_GB2312"/>
          <w:color w:val="auto"/>
          <w:sz w:val="32"/>
          <w:szCs w:val="32"/>
          <w:highlight w:val="none"/>
        </w:rPr>
      </w:pPr>
    </w:p>
    <w:p>
      <w:pPr>
        <w:pStyle w:val="25"/>
        <w:numPr>
          <w:ilvl w:val="0"/>
          <w:numId w:val="1"/>
        </w:numPr>
        <w:spacing w:line="600" w:lineRule="exact"/>
        <w:ind w:firstLineChars="0"/>
        <w:outlineLvl w:val="1"/>
        <w:rPr>
          <w:rStyle w:val="27"/>
          <w:rFonts w:ascii="黑体" w:hAnsi="黑体" w:eastAsia="黑体"/>
          <w:b w:val="0"/>
          <w:color w:val="auto"/>
          <w:highlight w:val="none"/>
        </w:rPr>
      </w:pPr>
      <w:bookmarkStart w:id="26" w:name="_Toc15396605"/>
      <w:bookmarkStart w:id="27" w:name="_Toc15377207"/>
      <w:r>
        <w:rPr>
          <w:rFonts w:hint="eastAsia" w:ascii="黑体" w:hAnsi="黑体" w:eastAsia="黑体"/>
          <w:color w:val="auto"/>
          <w:sz w:val="32"/>
          <w:szCs w:val="32"/>
          <w:highlight w:val="none"/>
        </w:rPr>
        <w:t>支</w:t>
      </w:r>
      <w:r>
        <w:rPr>
          <w:rStyle w:val="27"/>
          <w:rFonts w:hint="eastAsia" w:ascii="黑体" w:hAnsi="黑体" w:eastAsia="黑体"/>
          <w:b w:val="0"/>
          <w:color w:val="auto"/>
          <w:highlight w:val="none"/>
        </w:rPr>
        <w:t>出决算情况说明</w:t>
      </w:r>
      <w:bookmarkEnd w:id="26"/>
      <w:bookmarkEnd w:id="27"/>
    </w:p>
    <w:p>
      <w:pPr>
        <w:spacing w:line="600" w:lineRule="exact"/>
        <w:ind w:firstLine="640" w:firstLineChars="200"/>
        <w:outlineLvl w:val="1"/>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2022年本年支出合计34,423.61万元，其中：基本支出22,534.55万元，占65.46%；项目支出11,889.07万元，占34.54%。</w:t>
      </w:r>
    </w:p>
    <w:p>
      <w:pPr>
        <w:pStyle w:val="2"/>
        <w:jc w:val="center"/>
        <w:rPr>
          <w:rFonts w:ascii="仿宋" w:hAnsi="仿宋" w:eastAsia="仿宋"/>
          <w:color w:val="auto"/>
          <w:sz w:val="32"/>
          <w:szCs w:val="32"/>
          <w:highlight w:val="none"/>
          <w:shd w:val="pct10" w:color="auto" w:fill="FFFFFF"/>
        </w:rPr>
      </w:pPr>
      <w:r>
        <w:drawing>
          <wp:inline distT="0" distB="0" distL="114300" distR="114300">
            <wp:extent cx="4572000" cy="2743200"/>
            <wp:effectExtent l="4445" t="4445" r="10795" b="10795"/>
            <wp:docPr id="8"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jc w:val="center"/>
        <w:rPr>
          <w:rFonts w:hint="eastAsia" w:ascii="仿宋" w:hAnsi="仿宋" w:eastAsia="仿宋"/>
          <w:color w:val="auto"/>
          <w:sz w:val="32"/>
          <w:szCs w:val="32"/>
          <w:highlight w:val="none"/>
        </w:rPr>
      </w:pPr>
    </w:p>
    <w:p>
      <w:pPr>
        <w:spacing w:line="600" w:lineRule="exact"/>
        <w:jc w:val="center"/>
        <w:rPr>
          <w:rFonts w:hint="eastAsia" w:ascii="黑体" w:hAnsi="黑体" w:eastAsia="黑体"/>
          <w:color w:val="auto"/>
          <w:sz w:val="32"/>
          <w:szCs w:val="32"/>
          <w:highlight w:val="none"/>
        </w:rPr>
      </w:pPr>
      <w:r>
        <w:rPr>
          <w:rFonts w:hint="eastAsia" w:ascii="仿宋" w:hAnsi="仿宋" w:eastAsia="仿宋"/>
          <w:color w:val="auto"/>
          <w:sz w:val="32"/>
          <w:szCs w:val="32"/>
          <w:highlight w:val="none"/>
        </w:rPr>
        <w:t>（图3：支出决算结构图）</w:t>
      </w:r>
      <w:bookmarkStart w:id="28" w:name="_Toc15377208"/>
      <w:bookmarkStart w:id="29" w:name="_Toc15396606"/>
    </w:p>
    <w:p>
      <w:pPr>
        <w:spacing w:line="600" w:lineRule="exact"/>
        <w:ind w:firstLine="640" w:firstLineChars="200"/>
        <w:outlineLvl w:val="1"/>
        <w:rPr>
          <w:rStyle w:val="27"/>
          <w:rFonts w:ascii="黑体" w:hAnsi="黑体" w:eastAsia="黑体"/>
          <w:b w:val="0"/>
          <w:color w:val="auto"/>
          <w:highlight w:val="none"/>
        </w:rPr>
      </w:pPr>
      <w:r>
        <w:rPr>
          <w:rFonts w:hint="eastAsia" w:ascii="黑体" w:hAnsi="黑体" w:eastAsia="黑体"/>
          <w:color w:val="auto"/>
          <w:sz w:val="32"/>
          <w:szCs w:val="32"/>
          <w:highlight w:val="none"/>
        </w:rPr>
        <w:t>四、财</w:t>
      </w:r>
      <w:r>
        <w:rPr>
          <w:rStyle w:val="27"/>
          <w:rFonts w:hint="eastAsia" w:ascii="黑体" w:hAnsi="黑体" w:eastAsia="黑体"/>
          <w:b w:val="0"/>
          <w:color w:val="auto"/>
          <w:highlight w:val="none"/>
        </w:rPr>
        <w:t>政拨款收入支出决算总体情况说明</w:t>
      </w:r>
      <w:bookmarkEnd w:id="28"/>
      <w:bookmarkEnd w:id="29"/>
    </w:p>
    <w:p>
      <w:pPr>
        <w:spacing w:line="600" w:lineRule="exact"/>
        <w:ind w:firstLine="640" w:firstLineChars="200"/>
        <w:outlineLvl w:val="1"/>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2022年财政拨款收、支总计29,651.16万元。与2021年32,285.58万元相比，财政拨款收、支总计各减少2,634.42万元，减少8.16%。主要变动原因是本年项目经费较以往年度有所减少。</w:t>
      </w:r>
    </w:p>
    <w:p>
      <w:pPr>
        <w:pStyle w:val="2"/>
        <w:jc w:val="center"/>
      </w:pPr>
      <w:r>
        <w:drawing>
          <wp:inline distT="0" distB="0" distL="114300" distR="114300">
            <wp:extent cx="4572000" cy="2743200"/>
            <wp:effectExtent l="4445" t="4445" r="10795" b="10795"/>
            <wp:docPr id="9"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2"/>
        <w:jc w:val="center"/>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w:t>
      </w:r>
    </w:p>
    <w:p>
      <w:pPr>
        <w:spacing w:line="600" w:lineRule="exact"/>
        <w:ind w:firstLine="640" w:firstLineChars="200"/>
        <w:outlineLvl w:val="1"/>
        <w:rPr>
          <w:rStyle w:val="27"/>
          <w:rFonts w:ascii="黑体" w:hAnsi="黑体" w:eastAsia="黑体"/>
          <w:b w:val="0"/>
          <w:color w:val="auto"/>
          <w:highlight w:val="none"/>
        </w:rPr>
      </w:pPr>
      <w:bookmarkStart w:id="30" w:name="_Toc15377209"/>
      <w:bookmarkStart w:id="31" w:name="_Toc15396607"/>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般公共预算财政拨款支出决算情况说明</w:t>
      </w:r>
      <w:bookmarkEnd w:id="30"/>
      <w:bookmarkEnd w:id="31"/>
    </w:p>
    <w:p>
      <w:pPr>
        <w:spacing w:line="600" w:lineRule="exact"/>
        <w:ind w:firstLine="643" w:firstLineChars="200"/>
        <w:outlineLvl w:val="2"/>
        <w:rPr>
          <w:rFonts w:ascii="仿宋" w:hAnsi="仿宋" w:eastAsia="仿宋"/>
          <w:b/>
          <w:color w:val="auto"/>
          <w:sz w:val="32"/>
          <w:szCs w:val="32"/>
          <w:highlight w:val="none"/>
        </w:rPr>
      </w:pPr>
      <w:bookmarkStart w:id="32" w:name="_Toc15377210"/>
      <w:r>
        <w:rPr>
          <w:rFonts w:hint="eastAsia" w:ascii="仿宋" w:hAnsi="仿宋" w:eastAsia="仿宋"/>
          <w:b/>
          <w:color w:val="auto"/>
          <w:sz w:val="32"/>
          <w:szCs w:val="32"/>
          <w:highlight w:val="none"/>
        </w:rPr>
        <w:t>（一）一般公共预算财政拨款支出决算总体情况</w:t>
      </w:r>
      <w:bookmarkEnd w:id="32"/>
    </w:p>
    <w:p>
      <w:pPr>
        <w:spacing w:line="600" w:lineRule="exact"/>
        <w:ind w:firstLine="640" w:firstLineChars="200"/>
        <w:rPr>
          <w:rFonts w:hint="eastAsia" w:ascii="仿宋" w:hAnsi="仿宋" w:eastAsia="仿宋"/>
          <w:bCs/>
          <w:color w:val="000000"/>
          <w:sz w:val="32"/>
          <w:szCs w:val="32"/>
          <w:lang w:val="en-US" w:eastAsia="zh-CN"/>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29,651.16</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86.14</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w:t>
      </w:r>
      <w:r>
        <w:rPr>
          <w:rFonts w:hint="eastAsia" w:ascii="仿宋" w:hAnsi="仿宋" w:eastAsia="仿宋"/>
          <w:color w:val="auto"/>
          <w:sz w:val="32"/>
          <w:szCs w:val="32"/>
          <w:highlight w:val="none"/>
          <w:lang w:val="en-US" w:eastAsia="zh-CN"/>
        </w:rPr>
        <w:t>32,285.58</w:t>
      </w:r>
      <w:r>
        <w:rPr>
          <w:rFonts w:hint="eastAsia" w:ascii="仿宋" w:hAnsi="仿宋" w:eastAsia="仿宋"/>
          <w:color w:val="auto"/>
          <w:sz w:val="32"/>
          <w:szCs w:val="32"/>
          <w:highlight w:val="none"/>
        </w:rPr>
        <w:t>万元相比，一般公共预算财政拨款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lang w:val="en-US" w:eastAsia="zh-CN"/>
        </w:rPr>
        <w:t>减少2,634.42</w:t>
      </w:r>
      <w:r>
        <w:rPr>
          <w:rFonts w:hint="eastAsia" w:ascii="仿宋" w:hAnsi="仿宋" w:eastAsia="仿宋"/>
          <w:color w:val="auto"/>
          <w:sz w:val="32"/>
          <w:szCs w:val="32"/>
          <w:highlight w:val="none"/>
        </w:rPr>
        <w:t>万元，</w:t>
      </w:r>
      <w:r>
        <w:rPr>
          <w:rFonts w:hint="eastAsia" w:ascii="仿宋" w:hAnsi="仿宋" w:eastAsia="仿宋"/>
          <w:color w:val="auto"/>
          <w:sz w:val="32"/>
          <w:szCs w:val="32"/>
          <w:highlight w:val="none"/>
          <w:lang w:val="en-US" w:eastAsia="zh-CN"/>
        </w:rPr>
        <w:t>减少8.16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w:t>
      </w:r>
      <w:r>
        <w:rPr>
          <w:rFonts w:hint="eastAsia" w:ascii="仿宋" w:hAnsi="仿宋" w:eastAsia="仿宋"/>
          <w:color w:val="auto"/>
          <w:sz w:val="32"/>
          <w:szCs w:val="32"/>
          <w:highlight w:val="none"/>
          <w:lang w:val="en-US" w:eastAsia="zh-CN"/>
        </w:rPr>
        <w:t>一是项目经费的减少</w:t>
      </w:r>
      <w:r>
        <w:rPr>
          <w:rFonts w:hint="eastAsia" w:ascii="仿宋" w:hAnsi="仿宋" w:eastAsia="仿宋"/>
          <w:bCs/>
          <w:color w:val="000000"/>
          <w:sz w:val="32"/>
          <w:szCs w:val="32"/>
          <w:lang w:val="en-US" w:eastAsia="zh-CN"/>
        </w:rPr>
        <w:t>。</w:t>
      </w:r>
    </w:p>
    <w:p>
      <w:pPr>
        <w:pStyle w:val="2"/>
        <w:jc w:val="center"/>
        <w:rPr>
          <w:rFonts w:hint="eastAsia"/>
        </w:rPr>
      </w:pPr>
      <w:r>
        <w:drawing>
          <wp:inline distT="0" distB="0" distL="114300" distR="114300">
            <wp:extent cx="4572000" cy="2743200"/>
            <wp:effectExtent l="4445" t="4445" r="10795" b="10795"/>
            <wp:docPr id="12"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w:t>
      </w:r>
    </w:p>
    <w:p>
      <w:pPr>
        <w:spacing w:line="600" w:lineRule="exact"/>
        <w:ind w:firstLine="643" w:firstLineChars="200"/>
        <w:outlineLvl w:val="2"/>
        <w:rPr>
          <w:rFonts w:hint="eastAsia" w:ascii="仿宋" w:hAnsi="仿宋" w:eastAsia="仿宋"/>
          <w:b/>
          <w:color w:val="auto"/>
          <w:sz w:val="32"/>
          <w:szCs w:val="32"/>
          <w:highlight w:val="none"/>
        </w:rPr>
      </w:pPr>
      <w:bookmarkStart w:id="33" w:name="_Toc15377211"/>
    </w:p>
    <w:p>
      <w:pPr>
        <w:spacing w:line="600" w:lineRule="exact"/>
        <w:ind w:firstLine="643"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（二）一般公共预算财政拨款支出决算结构情况</w:t>
      </w:r>
      <w:bookmarkEnd w:id="3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29,651.16</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
          <w:bCs/>
          <w:color w:val="000000"/>
          <w:sz w:val="32"/>
          <w:szCs w:val="32"/>
          <w:lang w:val="en-US" w:eastAsia="zh-CN"/>
        </w:rPr>
        <w:t>一般公共服务支出（类）</w:t>
      </w:r>
      <w:r>
        <w:rPr>
          <w:rFonts w:hint="eastAsia" w:ascii="仿宋" w:hAnsi="仿宋" w:eastAsia="仿宋"/>
          <w:color w:val="000000"/>
          <w:sz w:val="32"/>
          <w:szCs w:val="32"/>
          <w:lang w:val="en-US" w:eastAsia="zh-CN"/>
        </w:rPr>
        <w:t>支出8.88万元，占0.03%；</w:t>
      </w:r>
      <w:r>
        <w:rPr>
          <w:rFonts w:hint="eastAsia" w:ascii="仿宋" w:hAnsi="仿宋" w:eastAsia="仿宋"/>
          <w:b/>
          <w:color w:val="000000"/>
          <w:sz w:val="32"/>
          <w:szCs w:val="32"/>
        </w:rPr>
        <w:t>公共安全（类）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26,324.02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88.78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1,366.17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4.61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卫生健康（类）</w:t>
      </w:r>
      <w:r>
        <w:rPr>
          <w:rFonts w:hint="eastAsia" w:ascii="仿宋" w:hAnsi="仿宋" w:eastAsia="仿宋"/>
          <w:bCs/>
          <w:color w:val="000000"/>
          <w:sz w:val="32"/>
          <w:szCs w:val="32"/>
        </w:rPr>
        <w:t>支出</w:t>
      </w:r>
      <w:r>
        <w:rPr>
          <w:rFonts w:hint="eastAsia" w:ascii="仿宋" w:hAnsi="仿宋" w:eastAsia="仿宋"/>
          <w:color w:val="000000"/>
          <w:sz w:val="32"/>
          <w:szCs w:val="32"/>
          <w:lang w:val="en-US" w:eastAsia="zh-CN"/>
        </w:rPr>
        <w:t>655.72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2.21</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color w:val="000000"/>
          <w:sz w:val="32"/>
          <w:szCs w:val="32"/>
        </w:rPr>
        <w:t>住房保障（类）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1,296.39</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4.37</w:t>
      </w:r>
      <w:r>
        <w:rPr>
          <w:rFonts w:ascii="仿宋" w:hAnsi="仿宋" w:eastAsia="仿宋"/>
          <w:color w:val="000000"/>
          <w:sz w:val="32"/>
          <w:szCs w:val="32"/>
        </w:rPr>
        <w:t>%</w:t>
      </w:r>
      <w:r>
        <w:rPr>
          <w:rFonts w:hint="eastAsia" w:ascii="仿宋" w:hAnsi="仿宋" w:eastAsia="仿宋"/>
          <w:color w:val="auto"/>
          <w:sz w:val="32"/>
          <w:szCs w:val="32"/>
          <w:highlight w:val="none"/>
        </w:rPr>
        <w:t>。</w:t>
      </w:r>
    </w:p>
    <w:p>
      <w:pPr>
        <w:pStyle w:val="2"/>
      </w:pPr>
      <w:r>
        <w:drawing>
          <wp:anchor distT="0" distB="0" distL="114300" distR="114300" simplePos="0" relativeHeight="251659264" behindDoc="0" locked="0" layoutInCell="1" allowOverlap="1">
            <wp:simplePos x="0" y="0"/>
            <wp:positionH relativeFrom="column">
              <wp:posOffset>608965</wp:posOffset>
            </wp:positionH>
            <wp:positionV relativeFrom="paragraph">
              <wp:posOffset>260350</wp:posOffset>
            </wp:positionV>
            <wp:extent cx="4572000" cy="2743200"/>
            <wp:effectExtent l="4445" t="4445" r="10795" b="10795"/>
            <wp:wrapTopAndBottom/>
            <wp:docPr id="13"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w:t>
      </w:r>
    </w:p>
    <w:p>
      <w:pPr>
        <w:spacing w:line="600" w:lineRule="exact"/>
        <w:ind w:firstLine="640" w:firstLineChars="200"/>
        <w:rPr>
          <w:rFonts w:ascii="仿宋" w:hAnsi="仿宋" w:eastAsia="仿宋"/>
          <w:color w:val="auto"/>
          <w:sz w:val="32"/>
          <w:szCs w:val="32"/>
          <w:highlight w:val="none"/>
        </w:rPr>
      </w:pPr>
    </w:p>
    <w:p>
      <w:pPr>
        <w:spacing w:line="600" w:lineRule="exact"/>
        <w:ind w:firstLine="643" w:firstLineChars="200"/>
        <w:outlineLvl w:val="2"/>
        <w:rPr>
          <w:rFonts w:ascii="仿宋" w:hAnsi="仿宋" w:eastAsia="仿宋"/>
          <w:b/>
          <w:color w:val="auto"/>
          <w:sz w:val="32"/>
          <w:szCs w:val="32"/>
          <w:highlight w:val="none"/>
        </w:rPr>
      </w:pPr>
      <w:bookmarkStart w:id="34" w:name="_Toc15377212"/>
      <w:r>
        <w:rPr>
          <w:rFonts w:hint="eastAsia" w:ascii="仿宋" w:hAnsi="仿宋" w:eastAsia="仿宋"/>
          <w:b/>
          <w:color w:val="auto"/>
          <w:sz w:val="32"/>
          <w:szCs w:val="32"/>
          <w:highlight w:val="none"/>
        </w:rPr>
        <w:t>（三）一般公共预算财政拨款支出决算具体情况</w:t>
      </w:r>
      <w:bookmarkEnd w:id="34"/>
    </w:p>
    <w:p>
      <w:pPr>
        <w:spacing w:line="360" w:lineRule="auto"/>
        <w:ind w:firstLine="643" w:firstLineChars="200"/>
        <w:outlineLvl w:val="2"/>
        <w:rPr>
          <w:rStyle w:val="15"/>
          <w:rFonts w:hint="eastAsia" w:ascii="仿宋" w:hAnsi="仿宋" w:eastAsia="仿宋"/>
          <w:bCs/>
          <w:color w:val="000000"/>
          <w:sz w:val="32"/>
          <w:szCs w:val="32"/>
        </w:rPr>
      </w:pPr>
      <w:bookmarkStart w:id="35" w:name="_Toc15377213"/>
      <w:bookmarkStart w:id="36" w:name="_Toc15378460"/>
      <w:bookmarkStart w:id="37" w:name="_Toc15377444"/>
      <w:r>
        <w:rPr>
          <w:rFonts w:ascii="仿宋" w:hAnsi="仿宋" w:eastAsia="仿宋"/>
          <w:b/>
          <w:color w:val="000000"/>
          <w:sz w:val="32"/>
          <w:szCs w:val="32"/>
        </w:rPr>
        <w:t>202</w:t>
      </w:r>
      <w:r>
        <w:rPr>
          <w:rFonts w:hint="eastAsia" w:ascii="仿宋" w:hAnsi="仿宋" w:eastAsia="仿宋"/>
          <w:b/>
          <w:color w:val="000000"/>
          <w:sz w:val="32"/>
          <w:szCs w:val="32"/>
          <w:lang w:val="en-US" w:eastAsia="zh-CN"/>
        </w:rPr>
        <w:t>2</w:t>
      </w:r>
      <w:r>
        <w:rPr>
          <w:rFonts w:hint="eastAsia" w:ascii="仿宋" w:hAnsi="仿宋" w:eastAsia="仿宋"/>
          <w:b/>
          <w:color w:val="000000"/>
          <w:sz w:val="32"/>
          <w:szCs w:val="32"/>
        </w:rPr>
        <w:t>年一般公共预算支出决算数为</w:t>
      </w:r>
      <w:r>
        <w:rPr>
          <w:rFonts w:hint="eastAsia" w:ascii="仿宋" w:hAnsi="仿宋" w:eastAsia="仿宋"/>
          <w:b/>
          <w:color w:val="000000"/>
          <w:sz w:val="32"/>
          <w:szCs w:val="32"/>
          <w:lang w:val="en-US" w:eastAsia="zh-CN"/>
        </w:rPr>
        <w:t>29,651.16万元</w:t>
      </w:r>
      <w:r>
        <w:rPr>
          <w:rFonts w:hint="eastAsia" w:ascii="仿宋" w:hAnsi="仿宋" w:eastAsia="仿宋"/>
          <w:color w:val="000000"/>
          <w:sz w:val="32"/>
          <w:szCs w:val="32"/>
        </w:rPr>
        <w:t>，</w:t>
      </w:r>
      <w:r>
        <w:rPr>
          <w:rStyle w:val="15"/>
          <w:rFonts w:hint="eastAsia" w:ascii="仿宋" w:hAnsi="仿宋" w:eastAsia="仿宋"/>
          <w:bCs/>
          <w:color w:val="000000"/>
          <w:sz w:val="32"/>
          <w:szCs w:val="32"/>
        </w:rPr>
        <w:t>完成预算</w:t>
      </w:r>
      <w:r>
        <w:rPr>
          <w:rStyle w:val="15"/>
          <w:rFonts w:hint="eastAsia" w:ascii="仿宋" w:hAnsi="仿宋" w:eastAsia="仿宋"/>
          <w:bCs/>
          <w:color w:val="000000"/>
          <w:sz w:val="32"/>
          <w:szCs w:val="32"/>
          <w:lang w:val="en-US" w:eastAsia="zh-CN"/>
        </w:rPr>
        <w:t>100</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5"/>
      <w:bookmarkEnd w:id="36"/>
      <w:bookmarkEnd w:id="37"/>
    </w:p>
    <w:p>
      <w:pPr>
        <w:pStyle w:val="2"/>
        <w:spacing w:line="360" w:lineRule="auto"/>
        <w:ind w:firstLine="643" w:firstLineChars="200"/>
        <w:rPr>
          <w:rFonts w:hint="eastAsia" w:ascii="仿宋" w:hAnsi="仿宋" w:eastAsia="仿宋" w:cs="Times New Roman"/>
          <w:b w:val="0"/>
          <w:bCs w:val="0"/>
          <w:color w:val="000000"/>
          <w:kern w:val="2"/>
          <w:sz w:val="32"/>
          <w:szCs w:val="32"/>
          <w:lang w:val="en-US" w:eastAsia="zh-CN" w:bidi="ar-SA"/>
        </w:rPr>
      </w:pPr>
      <w:r>
        <w:rPr>
          <w:rFonts w:hint="eastAsia" w:ascii="仿宋" w:hAnsi="仿宋" w:eastAsia="仿宋" w:cs="Times New Roman"/>
          <w:b/>
          <w:bCs/>
          <w:color w:val="000000"/>
          <w:kern w:val="2"/>
          <w:sz w:val="32"/>
          <w:szCs w:val="32"/>
          <w:lang w:val="en-US" w:eastAsia="zh-CN" w:bidi="ar-SA"/>
        </w:rPr>
        <w:t>1.一般公共服务支出（类）政府办公厅（室）及相关机构事务（款）其他政府办公厅（室）及相关机构事务支出（项）：</w:t>
      </w:r>
      <w:r>
        <w:rPr>
          <w:rFonts w:hint="eastAsia" w:ascii="仿宋" w:hAnsi="仿宋" w:eastAsia="仿宋" w:cs="Times New Roman"/>
          <w:b w:val="0"/>
          <w:bCs w:val="0"/>
          <w:color w:val="000000"/>
          <w:kern w:val="2"/>
          <w:sz w:val="32"/>
          <w:szCs w:val="32"/>
          <w:lang w:val="en-US" w:eastAsia="zh-CN" w:bidi="ar-SA"/>
        </w:rPr>
        <w:t>2022年决算数为8.88万元，完成预算100%。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2</w:t>
      </w:r>
      <w:r>
        <w:rPr>
          <w:rFonts w:ascii="仿宋" w:hAnsi="仿宋" w:eastAsia="仿宋"/>
          <w:b/>
          <w:bCs/>
          <w:color w:val="000000"/>
          <w:sz w:val="32"/>
          <w:szCs w:val="32"/>
        </w:rPr>
        <w:t>.</w:t>
      </w:r>
      <w:r>
        <w:rPr>
          <w:rFonts w:hint="eastAsia" w:ascii="仿宋" w:hAnsi="仿宋" w:eastAsia="仿宋"/>
          <w:b/>
          <w:bCs/>
          <w:color w:val="000000"/>
          <w:sz w:val="32"/>
          <w:szCs w:val="32"/>
        </w:rPr>
        <w:t xml:space="preserve"> 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行政运行</w:t>
      </w:r>
      <w:r>
        <w:rPr>
          <w:rFonts w:ascii="仿宋" w:hAnsi="仿宋" w:eastAsia="仿宋"/>
          <w:b/>
          <w:bCs/>
          <w:color w:val="000000"/>
          <w:sz w:val="32"/>
          <w:szCs w:val="32"/>
        </w:rPr>
        <w:t>（项）:</w:t>
      </w:r>
      <w:r>
        <w:rPr>
          <w:rFonts w:hint="eastAsia" w:ascii="仿宋" w:hAnsi="仿宋" w:eastAsia="仿宋"/>
          <w:color w:val="000000"/>
          <w:sz w:val="32"/>
          <w:szCs w:val="32"/>
          <w:lang w:val="en-US" w:eastAsia="zh-CN"/>
        </w:rPr>
        <w:t>2022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18,854.53</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jc w:val="left"/>
        <w:rPr>
          <w:rFonts w:hint="eastAsia" w:ascii="仿宋" w:hAnsi="仿宋" w:eastAsia="仿宋"/>
          <w:color w:val="000000"/>
          <w:sz w:val="32"/>
          <w:szCs w:val="32"/>
          <w:lang w:eastAsia="zh-CN"/>
        </w:rPr>
      </w:pPr>
      <w:r>
        <w:rPr>
          <w:rFonts w:hint="eastAsia" w:ascii="仿宋" w:hAnsi="仿宋" w:eastAsia="仿宋"/>
          <w:b/>
          <w:bCs/>
          <w:color w:val="000000"/>
          <w:sz w:val="32"/>
          <w:szCs w:val="32"/>
          <w:lang w:val="en-US" w:eastAsia="zh-CN"/>
        </w:rPr>
        <w:t>3</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5,451.42</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lang w:eastAsia="zh-CN"/>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4</w:t>
      </w:r>
      <w:r>
        <w:rPr>
          <w:rFonts w:ascii="仿宋" w:hAnsi="仿宋" w:eastAsia="仿宋"/>
          <w:b/>
          <w:bCs/>
          <w:color w:val="000000"/>
          <w:sz w:val="32"/>
          <w:szCs w:val="32"/>
        </w:rPr>
        <w:t xml:space="preserve">. </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信息化建设</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189.28</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hint="eastAsia" w:ascii="仿宋" w:hAnsi="仿宋" w:eastAsia="仿宋"/>
          <w:color w:val="000000"/>
          <w:sz w:val="32"/>
          <w:szCs w:val="32"/>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5</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执法办案</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177.66</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p>
    <w:p>
      <w:pPr>
        <w:spacing w:line="360" w:lineRule="auto"/>
        <w:ind w:firstLine="643" w:firstLineChars="200"/>
        <w:jc w:val="left"/>
      </w:pPr>
      <w:r>
        <w:rPr>
          <w:rFonts w:hint="eastAsia" w:ascii="仿宋" w:hAnsi="仿宋" w:eastAsia="仿宋"/>
          <w:b/>
          <w:bCs/>
          <w:color w:val="auto"/>
          <w:sz w:val="32"/>
          <w:szCs w:val="32"/>
          <w:lang w:val="en-US" w:eastAsia="zh-CN"/>
        </w:rPr>
        <w:t>6</w:t>
      </w:r>
      <w:r>
        <w:rPr>
          <w:rFonts w:hint="eastAsia" w:ascii="仿宋" w:hAnsi="仿宋" w:eastAsia="仿宋"/>
          <w:b/>
          <w:bCs/>
          <w:color w:val="auto"/>
          <w:sz w:val="32"/>
          <w:szCs w:val="32"/>
        </w:rPr>
        <w:t>.公共安全支出（类）公安（款）</w:t>
      </w:r>
      <w:r>
        <w:rPr>
          <w:rFonts w:hint="eastAsia" w:ascii="仿宋" w:hAnsi="仿宋" w:eastAsia="仿宋"/>
          <w:b/>
          <w:bCs/>
          <w:color w:val="auto"/>
          <w:sz w:val="32"/>
          <w:szCs w:val="32"/>
          <w:lang w:val="en-US" w:eastAsia="zh-CN"/>
        </w:rPr>
        <w:t>事业运行</w:t>
      </w:r>
      <w:r>
        <w:rPr>
          <w:rFonts w:hint="eastAsia" w:ascii="仿宋" w:hAnsi="仿宋" w:eastAsia="仿宋"/>
          <w:b/>
          <w:bCs/>
          <w:color w:val="auto"/>
          <w:sz w:val="32"/>
          <w:szCs w:val="32"/>
        </w:rPr>
        <w:t>（项）:</w:t>
      </w:r>
      <w:r>
        <w:rPr>
          <w:rFonts w:hint="eastAsia" w:ascii="仿宋" w:hAnsi="仿宋" w:eastAsia="仿宋"/>
          <w:b w:val="0"/>
          <w:bCs w:val="0"/>
          <w:color w:val="auto"/>
          <w:sz w:val="32"/>
          <w:szCs w:val="32"/>
        </w:rPr>
        <w:t>20</w:t>
      </w:r>
      <w:r>
        <w:rPr>
          <w:rFonts w:hint="eastAsia" w:ascii="仿宋" w:hAnsi="仿宋" w:eastAsia="仿宋"/>
          <w:b w:val="0"/>
          <w:bCs w:val="0"/>
          <w:color w:val="auto"/>
          <w:sz w:val="32"/>
          <w:szCs w:val="32"/>
          <w:lang w:val="en-US" w:eastAsia="zh-CN"/>
        </w:rPr>
        <w:t>22</w:t>
      </w:r>
      <w:r>
        <w:rPr>
          <w:rFonts w:hint="eastAsia" w:ascii="仿宋" w:hAnsi="仿宋" w:eastAsia="仿宋"/>
          <w:b w:val="0"/>
          <w:bCs w:val="0"/>
          <w:color w:val="auto"/>
          <w:sz w:val="32"/>
          <w:szCs w:val="32"/>
        </w:rPr>
        <w:t>年决算数为</w:t>
      </w:r>
      <w:r>
        <w:rPr>
          <w:rFonts w:hint="eastAsia" w:ascii="仿宋" w:hAnsi="仿宋" w:eastAsia="仿宋"/>
          <w:b w:val="0"/>
          <w:bCs w:val="0"/>
          <w:color w:val="auto"/>
          <w:sz w:val="32"/>
          <w:szCs w:val="32"/>
          <w:lang w:val="en-US" w:eastAsia="zh-CN"/>
        </w:rPr>
        <w:t>0.45</w:t>
      </w:r>
      <w:r>
        <w:rPr>
          <w:rFonts w:hint="eastAsia" w:ascii="仿宋" w:hAnsi="仿宋" w:eastAsia="仿宋"/>
          <w:b w:val="0"/>
          <w:bCs w:val="0"/>
          <w:color w:val="auto"/>
          <w:sz w:val="32"/>
          <w:szCs w:val="32"/>
        </w:rPr>
        <w:t>万元，完成预算</w:t>
      </w:r>
      <w:r>
        <w:rPr>
          <w:rFonts w:hint="eastAsia" w:ascii="仿宋" w:hAnsi="仿宋" w:eastAsia="仿宋"/>
          <w:b w:val="0"/>
          <w:bCs w:val="0"/>
          <w:color w:val="auto"/>
          <w:sz w:val="32"/>
          <w:szCs w:val="32"/>
          <w:lang w:val="en-US" w:eastAsia="zh-CN"/>
        </w:rPr>
        <w:t>100</w:t>
      </w:r>
      <w:r>
        <w:rPr>
          <w:rFonts w:hint="eastAsia" w:ascii="仿宋" w:hAnsi="仿宋" w:eastAsia="仿宋"/>
          <w:b w:val="0"/>
          <w:bCs w:val="0"/>
          <w:color w:val="auto"/>
          <w:sz w:val="32"/>
          <w:szCs w:val="32"/>
        </w:rPr>
        <w:t>%。</w:t>
      </w:r>
    </w:p>
    <w:p>
      <w:pPr>
        <w:spacing w:line="360" w:lineRule="auto"/>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lang w:val="en-US" w:eastAsia="zh-CN"/>
        </w:rPr>
        <w:t>7</w:t>
      </w:r>
      <w:r>
        <w:rPr>
          <w:rFonts w:hint="eastAsia" w:ascii="仿宋" w:hAnsi="仿宋" w:eastAsia="仿宋"/>
          <w:b/>
          <w:bCs/>
          <w:color w:val="000000"/>
          <w:sz w:val="32"/>
          <w:szCs w:val="32"/>
        </w:rPr>
        <w:t>.公共安全支出</w:t>
      </w:r>
      <w:r>
        <w:rPr>
          <w:rFonts w:ascii="仿宋" w:hAnsi="仿宋" w:eastAsia="仿宋"/>
          <w:b/>
          <w:bCs/>
          <w:color w:val="000000"/>
          <w:sz w:val="32"/>
          <w:szCs w:val="32"/>
        </w:rPr>
        <w:t>（类）</w:t>
      </w:r>
      <w:r>
        <w:rPr>
          <w:rFonts w:hint="eastAsia" w:ascii="仿宋" w:hAnsi="仿宋" w:eastAsia="仿宋"/>
          <w:b/>
          <w:bCs/>
          <w:color w:val="000000"/>
          <w:sz w:val="32"/>
          <w:szCs w:val="32"/>
        </w:rPr>
        <w:t>公安</w:t>
      </w:r>
      <w:r>
        <w:rPr>
          <w:rFonts w:ascii="仿宋" w:hAnsi="仿宋" w:eastAsia="仿宋"/>
          <w:b/>
          <w:bCs/>
          <w:color w:val="000000"/>
          <w:sz w:val="32"/>
          <w:szCs w:val="32"/>
        </w:rPr>
        <w:t>（款）</w:t>
      </w:r>
      <w:r>
        <w:rPr>
          <w:rFonts w:hint="eastAsia" w:ascii="仿宋" w:hAnsi="仿宋" w:eastAsia="仿宋"/>
          <w:b/>
          <w:bCs/>
          <w:color w:val="000000"/>
          <w:sz w:val="32"/>
          <w:szCs w:val="32"/>
        </w:rPr>
        <w:t>其他公安支出</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1,484.40</w:t>
      </w:r>
      <w:r>
        <w:rPr>
          <w:rFonts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rPr>
          <w:rFonts w:hint="eastAsia" w:ascii="仿宋" w:hAnsi="仿宋" w:eastAsia="仿宋"/>
          <w:color w:val="000000"/>
          <w:sz w:val="32"/>
          <w:szCs w:val="32"/>
        </w:rPr>
      </w:pPr>
      <w:r>
        <w:rPr>
          <w:rFonts w:hint="eastAsia" w:ascii="仿宋" w:hAnsi="仿宋" w:eastAsia="仿宋"/>
          <w:b/>
          <w:bCs/>
          <w:color w:val="000000"/>
          <w:sz w:val="32"/>
          <w:szCs w:val="32"/>
        </w:rPr>
        <w:t>8.公共安全支出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行政运行</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23.54</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9.公共安全支出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一般行政管理事务</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18.29</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10.公共安全支出</w:t>
      </w:r>
      <w:r>
        <w:rPr>
          <w:rFonts w:ascii="仿宋" w:hAnsi="仿宋" w:eastAsia="仿宋"/>
          <w:b/>
          <w:bCs/>
          <w:color w:val="000000"/>
          <w:sz w:val="32"/>
          <w:szCs w:val="32"/>
        </w:rPr>
        <w:t>（类）</w:t>
      </w:r>
      <w:r>
        <w:rPr>
          <w:rFonts w:hint="eastAsia" w:ascii="仿宋" w:hAnsi="仿宋" w:eastAsia="仿宋"/>
          <w:b/>
          <w:bCs/>
          <w:color w:val="000000"/>
          <w:sz w:val="32"/>
          <w:szCs w:val="32"/>
        </w:rPr>
        <w:t>强制隔离戒毒</w:t>
      </w:r>
      <w:r>
        <w:rPr>
          <w:rFonts w:ascii="仿宋" w:hAnsi="仿宋" w:eastAsia="仿宋"/>
          <w:b/>
          <w:bCs/>
          <w:color w:val="000000"/>
          <w:sz w:val="32"/>
          <w:szCs w:val="32"/>
        </w:rPr>
        <w:t>（款）</w:t>
      </w:r>
      <w:r>
        <w:rPr>
          <w:rFonts w:hint="eastAsia" w:ascii="仿宋" w:hAnsi="仿宋" w:eastAsia="仿宋"/>
          <w:b/>
          <w:bCs/>
          <w:color w:val="000000"/>
          <w:sz w:val="32"/>
          <w:szCs w:val="32"/>
        </w:rPr>
        <w:t>强制隔离戒毒人员生活</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124.45</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rPr>
          <w:rFonts w:hint="eastAsia" w:ascii="仿宋" w:hAnsi="仿宋" w:eastAsia="仿宋"/>
          <w:color w:val="auto"/>
          <w:sz w:val="32"/>
          <w:szCs w:val="32"/>
          <w:lang w:val="en-US" w:eastAsia="zh-CN"/>
        </w:rPr>
      </w:pPr>
      <w:r>
        <w:rPr>
          <w:rFonts w:hint="eastAsia" w:ascii="仿宋" w:hAnsi="仿宋" w:eastAsia="仿宋"/>
          <w:b/>
          <w:bCs/>
          <w:color w:val="auto"/>
          <w:sz w:val="32"/>
          <w:szCs w:val="32"/>
          <w:lang w:val="en-US" w:eastAsia="zh-CN"/>
        </w:rPr>
        <w:t>11</w:t>
      </w:r>
      <w:r>
        <w:rPr>
          <w:rFonts w:hint="eastAsia" w:ascii="仿宋" w:hAnsi="仿宋" w:eastAsia="仿宋"/>
          <w:b/>
          <w:bCs/>
          <w:color w:val="auto"/>
          <w:sz w:val="32"/>
          <w:szCs w:val="32"/>
        </w:rPr>
        <w:t>.社会保障和就业支出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行政事业单位养老支出</w:t>
      </w:r>
      <w:r>
        <w:rPr>
          <w:rFonts w:ascii="仿宋" w:hAnsi="仿宋" w:eastAsia="仿宋"/>
          <w:b/>
          <w:bCs/>
          <w:color w:val="auto"/>
          <w:sz w:val="32"/>
          <w:szCs w:val="32"/>
        </w:rPr>
        <w:t>（款）</w:t>
      </w:r>
      <w:r>
        <w:rPr>
          <w:rFonts w:hint="eastAsia" w:ascii="仿宋" w:hAnsi="仿宋" w:eastAsia="仿宋"/>
          <w:b/>
          <w:bCs/>
          <w:color w:val="auto"/>
          <w:sz w:val="32"/>
          <w:szCs w:val="32"/>
          <w:lang w:val="en-US" w:eastAsia="zh-CN"/>
        </w:rPr>
        <w:t>行政单位离退休</w:t>
      </w:r>
      <w:r>
        <w:rPr>
          <w:rFonts w:ascii="仿宋" w:hAnsi="仿宋" w:eastAsia="仿宋"/>
          <w:b/>
          <w:bCs/>
          <w:color w:val="auto"/>
          <w:sz w:val="32"/>
          <w:szCs w:val="32"/>
        </w:rPr>
        <w:t>（项）:</w:t>
      </w:r>
      <w:r>
        <w:rPr>
          <w:rFonts w:hint="eastAsia" w:ascii="仿宋" w:hAnsi="仿宋" w:eastAsia="仿宋"/>
          <w:color w:val="auto"/>
          <w:sz w:val="32"/>
          <w:szCs w:val="32"/>
          <w:lang w:val="en-US" w:eastAsia="zh-CN"/>
        </w:rPr>
        <w:t>2022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135.98</w:t>
      </w:r>
      <w:r>
        <w:rPr>
          <w:rFonts w:ascii="仿宋" w:hAnsi="仿宋" w:eastAsia="仿宋"/>
          <w:color w:val="auto"/>
          <w:sz w:val="32"/>
          <w:szCs w:val="32"/>
        </w:rPr>
        <w:t>万元，完成预算100%。</w:t>
      </w:r>
      <w:r>
        <w:rPr>
          <w:rFonts w:hint="eastAsia" w:ascii="仿宋" w:hAnsi="仿宋" w:eastAsia="仿宋"/>
          <w:color w:val="auto"/>
          <w:sz w:val="32"/>
          <w:szCs w:val="32"/>
          <w:lang w:val="en-US" w:eastAsia="zh-CN"/>
        </w:rPr>
        <w:t xml:space="preserve">  </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12</w:t>
      </w:r>
      <w:r>
        <w:rPr>
          <w:rFonts w:hint="eastAsia" w:ascii="仿宋" w:hAnsi="仿宋" w:eastAsia="仿宋"/>
          <w:b/>
          <w:bCs/>
          <w:color w:val="auto"/>
          <w:sz w:val="32"/>
          <w:szCs w:val="32"/>
        </w:rPr>
        <w:t>.社会保障和就业支出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行政事业单位养老支出</w:t>
      </w:r>
      <w:r>
        <w:rPr>
          <w:rFonts w:ascii="仿宋" w:hAnsi="仿宋" w:eastAsia="仿宋"/>
          <w:b/>
          <w:bCs/>
          <w:color w:val="auto"/>
          <w:sz w:val="32"/>
          <w:szCs w:val="32"/>
        </w:rPr>
        <w:t>（款）</w:t>
      </w:r>
      <w:r>
        <w:rPr>
          <w:rFonts w:hint="eastAsia" w:ascii="仿宋" w:hAnsi="仿宋" w:eastAsia="仿宋"/>
          <w:b/>
          <w:bCs/>
          <w:color w:val="auto"/>
          <w:sz w:val="32"/>
          <w:szCs w:val="32"/>
          <w:lang w:val="en-US" w:eastAsia="zh-CN"/>
        </w:rPr>
        <w:t>事业单位离退休</w:t>
      </w:r>
      <w:r>
        <w:rPr>
          <w:rFonts w:ascii="仿宋" w:hAnsi="仿宋" w:eastAsia="仿宋"/>
          <w:b/>
          <w:bCs/>
          <w:color w:val="auto"/>
          <w:sz w:val="32"/>
          <w:szCs w:val="32"/>
        </w:rPr>
        <w:t>（项）:</w:t>
      </w:r>
      <w:r>
        <w:rPr>
          <w:rFonts w:hint="eastAsia" w:ascii="仿宋" w:hAnsi="仿宋" w:eastAsia="仿宋"/>
          <w:color w:val="auto"/>
          <w:sz w:val="32"/>
          <w:szCs w:val="32"/>
          <w:lang w:val="en-US" w:eastAsia="zh-CN"/>
        </w:rPr>
        <w:t>2022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1.86</w:t>
      </w:r>
      <w:r>
        <w:rPr>
          <w:rFonts w:ascii="仿宋" w:hAnsi="仿宋" w:eastAsia="仿宋"/>
          <w:color w:val="auto"/>
          <w:sz w:val="32"/>
          <w:szCs w:val="32"/>
        </w:rPr>
        <w:t>万元，完成预算100%。</w:t>
      </w:r>
    </w:p>
    <w:p>
      <w:pPr>
        <w:spacing w:line="360" w:lineRule="auto"/>
        <w:ind w:firstLine="643" w:firstLineChars="200"/>
        <w:rPr>
          <w:rFonts w:ascii="仿宋" w:hAnsi="仿宋" w:eastAsia="仿宋"/>
          <w:color w:val="auto"/>
          <w:sz w:val="32"/>
          <w:szCs w:val="32"/>
        </w:rPr>
      </w:pPr>
      <w:r>
        <w:rPr>
          <w:rFonts w:hint="eastAsia" w:ascii="仿宋" w:hAnsi="仿宋" w:eastAsia="仿宋"/>
          <w:b/>
          <w:bCs/>
          <w:color w:val="auto"/>
          <w:sz w:val="32"/>
          <w:szCs w:val="32"/>
          <w:lang w:val="en-US" w:eastAsia="zh-CN"/>
        </w:rPr>
        <w:t>13</w:t>
      </w:r>
      <w:r>
        <w:rPr>
          <w:rFonts w:hint="eastAsia" w:ascii="仿宋" w:hAnsi="仿宋" w:eastAsia="仿宋"/>
          <w:b/>
          <w:bCs/>
          <w:color w:val="auto"/>
          <w:sz w:val="32"/>
          <w:szCs w:val="32"/>
        </w:rPr>
        <w:t>.社会保障和就业支出</w:t>
      </w:r>
      <w:r>
        <w:rPr>
          <w:rFonts w:ascii="仿宋" w:hAnsi="仿宋" w:eastAsia="仿宋"/>
          <w:b/>
          <w:bCs/>
          <w:color w:val="auto"/>
          <w:sz w:val="32"/>
          <w:szCs w:val="32"/>
        </w:rPr>
        <w:t>（类）</w:t>
      </w:r>
      <w:r>
        <w:rPr>
          <w:rFonts w:hint="eastAsia" w:ascii="仿宋" w:hAnsi="仿宋" w:eastAsia="仿宋"/>
          <w:b/>
          <w:bCs/>
          <w:color w:val="auto"/>
          <w:sz w:val="32"/>
          <w:szCs w:val="32"/>
          <w:lang w:val="en-US" w:eastAsia="zh-CN"/>
        </w:rPr>
        <w:t>行政事业单位养老支出</w:t>
      </w:r>
      <w:r>
        <w:rPr>
          <w:rFonts w:ascii="仿宋" w:hAnsi="仿宋" w:eastAsia="仿宋"/>
          <w:b/>
          <w:bCs/>
          <w:color w:val="auto"/>
          <w:sz w:val="32"/>
          <w:szCs w:val="32"/>
        </w:rPr>
        <w:t>（款）</w:t>
      </w:r>
      <w:r>
        <w:rPr>
          <w:rFonts w:hint="eastAsia" w:ascii="仿宋" w:hAnsi="仿宋" w:eastAsia="仿宋"/>
          <w:b/>
          <w:bCs/>
          <w:color w:val="auto"/>
          <w:sz w:val="32"/>
          <w:szCs w:val="32"/>
        </w:rPr>
        <w:t>机关事业单位基本养老保险缴费支出</w:t>
      </w:r>
      <w:r>
        <w:rPr>
          <w:rFonts w:ascii="仿宋" w:hAnsi="仿宋" w:eastAsia="仿宋"/>
          <w:b/>
          <w:bCs/>
          <w:color w:val="auto"/>
          <w:sz w:val="32"/>
          <w:szCs w:val="32"/>
        </w:rPr>
        <w:t>（项）:</w:t>
      </w:r>
      <w:r>
        <w:rPr>
          <w:rFonts w:ascii="仿宋" w:hAnsi="仿宋" w:eastAsia="仿宋"/>
          <w:color w:val="auto"/>
          <w:sz w:val="32"/>
          <w:szCs w:val="32"/>
        </w:rPr>
        <w:t>20</w:t>
      </w:r>
      <w:r>
        <w:rPr>
          <w:rFonts w:hint="eastAsia" w:ascii="仿宋" w:hAnsi="仿宋" w:eastAsia="仿宋"/>
          <w:color w:val="auto"/>
          <w:sz w:val="32"/>
          <w:szCs w:val="32"/>
          <w:lang w:val="en-US" w:eastAsia="zh-CN"/>
        </w:rPr>
        <w:t>22</w:t>
      </w:r>
      <w:r>
        <w:rPr>
          <w:rFonts w:ascii="仿宋" w:hAnsi="仿宋" w:eastAsia="仿宋"/>
          <w:color w:val="auto"/>
          <w:sz w:val="32"/>
          <w:szCs w:val="32"/>
        </w:rPr>
        <w:t>年决算数为</w:t>
      </w:r>
      <w:r>
        <w:rPr>
          <w:rFonts w:hint="eastAsia" w:ascii="仿宋" w:hAnsi="仿宋" w:eastAsia="仿宋"/>
          <w:color w:val="auto"/>
          <w:sz w:val="32"/>
          <w:szCs w:val="32"/>
          <w:lang w:val="en-US" w:eastAsia="zh-CN"/>
        </w:rPr>
        <w:t>1,062.59</w:t>
      </w:r>
      <w:r>
        <w:rPr>
          <w:rFonts w:ascii="仿宋" w:hAnsi="仿宋" w:eastAsia="仿宋"/>
          <w:color w:val="auto"/>
          <w:sz w:val="32"/>
          <w:szCs w:val="32"/>
        </w:rPr>
        <w:t>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lang w:val="en-US" w:eastAsia="zh-CN"/>
        </w:rPr>
        <w:t>14.</w:t>
      </w:r>
      <w:r>
        <w:rPr>
          <w:rFonts w:hint="eastAsia" w:ascii="仿宋" w:hAnsi="仿宋" w:eastAsia="仿宋"/>
          <w:b/>
          <w:bCs/>
          <w:color w:val="000000"/>
          <w:sz w:val="32"/>
          <w:szCs w:val="32"/>
        </w:rPr>
        <w:t>社会保障和就业支出（类）抚恤（款）</w:t>
      </w:r>
      <w:r>
        <w:rPr>
          <w:rFonts w:hint="eastAsia" w:ascii="仿宋" w:hAnsi="仿宋" w:eastAsia="仿宋"/>
          <w:b/>
          <w:bCs/>
          <w:color w:val="000000"/>
          <w:sz w:val="32"/>
          <w:szCs w:val="32"/>
          <w:lang w:val="en-US" w:eastAsia="zh-CN"/>
        </w:rPr>
        <w:t>死亡</w:t>
      </w:r>
      <w:r>
        <w:rPr>
          <w:rFonts w:hint="eastAsia" w:ascii="仿宋" w:hAnsi="仿宋" w:eastAsia="仿宋"/>
          <w:b/>
          <w:bCs/>
          <w:color w:val="000000"/>
          <w:sz w:val="32"/>
          <w:szCs w:val="32"/>
        </w:rPr>
        <w:t>抚恤</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165.74</w:t>
      </w:r>
      <w:r>
        <w:rPr>
          <w:rFonts w:ascii="仿宋" w:hAnsi="仿宋" w:eastAsia="仿宋"/>
          <w:color w:val="000000"/>
          <w:sz w:val="32"/>
          <w:szCs w:val="32"/>
        </w:rPr>
        <w:t>万元，完成预算100%。</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5</w:t>
      </w:r>
      <w:r>
        <w:rPr>
          <w:rFonts w:hint="eastAsia" w:ascii="仿宋" w:hAnsi="仿宋" w:eastAsia="仿宋"/>
          <w:b/>
          <w:bCs/>
          <w:color w:val="000000"/>
          <w:sz w:val="32"/>
          <w:szCs w:val="32"/>
        </w:rPr>
        <w:t>. 卫生健康支出</w:t>
      </w:r>
      <w:r>
        <w:rPr>
          <w:rFonts w:ascii="仿宋" w:hAnsi="仿宋" w:eastAsia="仿宋"/>
          <w:b/>
          <w:bCs/>
          <w:color w:val="000000"/>
          <w:sz w:val="32"/>
          <w:szCs w:val="32"/>
        </w:rPr>
        <w:t>（类）</w:t>
      </w:r>
      <w:r>
        <w:rPr>
          <w:rFonts w:hint="eastAsia" w:ascii="仿宋" w:hAnsi="仿宋" w:eastAsia="仿宋"/>
          <w:b/>
          <w:bCs/>
          <w:color w:val="000000"/>
          <w:sz w:val="32"/>
          <w:szCs w:val="32"/>
        </w:rPr>
        <w:t>行政事业单位医疗</w:t>
      </w:r>
      <w:r>
        <w:rPr>
          <w:rFonts w:ascii="仿宋" w:hAnsi="仿宋" w:eastAsia="仿宋"/>
          <w:b/>
          <w:bCs/>
          <w:color w:val="000000"/>
          <w:sz w:val="32"/>
          <w:szCs w:val="32"/>
        </w:rPr>
        <w:t>（款）</w:t>
      </w:r>
      <w:r>
        <w:rPr>
          <w:rFonts w:hint="eastAsia" w:ascii="仿宋" w:hAnsi="仿宋" w:eastAsia="仿宋"/>
          <w:b/>
          <w:bCs/>
          <w:color w:val="000000"/>
          <w:sz w:val="32"/>
          <w:szCs w:val="32"/>
        </w:rPr>
        <w:t>行政单位医疗</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655.72</w:t>
      </w:r>
      <w:r>
        <w:rPr>
          <w:rFonts w:ascii="仿宋" w:hAnsi="仿宋" w:eastAsia="仿宋"/>
          <w:color w:val="000000"/>
          <w:sz w:val="32"/>
          <w:szCs w:val="32"/>
        </w:rPr>
        <w:t>万元，完成预算</w:t>
      </w:r>
      <w:r>
        <w:rPr>
          <w:rFonts w:hint="eastAsia" w:ascii="仿宋" w:hAnsi="仿宋" w:eastAsia="仿宋"/>
          <w:color w:val="000000"/>
          <w:sz w:val="32"/>
          <w:szCs w:val="32"/>
        </w:rPr>
        <w:t>100</w:t>
      </w:r>
      <w:r>
        <w:rPr>
          <w:rFonts w:ascii="仿宋" w:hAnsi="仿宋" w:eastAsia="仿宋"/>
          <w:color w:val="000000"/>
          <w:sz w:val="32"/>
          <w:szCs w:val="32"/>
        </w:rPr>
        <w:t>%</w:t>
      </w:r>
      <w:r>
        <w:rPr>
          <w:rFonts w:hint="eastAsia" w:ascii="仿宋" w:hAnsi="仿宋" w:eastAsia="仿宋"/>
          <w:color w:val="000000"/>
          <w:sz w:val="32"/>
          <w:szCs w:val="32"/>
        </w:rPr>
        <w:t>。</w:t>
      </w:r>
    </w:p>
    <w:p>
      <w:pPr>
        <w:spacing w:line="360" w:lineRule="auto"/>
        <w:ind w:firstLine="643" w:firstLineChars="200"/>
        <w:rPr>
          <w:rFonts w:ascii="仿宋" w:hAnsi="仿宋" w:eastAsia="仿宋"/>
          <w:color w:val="000000"/>
          <w:sz w:val="32"/>
          <w:szCs w:val="32"/>
        </w:rPr>
      </w:pPr>
      <w:r>
        <w:rPr>
          <w:rFonts w:hint="eastAsia" w:ascii="仿宋" w:hAnsi="仿宋" w:eastAsia="仿宋"/>
          <w:b/>
          <w:bCs/>
          <w:color w:val="000000"/>
          <w:sz w:val="32"/>
          <w:szCs w:val="32"/>
        </w:rPr>
        <w:t>1</w:t>
      </w:r>
      <w:r>
        <w:rPr>
          <w:rFonts w:hint="eastAsia" w:ascii="仿宋" w:hAnsi="仿宋" w:eastAsia="仿宋"/>
          <w:b/>
          <w:bCs/>
          <w:color w:val="000000"/>
          <w:sz w:val="32"/>
          <w:szCs w:val="32"/>
          <w:lang w:val="en-US" w:eastAsia="zh-CN"/>
        </w:rPr>
        <w:t>6</w:t>
      </w:r>
      <w:r>
        <w:rPr>
          <w:rFonts w:hint="eastAsia" w:ascii="仿宋" w:hAnsi="仿宋" w:eastAsia="仿宋"/>
          <w:b/>
          <w:bCs/>
          <w:color w:val="000000"/>
          <w:sz w:val="32"/>
          <w:szCs w:val="32"/>
        </w:rPr>
        <w:t>.住房保障支出</w:t>
      </w:r>
      <w:r>
        <w:rPr>
          <w:rFonts w:ascii="仿宋" w:hAnsi="仿宋" w:eastAsia="仿宋"/>
          <w:b/>
          <w:bCs/>
          <w:color w:val="000000"/>
          <w:sz w:val="32"/>
          <w:szCs w:val="32"/>
        </w:rPr>
        <w:t>（类）</w:t>
      </w:r>
      <w:r>
        <w:rPr>
          <w:rFonts w:hint="eastAsia" w:ascii="仿宋" w:hAnsi="仿宋" w:eastAsia="仿宋"/>
          <w:b/>
          <w:bCs/>
          <w:color w:val="000000"/>
          <w:sz w:val="32"/>
          <w:szCs w:val="32"/>
        </w:rPr>
        <w:t>住房改革支出</w:t>
      </w:r>
      <w:r>
        <w:rPr>
          <w:rFonts w:ascii="仿宋" w:hAnsi="仿宋" w:eastAsia="仿宋"/>
          <w:b/>
          <w:bCs/>
          <w:color w:val="000000"/>
          <w:sz w:val="32"/>
          <w:szCs w:val="32"/>
        </w:rPr>
        <w:t>（款）</w:t>
      </w:r>
      <w:r>
        <w:rPr>
          <w:rFonts w:hint="eastAsia" w:ascii="仿宋" w:hAnsi="仿宋" w:eastAsia="仿宋"/>
          <w:b/>
          <w:bCs/>
          <w:color w:val="000000"/>
          <w:sz w:val="32"/>
          <w:szCs w:val="32"/>
        </w:rPr>
        <w:t>住房公积金</w:t>
      </w:r>
      <w:r>
        <w:rPr>
          <w:rFonts w:ascii="仿宋" w:hAnsi="仿宋" w:eastAsia="仿宋"/>
          <w:b/>
          <w:bCs/>
          <w:color w:val="000000"/>
          <w:sz w:val="32"/>
          <w:szCs w:val="32"/>
        </w:rPr>
        <w:t>（项）:</w:t>
      </w:r>
      <w:r>
        <w:rPr>
          <w:rFonts w:ascii="仿宋" w:hAnsi="仿宋" w:eastAsia="仿宋"/>
          <w:color w:val="000000"/>
          <w:sz w:val="32"/>
          <w:szCs w:val="32"/>
        </w:rPr>
        <w:t>20</w:t>
      </w:r>
      <w:r>
        <w:rPr>
          <w:rFonts w:hint="eastAsia" w:ascii="仿宋" w:hAnsi="仿宋" w:eastAsia="仿宋"/>
          <w:color w:val="000000"/>
          <w:sz w:val="32"/>
          <w:szCs w:val="32"/>
          <w:lang w:val="en-US" w:eastAsia="zh-CN"/>
        </w:rPr>
        <w:t>22</w:t>
      </w:r>
      <w:r>
        <w:rPr>
          <w:rFonts w:ascii="仿宋" w:hAnsi="仿宋" w:eastAsia="仿宋"/>
          <w:color w:val="000000"/>
          <w:sz w:val="32"/>
          <w:szCs w:val="32"/>
        </w:rPr>
        <w:t>年决算数为</w:t>
      </w:r>
      <w:r>
        <w:rPr>
          <w:rFonts w:hint="eastAsia" w:ascii="仿宋" w:hAnsi="仿宋" w:eastAsia="仿宋"/>
          <w:color w:val="000000"/>
          <w:sz w:val="32"/>
          <w:szCs w:val="32"/>
          <w:lang w:val="en-US" w:eastAsia="zh-CN"/>
        </w:rPr>
        <w:t>1,296.39</w:t>
      </w:r>
      <w:r>
        <w:rPr>
          <w:rFonts w:ascii="仿宋" w:hAnsi="仿宋" w:eastAsia="仿宋"/>
          <w:color w:val="000000"/>
          <w:sz w:val="32"/>
          <w:szCs w:val="32"/>
        </w:rPr>
        <w:t>万元，完成预算100%。</w:t>
      </w:r>
    </w:p>
    <w:p>
      <w:pPr>
        <w:tabs>
          <w:tab w:val="right" w:pos="8306"/>
        </w:tabs>
        <w:spacing w:line="600" w:lineRule="exact"/>
        <w:ind w:firstLine="640"/>
        <w:outlineLvl w:val="1"/>
        <w:rPr>
          <w:rStyle w:val="27"/>
          <w:color w:val="auto"/>
          <w:highlight w:val="none"/>
        </w:rPr>
      </w:pPr>
      <w:bookmarkStart w:id="38" w:name="_Toc15377214"/>
      <w:bookmarkStart w:id="3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7"/>
          <w:rFonts w:hint="eastAsia" w:ascii="黑体" w:hAnsi="黑体" w:eastAsia="黑体"/>
          <w:b w:val="0"/>
          <w:color w:val="auto"/>
          <w:highlight w:val="none"/>
        </w:rPr>
        <w:t>般公共预算财政拨款基本支出决算情况说明</w:t>
      </w:r>
      <w:bookmarkEnd w:id="38"/>
      <w:bookmarkEnd w:id="39"/>
      <w:r>
        <w:rPr>
          <w:rStyle w:val="27"/>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22,205.66</w:t>
      </w:r>
      <w:r>
        <w:rPr>
          <w:rFonts w:hint="eastAsia" w:ascii="仿宋" w:hAnsi="仿宋" w:eastAsia="仿宋"/>
          <w:color w:val="auto"/>
          <w:sz w:val="32"/>
          <w:szCs w:val="32"/>
          <w:highlight w:val="none"/>
        </w:rPr>
        <w:t>万元，其中：</w:t>
      </w:r>
    </w:p>
    <w:p>
      <w:pPr>
        <w:spacing w:line="600" w:lineRule="exact"/>
        <w:ind w:firstLine="645"/>
        <w:rPr>
          <w:rFonts w:hint="eastAsia" w:ascii="黑体" w:eastAsia="黑体"/>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16,918.78</w:t>
      </w:r>
      <w:r>
        <w:rPr>
          <w:rFonts w:hint="eastAsia" w:ascii="仿宋" w:hAnsi="仿宋" w:eastAsia="仿宋"/>
          <w:color w:val="auto"/>
          <w:sz w:val="32"/>
          <w:szCs w:val="32"/>
          <w:highlight w:val="none"/>
        </w:rPr>
        <w:t>万元，</w:t>
      </w:r>
      <w:r>
        <w:rPr>
          <w:rFonts w:hint="eastAsia" w:ascii="仿宋" w:hAnsi="仿宋" w:eastAsia="仿宋"/>
          <w:color w:val="000000"/>
          <w:sz w:val="32"/>
          <w:szCs w:val="32"/>
        </w:rPr>
        <w:t>主要包括：基本工资、津贴补贴、奖金、机关事业单位基本养老保险缴费、其他工资福利支出、抚恤金、生活补助、医疗费补助、奖励金、住房公积金、其他对个人和家庭的补助支出等。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5,286.88</w:t>
      </w:r>
      <w:r>
        <w:rPr>
          <w:rFonts w:hint="eastAsia" w:ascii="仿宋" w:hAnsi="仿宋" w:eastAsia="仿宋"/>
          <w:color w:val="auto"/>
          <w:sz w:val="32"/>
          <w:szCs w:val="32"/>
          <w:highlight w:val="none"/>
        </w:rPr>
        <w:t>万元，</w:t>
      </w:r>
      <w:r>
        <w:rPr>
          <w:rFonts w:hint="eastAsia" w:ascii="仿宋" w:hAnsi="仿宋" w:eastAsia="仿宋"/>
          <w:color w:val="000000"/>
          <w:sz w:val="32"/>
          <w:szCs w:val="32"/>
        </w:rPr>
        <w:t>主要包括：办公费、印刷费、咨询费、手续费、水费、电费、邮电费、物业管理费、差旅费、维修（护）费、租赁费、培训费、公务接待费、</w:t>
      </w:r>
      <w:r>
        <w:rPr>
          <w:rFonts w:hint="eastAsia" w:ascii="仿宋" w:hAnsi="仿宋" w:eastAsia="仿宋"/>
          <w:color w:val="000000"/>
          <w:sz w:val="32"/>
          <w:szCs w:val="32"/>
          <w:lang w:val="en-US" w:eastAsia="zh-CN"/>
        </w:rPr>
        <w:t>专用材料费、被装购置费、</w:t>
      </w:r>
      <w:r>
        <w:rPr>
          <w:rFonts w:hint="eastAsia" w:ascii="仿宋" w:hAnsi="仿宋" w:eastAsia="仿宋"/>
          <w:color w:val="000000"/>
          <w:sz w:val="32"/>
          <w:szCs w:val="32"/>
        </w:rPr>
        <w:t>劳务费、委托业务费、工会经费、福利费、公务用车运行维护费、其他交通费、税金及附加费用、其他商品和服务支出、办公设备购置、专用设备购置、</w:t>
      </w:r>
      <w:r>
        <w:rPr>
          <w:rFonts w:hint="eastAsia" w:ascii="仿宋" w:hAnsi="仿宋" w:eastAsia="仿宋"/>
          <w:color w:val="000000"/>
          <w:sz w:val="32"/>
          <w:szCs w:val="32"/>
          <w:lang w:val="en-US" w:eastAsia="zh-CN"/>
        </w:rPr>
        <w:t>大型修缮、</w:t>
      </w:r>
      <w:r>
        <w:rPr>
          <w:rFonts w:hint="eastAsia" w:ascii="仿宋" w:hAnsi="仿宋" w:eastAsia="仿宋"/>
          <w:color w:val="000000"/>
          <w:sz w:val="32"/>
          <w:szCs w:val="32"/>
        </w:rPr>
        <w:t>信息网络及软件购置更新、其他资本性支出等。</w:t>
      </w:r>
      <w:bookmarkStart w:id="40" w:name="_Toc15396609"/>
      <w:bookmarkStart w:id="41" w:name="_Toc15377215"/>
    </w:p>
    <w:p>
      <w:pPr>
        <w:spacing w:line="600" w:lineRule="exact"/>
        <w:ind w:firstLine="640"/>
        <w:outlineLvl w:val="1"/>
        <w:rPr>
          <w:rStyle w:val="27"/>
          <w:rFonts w:ascii="黑体" w:hAnsi="黑体" w:eastAsia="黑体"/>
          <w:b w:val="0"/>
          <w:color w:val="auto"/>
          <w:highlight w:val="none"/>
        </w:rPr>
      </w:pPr>
      <w:r>
        <w:rPr>
          <w:rFonts w:hint="eastAsia" w:ascii="黑体" w:eastAsia="黑体"/>
          <w:color w:val="auto"/>
          <w:sz w:val="32"/>
          <w:szCs w:val="32"/>
          <w:highlight w:val="none"/>
        </w:rPr>
        <w:t>七、</w:t>
      </w:r>
      <w:r>
        <w:rPr>
          <w:rStyle w:val="27"/>
          <w:rFonts w:hint="eastAsia" w:ascii="黑体" w:hAnsi="黑体" w:eastAsia="黑体"/>
          <w:color w:val="auto"/>
          <w:highlight w:val="none"/>
        </w:rPr>
        <w:t>“</w:t>
      </w:r>
      <w:r>
        <w:rPr>
          <w:rStyle w:val="27"/>
          <w:rFonts w:hint="eastAsia" w:ascii="黑体" w:hAnsi="黑体" w:eastAsia="黑体"/>
          <w:b w:val="0"/>
          <w:color w:val="auto"/>
          <w:highlight w:val="none"/>
        </w:rPr>
        <w:t>三公”经费财政拨款支出决算情况说明</w:t>
      </w:r>
      <w:bookmarkEnd w:id="40"/>
      <w:bookmarkEnd w:id="41"/>
    </w:p>
    <w:p>
      <w:pPr>
        <w:spacing w:line="600" w:lineRule="exact"/>
        <w:ind w:firstLine="640"/>
        <w:outlineLvl w:val="2"/>
        <w:rPr>
          <w:rFonts w:ascii="仿宋" w:hAnsi="仿宋" w:eastAsia="仿宋"/>
          <w:b/>
          <w:color w:val="000000"/>
          <w:sz w:val="32"/>
          <w:szCs w:val="32"/>
        </w:rPr>
      </w:pPr>
      <w:bookmarkStart w:id="42" w:name="_Toc15377216"/>
      <w:r>
        <w:rPr>
          <w:rFonts w:hint="eastAsia" w:ascii="仿宋" w:hAnsi="仿宋" w:eastAsia="仿宋"/>
          <w:b/>
          <w:color w:val="000000"/>
          <w:sz w:val="32"/>
          <w:szCs w:val="32"/>
        </w:rPr>
        <w:t>（一）“三公”经费财政拨款支出决算总体情况说明</w:t>
      </w:r>
      <w:bookmarkEnd w:id="42"/>
    </w:p>
    <w:p>
      <w:pPr>
        <w:spacing w:line="600" w:lineRule="exact"/>
        <w:ind w:firstLine="640"/>
        <w:rPr>
          <w:rFonts w:ascii="仿宋" w:hAnsi="仿宋" w:eastAsia="仿宋"/>
          <w:color w:val="auto"/>
          <w:sz w:val="32"/>
          <w:szCs w:val="32"/>
          <w:highlight w:val="none"/>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455.86</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98.72</w:t>
      </w:r>
      <w:r>
        <w:rPr>
          <w:rFonts w:hint="eastAsia" w:ascii="仿宋" w:hAnsi="仿宋" w:eastAsia="仿宋"/>
          <w:color w:val="000000"/>
          <w:sz w:val="32"/>
          <w:szCs w:val="32"/>
        </w:rPr>
        <w:t>%，决算数小于预算数的主要原因是</w:t>
      </w:r>
      <w:r>
        <w:rPr>
          <w:rFonts w:hint="eastAsia" w:ascii="仿宋" w:hAnsi="仿宋" w:eastAsia="仿宋"/>
          <w:color w:val="000000"/>
          <w:sz w:val="32"/>
          <w:szCs w:val="32"/>
          <w:lang w:val="en-US" w:eastAsia="zh-CN"/>
        </w:rPr>
        <w:t>减少不必要的接待，严格核算车辆使用情况</w:t>
      </w:r>
      <w:r>
        <w:rPr>
          <w:rFonts w:hint="eastAsia" w:ascii="仿宋" w:hAnsi="仿宋" w:eastAsia="仿宋"/>
          <w:color w:val="000000"/>
          <w:sz w:val="32"/>
          <w:szCs w:val="32"/>
        </w:rPr>
        <w:t>。</w:t>
      </w:r>
    </w:p>
    <w:p>
      <w:pPr>
        <w:spacing w:line="600" w:lineRule="exact"/>
        <w:ind w:firstLine="640"/>
        <w:outlineLvl w:val="2"/>
        <w:rPr>
          <w:rFonts w:ascii="仿宋" w:hAnsi="仿宋" w:eastAsia="仿宋"/>
          <w:b/>
          <w:color w:val="auto"/>
          <w:sz w:val="32"/>
          <w:szCs w:val="32"/>
          <w:highlight w:val="none"/>
        </w:rPr>
      </w:pPr>
      <w:bookmarkStart w:id="43" w:name="_Toc15377217"/>
      <w:r>
        <w:rPr>
          <w:rFonts w:hint="eastAsia" w:ascii="仿宋" w:hAnsi="仿宋" w:eastAsia="仿宋"/>
          <w:b/>
          <w:color w:val="auto"/>
          <w:sz w:val="32"/>
          <w:szCs w:val="32"/>
          <w:highlight w:val="none"/>
        </w:rPr>
        <w:t>（二）“三公”经费财政拨款支出决算具体情况说明</w:t>
      </w:r>
      <w:bookmarkEnd w:id="43"/>
    </w:p>
    <w:p>
      <w:pPr>
        <w:spacing w:line="600" w:lineRule="exact"/>
        <w:ind w:firstLine="640"/>
        <w:rPr>
          <w:rFonts w:hint="eastAsia"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0.00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453.06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99.39</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2.80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0.61</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pStyle w:val="2"/>
        <w:jc w:val="center"/>
        <w:rPr>
          <w:rFonts w:hint="eastAsia" w:ascii="仿宋" w:hAnsi="仿宋" w:eastAsia="仿宋"/>
          <w:color w:val="auto"/>
          <w:sz w:val="32"/>
          <w:szCs w:val="32"/>
          <w:highlight w:val="none"/>
        </w:rPr>
      </w:pPr>
      <w:r>
        <w:drawing>
          <wp:inline distT="0" distB="0" distL="114300" distR="114300">
            <wp:extent cx="4572000" cy="2225040"/>
            <wp:effectExtent l="4445" t="4445" r="10795" b="10795"/>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w:t>
      </w:r>
    </w:p>
    <w:p>
      <w:pPr>
        <w:spacing w:line="600" w:lineRule="exact"/>
        <w:ind w:firstLine="640"/>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1</w:t>
      </w:r>
      <w:r>
        <w:rPr>
          <w:rFonts w:ascii="仿宋_GB2312" w:eastAsia="仿宋_GB2312"/>
          <w:b/>
          <w:color w:val="auto"/>
          <w:sz w:val="32"/>
          <w:szCs w:val="32"/>
          <w:highlight w:val="none"/>
        </w:rPr>
        <w:t>.</w:t>
      </w:r>
      <w:r>
        <w:rPr>
          <w:rFonts w:hint="eastAsia" w:ascii="仿宋_GB2312" w:eastAsia="仿宋_GB2312"/>
          <w:b/>
          <w:color w:val="auto"/>
          <w:sz w:val="32"/>
          <w:szCs w:val="32"/>
          <w:highlight w:val="none"/>
        </w:rPr>
        <w:t>公务用车购置及运行维护费支出</w:t>
      </w:r>
      <w:r>
        <w:rPr>
          <w:rFonts w:hint="eastAsia" w:ascii="仿宋_GB2312" w:eastAsia="仿宋_GB2312"/>
          <w:b/>
          <w:color w:val="auto"/>
          <w:sz w:val="32"/>
          <w:szCs w:val="32"/>
          <w:highlight w:val="none"/>
          <w:lang w:val="en-US" w:eastAsia="zh-CN"/>
        </w:rPr>
        <w:t>453.06</w:t>
      </w:r>
      <w:r>
        <w:rPr>
          <w:rFonts w:hint="eastAsia" w:ascii="仿宋_GB2312" w:eastAsia="仿宋_GB2312"/>
          <w:b/>
          <w:color w:val="auto"/>
          <w:sz w:val="32"/>
          <w:szCs w:val="32"/>
          <w:highlight w:val="none"/>
        </w:rPr>
        <w:t>万元</w:t>
      </w:r>
      <w:r>
        <w:rPr>
          <w:rFonts w:hint="eastAsia" w:ascii="仿宋" w:hAnsi="仿宋" w:eastAsia="仿宋"/>
          <w:b w:val="0"/>
          <w:bCs w:val="0"/>
          <w:color w:val="000000"/>
          <w:sz w:val="32"/>
          <w:szCs w:val="32"/>
        </w:rPr>
        <w:t>,完成预算</w:t>
      </w:r>
      <w:r>
        <w:rPr>
          <w:rFonts w:hint="eastAsia" w:ascii="仿宋" w:hAnsi="仿宋" w:eastAsia="仿宋"/>
          <w:b w:val="0"/>
          <w:bCs w:val="0"/>
          <w:color w:val="000000"/>
          <w:sz w:val="32"/>
          <w:szCs w:val="32"/>
          <w:lang w:val="en-US" w:eastAsia="zh-CN"/>
        </w:rPr>
        <w:t>99.07</w:t>
      </w:r>
      <w:r>
        <w:rPr>
          <w:rFonts w:hint="eastAsia" w:ascii="仿宋" w:hAnsi="仿宋" w:eastAsia="仿宋"/>
          <w:b w:val="0"/>
          <w:bCs w:val="0"/>
          <w:color w:val="000000"/>
          <w:sz w:val="32"/>
          <w:szCs w:val="32"/>
        </w:rPr>
        <w:t>%。公务用车购置及运行维护费支出决算比20</w:t>
      </w:r>
      <w:r>
        <w:rPr>
          <w:rFonts w:hint="eastAsia" w:ascii="仿宋" w:hAnsi="仿宋" w:eastAsia="仿宋"/>
          <w:b w:val="0"/>
          <w:bCs w:val="0"/>
          <w:color w:val="000000"/>
          <w:sz w:val="32"/>
          <w:szCs w:val="32"/>
          <w:lang w:val="en-US" w:eastAsia="zh-CN"/>
        </w:rPr>
        <w:t>21</w:t>
      </w:r>
      <w:r>
        <w:rPr>
          <w:rFonts w:hint="eastAsia" w:ascii="仿宋" w:hAnsi="仿宋" w:eastAsia="仿宋"/>
          <w:b w:val="0"/>
          <w:bCs w:val="0"/>
          <w:color w:val="000000"/>
          <w:sz w:val="32"/>
          <w:szCs w:val="32"/>
        </w:rPr>
        <w:t>年</w:t>
      </w:r>
      <w:r>
        <w:rPr>
          <w:rFonts w:hint="eastAsia" w:ascii="仿宋" w:hAnsi="仿宋" w:eastAsia="仿宋"/>
          <w:b w:val="0"/>
          <w:bCs w:val="0"/>
          <w:color w:val="000000"/>
          <w:sz w:val="32"/>
          <w:szCs w:val="32"/>
          <w:lang w:val="en-US" w:eastAsia="zh-CN"/>
        </w:rPr>
        <w:t>413.80万元</w:t>
      </w:r>
      <w:r>
        <w:rPr>
          <w:rFonts w:hint="eastAsia" w:ascii="仿宋" w:hAnsi="仿宋" w:eastAsia="仿宋"/>
          <w:b w:val="0"/>
          <w:bCs w:val="0"/>
          <w:color w:val="000000"/>
          <w:sz w:val="32"/>
          <w:szCs w:val="32"/>
        </w:rPr>
        <w:t>增加</w:t>
      </w:r>
      <w:r>
        <w:rPr>
          <w:rFonts w:hint="eastAsia" w:ascii="仿宋" w:hAnsi="仿宋" w:eastAsia="仿宋"/>
          <w:b w:val="0"/>
          <w:bCs w:val="0"/>
          <w:color w:val="000000"/>
          <w:sz w:val="32"/>
          <w:szCs w:val="32"/>
          <w:lang w:val="en-US" w:eastAsia="zh-CN"/>
        </w:rPr>
        <w:t>39.26</w:t>
      </w:r>
      <w:r>
        <w:rPr>
          <w:rFonts w:hint="eastAsia" w:ascii="仿宋" w:hAnsi="仿宋" w:eastAsia="仿宋"/>
          <w:b w:val="0"/>
          <w:bCs w:val="0"/>
          <w:color w:val="000000"/>
          <w:sz w:val="32"/>
          <w:szCs w:val="32"/>
        </w:rPr>
        <w:t>万元，增长</w:t>
      </w:r>
      <w:r>
        <w:rPr>
          <w:rFonts w:hint="eastAsia" w:ascii="仿宋" w:hAnsi="仿宋" w:eastAsia="仿宋"/>
          <w:b w:val="0"/>
          <w:bCs w:val="0"/>
          <w:color w:val="000000"/>
          <w:sz w:val="32"/>
          <w:szCs w:val="32"/>
          <w:lang w:val="en-US" w:eastAsia="zh-CN"/>
        </w:rPr>
        <w:t>9.49</w:t>
      </w:r>
      <w:r>
        <w:rPr>
          <w:rFonts w:hint="eastAsia" w:ascii="仿宋" w:hAnsi="仿宋" w:eastAsia="仿宋"/>
          <w:b w:val="0"/>
          <w:bCs w:val="0"/>
          <w:color w:val="000000"/>
          <w:sz w:val="32"/>
          <w:szCs w:val="32"/>
        </w:rPr>
        <w:t>%。主要原因是</w:t>
      </w:r>
      <w:r>
        <w:rPr>
          <w:rFonts w:hint="eastAsia" w:ascii="仿宋" w:hAnsi="仿宋" w:eastAsia="仿宋"/>
          <w:b w:val="0"/>
          <w:bCs w:val="0"/>
          <w:color w:val="000000"/>
          <w:sz w:val="32"/>
          <w:szCs w:val="32"/>
          <w:lang w:val="en-US" w:eastAsia="zh-CN"/>
        </w:rPr>
        <w:t>本年新购执法执勤用车</w:t>
      </w:r>
      <w:r>
        <w:rPr>
          <w:rFonts w:hint="eastAsia" w:ascii="仿宋" w:hAnsi="仿宋" w:eastAsia="仿宋"/>
          <w:b w:val="0"/>
          <w:bCs w:val="0"/>
          <w:color w:val="000000"/>
          <w:sz w:val="32"/>
          <w:szCs w:val="32"/>
        </w:rPr>
        <w:t>。</w:t>
      </w:r>
    </w:p>
    <w:p>
      <w:pPr>
        <w:spacing w:line="600" w:lineRule="exact"/>
        <w:ind w:firstLine="640" w:firstLineChars="200"/>
        <w:rPr>
          <w:rFonts w:hint="default" w:ascii="仿宋_GB2312" w:eastAsia="仿宋_GB2312"/>
          <w:b/>
          <w:color w:val="auto"/>
          <w:sz w:val="32"/>
          <w:szCs w:val="32"/>
          <w:highlight w:val="none"/>
          <w:lang w:val="en-US" w:eastAsia="zh-CN"/>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b/>
          <w:color w:val="auto"/>
          <w:sz w:val="32"/>
          <w:szCs w:val="32"/>
          <w:highlight w:val="none"/>
          <w:lang w:val="en-US" w:eastAsia="zh-CN"/>
        </w:rPr>
        <w:t>45.47</w:t>
      </w:r>
      <w:r>
        <w:rPr>
          <w:rFonts w:hint="eastAsia" w:ascii="仿宋_GB2312" w:eastAsia="仿宋_GB2312"/>
          <w:b/>
          <w:color w:val="auto"/>
          <w:sz w:val="32"/>
          <w:szCs w:val="32"/>
          <w:highlight w:val="none"/>
        </w:rPr>
        <w:t>万元</w:t>
      </w:r>
      <w:r>
        <w:rPr>
          <w:rFonts w:hint="eastAsia" w:ascii="仿宋_GB2312" w:eastAsia="仿宋_GB2312"/>
          <w:color w:val="auto"/>
          <w:sz w:val="32"/>
          <w:szCs w:val="32"/>
          <w:highlight w:val="none"/>
        </w:rPr>
        <w:t>。全年按规定更新购置公务用车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月底，单位共有公务用车</w:t>
      </w:r>
      <w:r>
        <w:rPr>
          <w:rFonts w:hint="eastAsia" w:ascii="仿宋_GB2312" w:eastAsia="仿宋_GB2312"/>
          <w:color w:val="auto"/>
          <w:sz w:val="32"/>
          <w:szCs w:val="32"/>
          <w:highlight w:val="none"/>
          <w:lang w:val="en-US" w:eastAsia="zh-CN"/>
        </w:rPr>
        <w:t>136</w:t>
      </w:r>
      <w:r>
        <w:rPr>
          <w:rFonts w:hint="eastAsia" w:ascii="仿宋_GB2312" w:eastAsia="仿宋_GB2312"/>
          <w:color w:val="auto"/>
          <w:sz w:val="32"/>
          <w:szCs w:val="32"/>
          <w:highlight w:val="none"/>
        </w:rPr>
        <w:t>辆，其中：</w:t>
      </w:r>
      <w:r>
        <w:rPr>
          <w:rFonts w:hint="eastAsia" w:ascii="仿宋" w:hAnsi="仿宋" w:eastAsia="仿宋"/>
          <w:color w:val="000000"/>
          <w:sz w:val="32"/>
          <w:szCs w:val="32"/>
          <w:lang w:val="en-US" w:eastAsia="zh-CN"/>
        </w:rPr>
        <w:t>一般公务</w:t>
      </w:r>
      <w:r>
        <w:rPr>
          <w:rFonts w:hint="eastAsia" w:ascii="仿宋" w:hAnsi="仿宋" w:eastAsia="仿宋"/>
          <w:color w:val="000000"/>
          <w:sz w:val="32"/>
          <w:szCs w:val="32"/>
        </w:rPr>
        <w:t>用车1辆、</w:t>
      </w:r>
      <w:r>
        <w:rPr>
          <w:rFonts w:hint="eastAsia" w:ascii="仿宋" w:hAnsi="仿宋" w:eastAsia="仿宋"/>
          <w:color w:val="000000"/>
          <w:sz w:val="32"/>
          <w:szCs w:val="32"/>
          <w:lang w:val="en-US" w:eastAsia="zh-CN"/>
        </w:rPr>
        <w:t>特种</w:t>
      </w:r>
      <w:r>
        <w:rPr>
          <w:rFonts w:hint="eastAsia" w:ascii="仿宋" w:hAnsi="仿宋" w:eastAsia="仿宋"/>
          <w:color w:val="000000"/>
          <w:sz w:val="32"/>
          <w:szCs w:val="32"/>
        </w:rPr>
        <w:t>车</w:t>
      </w:r>
      <w:r>
        <w:rPr>
          <w:rFonts w:hint="eastAsia" w:ascii="仿宋" w:hAnsi="仿宋" w:eastAsia="仿宋"/>
          <w:color w:val="000000"/>
          <w:sz w:val="32"/>
          <w:szCs w:val="32"/>
          <w:lang w:val="en-US" w:eastAsia="zh-CN"/>
        </w:rPr>
        <w:t>15</w:t>
      </w:r>
      <w:r>
        <w:rPr>
          <w:rFonts w:hint="eastAsia" w:ascii="仿宋" w:hAnsi="仿宋" w:eastAsia="仿宋"/>
          <w:color w:val="000000"/>
          <w:sz w:val="32"/>
          <w:szCs w:val="32"/>
        </w:rPr>
        <w:t>辆、</w:t>
      </w:r>
      <w:r>
        <w:rPr>
          <w:rFonts w:hint="eastAsia" w:ascii="仿宋" w:hAnsi="仿宋" w:eastAsia="仿宋"/>
          <w:color w:val="000000"/>
          <w:sz w:val="32"/>
          <w:szCs w:val="32"/>
          <w:lang w:val="en-US" w:eastAsia="zh-CN"/>
        </w:rPr>
        <w:t>一般</w:t>
      </w:r>
      <w:r>
        <w:rPr>
          <w:rFonts w:hint="eastAsia" w:ascii="仿宋" w:hAnsi="仿宋" w:eastAsia="仿宋"/>
          <w:color w:val="000000"/>
          <w:sz w:val="32"/>
          <w:szCs w:val="32"/>
        </w:rPr>
        <w:t>执法执勤用车</w:t>
      </w:r>
      <w:r>
        <w:rPr>
          <w:rFonts w:hint="eastAsia" w:ascii="仿宋" w:hAnsi="仿宋" w:eastAsia="仿宋"/>
          <w:color w:val="000000"/>
          <w:sz w:val="32"/>
          <w:szCs w:val="32"/>
          <w:lang w:val="en-US" w:eastAsia="zh-CN"/>
        </w:rPr>
        <w:t>120</w:t>
      </w:r>
      <w:r>
        <w:rPr>
          <w:rFonts w:hint="eastAsia" w:ascii="仿宋" w:hAnsi="仿宋" w:eastAsia="仿宋"/>
          <w:color w:val="000000"/>
          <w:sz w:val="32"/>
          <w:szCs w:val="32"/>
        </w:rPr>
        <w:t>辆</w:t>
      </w:r>
      <w:r>
        <w:rPr>
          <w:rFonts w:hint="eastAsia" w:ascii="仿宋_GB2312" w:eastAsia="仿宋_GB2312"/>
          <w:color w:val="auto"/>
          <w:sz w:val="32"/>
          <w:szCs w:val="32"/>
          <w:highlight w:val="none"/>
        </w:rPr>
        <w:t>。</w:t>
      </w:r>
    </w:p>
    <w:p>
      <w:pPr>
        <w:spacing w:line="600" w:lineRule="exact"/>
        <w:ind w:firstLine="640"/>
        <w:rPr>
          <w:rFonts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b/>
          <w:color w:val="auto"/>
          <w:sz w:val="32"/>
          <w:szCs w:val="32"/>
          <w:highlight w:val="none"/>
          <w:lang w:val="en-US" w:eastAsia="zh-CN"/>
        </w:rPr>
        <w:t>407.59</w:t>
      </w:r>
      <w:r>
        <w:rPr>
          <w:rFonts w:hint="eastAsia" w:ascii="仿宋_GB2312" w:eastAsia="仿宋_GB2312"/>
          <w:b/>
          <w:color w:val="auto"/>
          <w:sz w:val="32"/>
          <w:szCs w:val="32"/>
          <w:highlight w:val="none"/>
        </w:rPr>
        <w:t>万元</w:t>
      </w:r>
      <w:r>
        <w:rPr>
          <w:rFonts w:hint="eastAsia" w:ascii="仿宋_GB2312" w:eastAsia="仿宋_GB2312"/>
          <w:color w:val="auto"/>
          <w:sz w:val="32"/>
          <w:szCs w:val="32"/>
          <w:highlight w:val="none"/>
        </w:rPr>
        <w:t>。</w:t>
      </w:r>
      <w:r>
        <w:rPr>
          <w:rFonts w:hint="eastAsia" w:ascii="仿宋" w:hAnsi="仿宋" w:eastAsia="仿宋"/>
          <w:color w:val="000000"/>
          <w:sz w:val="32"/>
          <w:szCs w:val="32"/>
        </w:rPr>
        <w:t>主要用于</w:t>
      </w:r>
      <w:r>
        <w:rPr>
          <w:rFonts w:hint="eastAsia" w:ascii="仿宋" w:hAnsi="仿宋" w:eastAsia="仿宋"/>
          <w:color w:val="000000"/>
          <w:sz w:val="32"/>
          <w:szCs w:val="32"/>
          <w:lang w:val="en-US" w:eastAsia="zh-CN"/>
        </w:rPr>
        <w:t>执法办案</w:t>
      </w:r>
      <w:r>
        <w:rPr>
          <w:rFonts w:hint="eastAsia" w:ascii="仿宋" w:hAnsi="仿宋" w:eastAsia="仿宋"/>
          <w:color w:val="000000"/>
          <w:sz w:val="32"/>
          <w:szCs w:val="32"/>
        </w:rPr>
        <w:t>等所需的公务用车燃料费、维修费、过路过桥费、保险费等支出。</w:t>
      </w:r>
    </w:p>
    <w:p>
      <w:pPr>
        <w:spacing w:line="600" w:lineRule="exact"/>
        <w:ind w:firstLine="645"/>
        <w:rPr>
          <w:rFonts w:hint="eastAsia" w:ascii="仿宋" w:hAnsi="仿宋" w:eastAsia="仿宋"/>
          <w:color w:val="000000"/>
          <w:sz w:val="32"/>
          <w:szCs w:val="32"/>
        </w:rPr>
      </w:pPr>
      <w:bookmarkStart w:id="44" w:name="_Toc15396610"/>
      <w:bookmarkStart w:id="45" w:name="_Toc15377218"/>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.公务接待费支出</w:t>
      </w:r>
      <w:r>
        <w:rPr>
          <w:rFonts w:hint="eastAsia" w:ascii="仿宋_GB2312" w:eastAsia="仿宋_GB2312"/>
          <w:b/>
          <w:color w:val="auto"/>
          <w:sz w:val="32"/>
          <w:szCs w:val="32"/>
          <w:highlight w:val="none"/>
          <w:lang w:val="en-US" w:eastAsia="zh-CN"/>
        </w:rPr>
        <w:t>2.80</w:t>
      </w:r>
      <w:r>
        <w:rPr>
          <w:rFonts w:hint="eastAsia" w:ascii="仿宋_GB2312" w:eastAsia="仿宋_GB2312"/>
          <w:b/>
          <w:color w:val="auto"/>
          <w:sz w:val="32"/>
          <w:szCs w:val="32"/>
          <w:highlight w:val="none"/>
        </w:rPr>
        <w:t>万元</w:t>
      </w:r>
      <w:r>
        <w:rPr>
          <w:rFonts w:hint="eastAsia" w:ascii="仿宋" w:hAnsi="仿宋" w:eastAsia="仿宋"/>
          <w:color w:val="000000"/>
          <w:sz w:val="32"/>
          <w:szCs w:val="32"/>
        </w:rPr>
        <w:t>，完成预算</w:t>
      </w:r>
      <w:r>
        <w:rPr>
          <w:rFonts w:hint="eastAsia" w:ascii="仿宋" w:hAnsi="仿宋" w:eastAsia="仿宋"/>
          <w:color w:val="000000"/>
          <w:sz w:val="32"/>
          <w:szCs w:val="32"/>
          <w:lang w:val="en-US" w:eastAsia="zh-CN"/>
        </w:rPr>
        <w:t>62.78</w:t>
      </w:r>
      <w:r>
        <w:rPr>
          <w:rFonts w:hint="eastAsia" w:ascii="仿宋" w:hAnsi="仿宋" w:eastAsia="仿宋"/>
          <w:color w:val="000000"/>
          <w:sz w:val="32"/>
          <w:szCs w:val="32"/>
        </w:rPr>
        <w:t>%。公务接待费支出决算比20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4.94万元减少2.14万元，减少了43.42</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减少了非必要的接待</w:t>
      </w:r>
      <w:r>
        <w:rPr>
          <w:rFonts w:hint="eastAsia" w:ascii="仿宋" w:hAnsi="仿宋" w:eastAsia="仿宋"/>
          <w:color w:val="000000"/>
          <w:sz w:val="32"/>
          <w:szCs w:val="32"/>
        </w:rPr>
        <w:t>。其中：</w:t>
      </w:r>
    </w:p>
    <w:p>
      <w:pPr>
        <w:spacing w:line="600" w:lineRule="exact"/>
        <w:ind w:firstLine="640"/>
        <w:outlineLvl w:val="1"/>
        <w:rPr>
          <w:rFonts w:hint="eastAsia" w:ascii="仿宋" w:hAnsi="仿宋" w:eastAsia="仿宋"/>
          <w:color w:val="000000"/>
          <w:sz w:val="32"/>
          <w:szCs w:val="32"/>
        </w:rPr>
      </w:pPr>
      <w:r>
        <w:rPr>
          <w:rFonts w:hint="eastAsia" w:ascii="仿宋" w:hAnsi="仿宋" w:eastAsia="仿宋"/>
          <w:color w:val="000000"/>
          <w:sz w:val="32"/>
          <w:szCs w:val="32"/>
        </w:rPr>
        <w:t>国内公务接待支出</w:t>
      </w:r>
      <w:r>
        <w:rPr>
          <w:rFonts w:hint="eastAsia" w:ascii="仿宋" w:hAnsi="仿宋" w:eastAsia="仿宋"/>
          <w:color w:val="000000"/>
          <w:sz w:val="32"/>
          <w:szCs w:val="32"/>
          <w:lang w:val="en-US" w:eastAsia="zh-CN"/>
        </w:rPr>
        <w:t>2.80</w:t>
      </w:r>
      <w:r>
        <w:rPr>
          <w:rFonts w:hint="eastAsia" w:ascii="仿宋" w:hAnsi="仿宋" w:eastAsia="仿宋"/>
          <w:color w:val="000000"/>
          <w:sz w:val="32"/>
          <w:szCs w:val="32"/>
        </w:rPr>
        <w:t>万元，主要用于执行公务、开展业务活动用餐费。国内公务接待</w:t>
      </w:r>
      <w:r>
        <w:rPr>
          <w:rFonts w:hint="eastAsia" w:ascii="仿宋" w:hAnsi="仿宋" w:eastAsia="仿宋"/>
          <w:color w:val="000000"/>
          <w:sz w:val="32"/>
          <w:szCs w:val="32"/>
          <w:lang w:val="en-US" w:eastAsia="zh-CN"/>
        </w:rPr>
        <w:t>41</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311</w:t>
      </w:r>
      <w:r>
        <w:rPr>
          <w:rFonts w:hint="eastAsia" w:ascii="仿宋" w:hAnsi="仿宋" w:eastAsia="仿宋"/>
          <w:color w:val="000000"/>
          <w:sz w:val="32"/>
          <w:szCs w:val="32"/>
        </w:rPr>
        <w:t>人次（不包括陪同人员），共计支出</w:t>
      </w:r>
      <w:r>
        <w:rPr>
          <w:rFonts w:hint="eastAsia" w:ascii="仿宋" w:hAnsi="仿宋" w:eastAsia="仿宋"/>
          <w:color w:val="000000"/>
          <w:sz w:val="32"/>
          <w:szCs w:val="32"/>
          <w:lang w:val="en-US" w:eastAsia="zh-CN"/>
        </w:rPr>
        <w:t>2.80</w:t>
      </w:r>
      <w:r>
        <w:rPr>
          <w:rFonts w:hint="eastAsia" w:ascii="仿宋" w:hAnsi="仿宋" w:eastAsia="仿宋"/>
          <w:color w:val="000000"/>
          <w:sz w:val="32"/>
          <w:szCs w:val="32"/>
        </w:rPr>
        <w:t>万元，具体内容包括：</w:t>
      </w:r>
      <w:r>
        <w:rPr>
          <w:rFonts w:hint="eastAsia" w:ascii="仿宋" w:hAnsi="仿宋" w:eastAsia="仿宋"/>
          <w:color w:val="000000"/>
          <w:sz w:val="32"/>
          <w:szCs w:val="32"/>
          <w:lang w:val="en-US" w:eastAsia="zh-CN"/>
        </w:rPr>
        <w:t>执法办案、技术交流产生的接待费</w:t>
      </w:r>
      <w:r>
        <w:rPr>
          <w:rFonts w:hint="eastAsia" w:ascii="仿宋" w:hAnsi="仿宋" w:eastAsia="仿宋"/>
          <w:color w:val="000000"/>
          <w:sz w:val="32"/>
          <w:szCs w:val="32"/>
        </w:rPr>
        <w:t>。</w:t>
      </w:r>
    </w:p>
    <w:p>
      <w:pPr>
        <w:spacing w:line="600" w:lineRule="exact"/>
        <w:ind w:firstLine="645"/>
      </w:pPr>
      <w:r>
        <w:rPr>
          <w:rFonts w:hint="eastAsia" w:ascii="仿宋" w:hAnsi="仿宋" w:eastAsia="仿宋"/>
          <w:color w:val="000000"/>
          <w:sz w:val="32"/>
          <w:szCs w:val="32"/>
        </w:rPr>
        <w:t>外事接待支出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万元，外事接待</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批次，</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人，共计支出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bookmarkEnd w:id="44"/>
    <w:bookmarkEnd w:id="45"/>
    <w:p>
      <w:pPr>
        <w:spacing w:line="600" w:lineRule="exact"/>
        <w:ind w:firstLine="640"/>
        <w:outlineLvl w:val="1"/>
        <w:rPr>
          <w:rStyle w:val="27"/>
          <w:rFonts w:ascii="黑体" w:hAnsi="黑体" w:eastAsia="黑体"/>
          <w:color w:val="auto"/>
          <w:highlight w:val="none"/>
        </w:rPr>
      </w:pPr>
      <w:r>
        <w:rPr>
          <w:rFonts w:hint="eastAsia" w:ascii="黑体" w:eastAsia="黑体"/>
          <w:color w:val="auto"/>
          <w:sz w:val="32"/>
          <w:szCs w:val="32"/>
          <w:highlight w:val="none"/>
        </w:rPr>
        <w:t>八、</w:t>
      </w:r>
      <w:r>
        <w:rPr>
          <w:rStyle w:val="27"/>
          <w:rFonts w:hint="eastAsia" w:ascii="黑体" w:hAnsi="黑体" w:eastAsia="黑体"/>
          <w:b w:val="0"/>
          <w:color w:val="auto"/>
          <w:highlight w:val="none"/>
        </w:rPr>
        <w:t>政府性基金预算支出决算情况说明</w:t>
      </w:r>
    </w:p>
    <w:p>
      <w:pPr>
        <w:spacing w:line="600" w:lineRule="exact"/>
        <w:ind w:firstLine="640"/>
        <w:rPr>
          <w:color w:val="auto"/>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7"/>
          <w:rFonts w:ascii="黑体" w:hAnsi="黑体" w:eastAsia="黑体"/>
          <w:b w:val="0"/>
          <w:color w:val="auto"/>
          <w:highlight w:val="none"/>
        </w:rPr>
      </w:pPr>
      <w:bookmarkStart w:id="46" w:name="_Toc15377219"/>
      <w:bookmarkStart w:id="47" w:name="_Toc15396611"/>
      <w:r>
        <w:rPr>
          <w:rStyle w:val="27"/>
          <w:rFonts w:hint="eastAsia" w:ascii="黑体" w:hAnsi="黑体" w:eastAsia="黑体"/>
          <w:b w:val="0"/>
          <w:color w:val="auto"/>
          <w:highlight w:val="none"/>
        </w:rPr>
        <w:t>国有资本经营预算支出决算情况说明</w:t>
      </w:r>
      <w:bookmarkEnd w:id="46"/>
      <w:bookmarkEnd w:id="47"/>
    </w:p>
    <w:p>
      <w:pPr>
        <w:spacing w:line="600" w:lineRule="exact"/>
        <w:ind w:firstLine="640"/>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7"/>
          <w:rFonts w:hint="eastAsia" w:ascii="黑体" w:hAnsi="黑体" w:eastAsia="黑体"/>
          <w:b w:val="0"/>
          <w:color w:val="auto"/>
          <w:highlight w:val="none"/>
        </w:rPr>
      </w:pPr>
      <w:bookmarkStart w:id="48" w:name="_Toc15377221"/>
      <w:bookmarkStart w:id="49" w:name="_Toc15396612"/>
      <w:r>
        <w:rPr>
          <w:rStyle w:val="27"/>
          <w:rFonts w:hint="eastAsia" w:ascii="黑体" w:hAnsi="黑体" w:eastAsia="黑体"/>
          <w:b w:val="0"/>
          <w:color w:val="auto"/>
          <w:highlight w:val="none"/>
        </w:rPr>
        <w:t>其他重要事项的情况说明</w:t>
      </w:r>
      <w:bookmarkEnd w:id="48"/>
      <w:bookmarkEnd w:id="49"/>
    </w:p>
    <w:p>
      <w:pPr>
        <w:spacing w:line="600" w:lineRule="exact"/>
        <w:ind w:firstLine="643" w:firstLineChars="200"/>
        <w:outlineLvl w:val="2"/>
        <w:rPr>
          <w:rFonts w:ascii="仿宋" w:hAnsi="仿宋" w:eastAsia="仿宋"/>
          <w:color w:val="auto"/>
          <w:sz w:val="32"/>
          <w:szCs w:val="32"/>
          <w:highlight w:val="none"/>
        </w:rPr>
      </w:pPr>
      <w:bookmarkStart w:id="50" w:name="_Toc15377222"/>
      <w:r>
        <w:rPr>
          <w:rFonts w:hint="eastAsia" w:ascii="仿宋" w:hAnsi="仿宋" w:eastAsia="仿宋"/>
          <w:b/>
          <w:color w:val="auto"/>
          <w:sz w:val="32"/>
          <w:szCs w:val="32"/>
          <w:highlight w:val="none"/>
        </w:rPr>
        <w:t>（一）机关运行经费支出情况</w:t>
      </w:r>
      <w:bookmarkEnd w:id="50"/>
    </w:p>
    <w:p>
      <w:pPr>
        <w:spacing w:line="600" w:lineRule="exact"/>
        <w:ind w:firstLine="640" w:firstLineChars="200"/>
        <w:rPr>
          <w:rFonts w:ascii="仿宋" w:hAnsi="仿宋" w:eastAsia="仿宋"/>
          <w:b/>
          <w:color w:val="auto"/>
          <w:sz w:val="32"/>
          <w:szCs w:val="32"/>
          <w:highlight w:val="none"/>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遂宁市公安局</w:t>
      </w:r>
      <w:r>
        <w:rPr>
          <w:rFonts w:hint="eastAsia" w:ascii="仿宋" w:hAnsi="仿宋" w:eastAsia="仿宋"/>
          <w:color w:val="000000"/>
          <w:sz w:val="32"/>
          <w:szCs w:val="32"/>
        </w:rPr>
        <w:t>机关运行经费支出</w:t>
      </w:r>
      <w:r>
        <w:rPr>
          <w:rFonts w:hint="eastAsia" w:ascii="仿宋" w:hAnsi="仿宋" w:eastAsia="仿宋"/>
          <w:color w:val="000000"/>
          <w:sz w:val="32"/>
          <w:szCs w:val="32"/>
          <w:lang w:val="en-US" w:eastAsia="zh-CN"/>
        </w:rPr>
        <w:t>5,286.88</w:t>
      </w:r>
      <w:r>
        <w:rPr>
          <w:rFonts w:hint="eastAsia" w:ascii="仿宋" w:hAnsi="仿宋" w:eastAsia="仿宋"/>
          <w:color w:val="000000"/>
          <w:sz w:val="32"/>
          <w:szCs w:val="32"/>
        </w:rPr>
        <w:t>万元，比20</w:t>
      </w:r>
      <w:r>
        <w:rPr>
          <w:rFonts w:hint="eastAsia" w:ascii="仿宋" w:hAnsi="仿宋" w:eastAsia="仿宋"/>
          <w:color w:val="000000"/>
          <w:sz w:val="32"/>
          <w:szCs w:val="32"/>
          <w:lang w:val="en-US" w:eastAsia="zh-CN"/>
        </w:rPr>
        <w:t>21</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4,499.86</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增加了787.02</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增加17.49</w:t>
      </w:r>
      <w:r>
        <w:rPr>
          <w:rFonts w:hint="eastAsia" w:ascii="仿宋" w:hAnsi="仿宋" w:eastAsia="仿宋"/>
          <w:color w:val="000000"/>
          <w:sz w:val="32"/>
          <w:szCs w:val="32"/>
        </w:rPr>
        <w:t>%。主要原因是</w:t>
      </w:r>
      <w:r>
        <w:rPr>
          <w:rFonts w:hint="eastAsia" w:ascii="仿宋" w:hAnsi="仿宋" w:eastAsia="仿宋"/>
          <w:color w:val="000000"/>
          <w:sz w:val="32"/>
          <w:szCs w:val="32"/>
          <w:lang w:val="en-US" w:eastAsia="zh-CN"/>
        </w:rPr>
        <w:t>办案</w:t>
      </w:r>
      <w:r>
        <w:rPr>
          <w:rFonts w:hint="eastAsia" w:ascii="仿宋_GB2312" w:eastAsia="仿宋_GB2312"/>
          <w:color w:val="000000"/>
          <w:sz w:val="32"/>
          <w:szCs w:val="32"/>
        </w:rPr>
        <w:t>人员</w:t>
      </w:r>
      <w:r>
        <w:rPr>
          <w:rFonts w:hint="default" w:ascii="仿宋_GB2312" w:eastAsia="仿宋_GB2312"/>
          <w:color w:val="000000"/>
          <w:sz w:val="32"/>
          <w:szCs w:val="32"/>
        </w:rPr>
        <w:t>和新召录辅警</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抽调区县干警办理扫黑除恶案件</w:t>
      </w:r>
      <w:r>
        <w:rPr>
          <w:rFonts w:hint="default" w:ascii="仿宋_GB2312" w:eastAsia="仿宋_GB2312"/>
          <w:color w:val="000000"/>
          <w:sz w:val="32"/>
          <w:szCs w:val="32"/>
          <w:lang w:eastAsia="zh-CN"/>
        </w:rPr>
        <w:t>、电信诈骗等大要案</w:t>
      </w:r>
      <w:r>
        <w:rPr>
          <w:rFonts w:hint="eastAsia" w:ascii="仿宋_GB2312" w:eastAsia="仿宋_GB2312"/>
          <w:color w:val="000000"/>
          <w:sz w:val="32"/>
          <w:szCs w:val="32"/>
          <w:lang w:val="en-US" w:eastAsia="zh-CN"/>
        </w:rPr>
        <w:t>，导致</w:t>
      </w:r>
      <w:r>
        <w:rPr>
          <w:rFonts w:hint="eastAsia" w:ascii="仿宋_GB2312" w:eastAsia="仿宋_GB2312"/>
          <w:color w:val="000000"/>
          <w:sz w:val="32"/>
          <w:szCs w:val="32"/>
        </w:rPr>
        <w:t>机关运行的各项费用增加</w:t>
      </w:r>
      <w:r>
        <w:rPr>
          <w:rFonts w:hint="eastAsia" w:ascii="仿宋" w:hAnsi="仿宋" w:eastAsia="仿宋"/>
          <w:color w:val="000000"/>
          <w:sz w:val="32"/>
          <w:szCs w:val="32"/>
          <w:lang w:val="en-US" w:eastAsia="zh-CN"/>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1" w:name="_Toc15377223"/>
      <w:r>
        <w:rPr>
          <w:rFonts w:hint="eastAsia" w:ascii="仿宋" w:hAnsi="仿宋" w:eastAsia="仿宋"/>
          <w:b/>
          <w:color w:val="auto"/>
          <w:sz w:val="32"/>
          <w:szCs w:val="32"/>
          <w:highlight w:val="none"/>
        </w:rPr>
        <w:t>（二）政府采购支出情况</w:t>
      </w:r>
      <w:bookmarkEnd w:id="51"/>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2</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遂宁市公安局</w:t>
      </w:r>
      <w:r>
        <w:rPr>
          <w:rFonts w:hint="eastAsia" w:ascii="仿宋" w:hAnsi="仿宋" w:eastAsia="仿宋"/>
          <w:color w:val="auto"/>
          <w:sz w:val="32"/>
          <w:szCs w:val="32"/>
        </w:rPr>
        <w:t>政府采购支出总额</w:t>
      </w:r>
      <w:r>
        <w:rPr>
          <w:rFonts w:hint="eastAsia" w:ascii="仿宋" w:hAnsi="仿宋" w:eastAsia="仿宋"/>
          <w:color w:val="auto"/>
          <w:sz w:val="32"/>
          <w:szCs w:val="32"/>
          <w:lang w:val="en-US" w:eastAsia="zh-CN"/>
        </w:rPr>
        <w:t>2,143.21</w:t>
      </w:r>
      <w:r>
        <w:rPr>
          <w:rFonts w:hint="eastAsia" w:ascii="仿宋" w:hAnsi="仿宋" w:eastAsia="仿宋"/>
          <w:color w:val="auto"/>
          <w:sz w:val="32"/>
          <w:szCs w:val="32"/>
        </w:rPr>
        <w:t>万元，其中：政府采购货物支出</w:t>
      </w:r>
      <w:r>
        <w:rPr>
          <w:rFonts w:hint="eastAsia" w:ascii="仿宋" w:hAnsi="仿宋" w:eastAsia="仿宋"/>
          <w:color w:val="auto"/>
          <w:sz w:val="32"/>
          <w:szCs w:val="32"/>
          <w:lang w:val="en-US" w:eastAsia="zh-CN"/>
        </w:rPr>
        <w:t>1,302.67</w:t>
      </w:r>
      <w:r>
        <w:rPr>
          <w:rFonts w:hint="eastAsia" w:ascii="仿宋" w:hAnsi="仿宋" w:eastAsia="仿宋"/>
          <w:color w:val="auto"/>
          <w:sz w:val="32"/>
          <w:szCs w:val="32"/>
        </w:rPr>
        <w:t>万元、政府采购服务支出</w:t>
      </w:r>
      <w:r>
        <w:rPr>
          <w:rFonts w:hint="eastAsia" w:ascii="仿宋" w:hAnsi="仿宋" w:eastAsia="仿宋"/>
          <w:color w:val="auto"/>
          <w:sz w:val="32"/>
          <w:szCs w:val="32"/>
          <w:lang w:val="en-US" w:eastAsia="zh-CN"/>
        </w:rPr>
        <w:t>840.54</w:t>
      </w:r>
      <w:r>
        <w:rPr>
          <w:rFonts w:hint="eastAsia" w:ascii="仿宋" w:hAnsi="仿宋" w:eastAsia="仿宋"/>
          <w:color w:val="auto"/>
          <w:sz w:val="32"/>
          <w:szCs w:val="32"/>
        </w:rPr>
        <w:t>万元。主要用于</w:t>
      </w:r>
      <w:r>
        <w:rPr>
          <w:rFonts w:hint="eastAsia" w:ascii="仿宋" w:hAnsi="仿宋" w:eastAsia="仿宋"/>
          <w:color w:val="auto"/>
          <w:sz w:val="32"/>
          <w:szCs w:val="32"/>
          <w:lang w:val="en-US" w:eastAsia="zh-CN"/>
        </w:rPr>
        <w:t>公安执法办案所需</w:t>
      </w:r>
      <w:r>
        <w:rPr>
          <w:rFonts w:hint="eastAsia" w:ascii="仿宋" w:hAnsi="仿宋" w:eastAsia="仿宋"/>
          <w:color w:val="auto"/>
          <w:sz w:val="32"/>
          <w:szCs w:val="32"/>
        </w:rPr>
        <w:t>。授予</w:t>
      </w:r>
      <w:r>
        <w:rPr>
          <w:rFonts w:hint="eastAsia" w:ascii="仿宋" w:hAnsi="仿宋" w:eastAsia="仿宋"/>
          <w:color w:val="auto"/>
          <w:sz w:val="32"/>
          <w:szCs w:val="32"/>
          <w:lang w:val="en-US" w:eastAsia="zh-CN"/>
        </w:rPr>
        <w:t>大型企业合同金额1389.39万元，占政府采购支出总额的64.83%；中小</w:t>
      </w:r>
      <w:r>
        <w:rPr>
          <w:rFonts w:hint="eastAsia" w:ascii="仿宋" w:hAnsi="仿宋" w:eastAsia="仿宋"/>
          <w:color w:val="auto"/>
          <w:sz w:val="32"/>
          <w:szCs w:val="32"/>
        </w:rPr>
        <w:t>企业合同金额</w:t>
      </w:r>
      <w:r>
        <w:rPr>
          <w:rFonts w:hint="eastAsia" w:ascii="仿宋" w:hAnsi="仿宋" w:eastAsia="仿宋"/>
          <w:color w:val="auto"/>
          <w:sz w:val="32"/>
          <w:szCs w:val="32"/>
          <w:lang w:val="en-US" w:eastAsia="zh-CN"/>
        </w:rPr>
        <w:t>753.82</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35.17</w:t>
      </w:r>
      <w:r>
        <w:rPr>
          <w:rFonts w:hint="eastAsia" w:ascii="仿宋" w:hAnsi="仿宋" w:eastAsia="仿宋"/>
          <w:color w:val="auto"/>
          <w:sz w:val="32"/>
          <w:szCs w:val="32"/>
        </w:rPr>
        <w:t>%，其中：授予小微企业合同金额</w:t>
      </w:r>
      <w:r>
        <w:rPr>
          <w:rFonts w:hint="eastAsia" w:ascii="仿宋" w:hAnsi="仿宋" w:eastAsia="仿宋"/>
          <w:color w:val="auto"/>
          <w:sz w:val="32"/>
          <w:szCs w:val="32"/>
          <w:lang w:val="en-US" w:eastAsia="zh-CN"/>
        </w:rPr>
        <w:t>398.03</w:t>
      </w:r>
      <w:r>
        <w:rPr>
          <w:rFonts w:hint="eastAsia" w:ascii="仿宋" w:hAnsi="仿宋" w:eastAsia="仿宋"/>
          <w:color w:val="auto"/>
          <w:sz w:val="32"/>
          <w:szCs w:val="32"/>
        </w:rPr>
        <w:t>万元，占政府采购支出总额的</w:t>
      </w:r>
      <w:r>
        <w:rPr>
          <w:rFonts w:hint="eastAsia" w:ascii="仿宋" w:hAnsi="仿宋" w:eastAsia="仿宋"/>
          <w:color w:val="auto"/>
          <w:sz w:val="32"/>
          <w:szCs w:val="32"/>
          <w:lang w:val="en-US" w:eastAsia="zh-CN"/>
        </w:rPr>
        <w:t>18.57</w:t>
      </w:r>
      <w:r>
        <w:rPr>
          <w:rFonts w:hint="eastAsia" w:ascii="仿宋" w:hAnsi="仿宋" w:eastAsia="仿宋"/>
          <w:color w:val="auto"/>
          <w:sz w:val="32"/>
          <w:szCs w:val="32"/>
        </w:rPr>
        <w:t>%。</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bookmarkStart w:id="52" w:name="_Toc15377224"/>
      <w:r>
        <w:rPr>
          <w:rFonts w:hint="eastAsia" w:ascii="仿宋" w:hAnsi="仿宋" w:eastAsia="仿宋"/>
          <w:b/>
          <w:color w:val="auto"/>
          <w:sz w:val="32"/>
          <w:szCs w:val="32"/>
          <w:highlight w:val="none"/>
        </w:rPr>
        <w:t>（三）国有资产占有使用情况</w:t>
      </w:r>
      <w:bookmarkEnd w:id="52"/>
    </w:p>
    <w:p>
      <w:pPr>
        <w:spacing w:line="600" w:lineRule="exact"/>
        <w:ind w:firstLine="640" w:firstLineChars="200"/>
        <w:rPr>
          <w:rFonts w:hint="eastAsia" w:ascii="仿宋" w:hAnsi="仿宋" w:eastAsia="仿宋"/>
          <w:color w:val="auto"/>
          <w:sz w:val="32"/>
          <w:szCs w:val="32"/>
          <w:lang w:eastAsia="zh-CN"/>
        </w:rPr>
      </w:pPr>
      <w:r>
        <w:rPr>
          <w:rFonts w:hint="eastAsia" w:ascii="仿宋" w:hAnsi="仿宋" w:eastAsia="仿宋"/>
          <w:color w:val="auto"/>
          <w:sz w:val="32"/>
          <w:szCs w:val="32"/>
          <w:lang w:val="en-US" w:eastAsia="zh-CN"/>
        </w:rPr>
        <w:t>截止</w:t>
      </w:r>
      <w:r>
        <w:rPr>
          <w:rFonts w:hint="eastAsia" w:ascii="仿宋" w:hAnsi="仿宋" w:eastAsia="仿宋"/>
          <w:color w:val="auto"/>
          <w:sz w:val="32"/>
          <w:szCs w:val="32"/>
        </w:rPr>
        <w:t>2022年12月31日，我单位自用固定资产</w:t>
      </w:r>
      <w:r>
        <w:rPr>
          <w:rFonts w:hint="eastAsia" w:ascii="仿宋" w:hAnsi="仿宋" w:eastAsia="仿宋"/>
          <w:color w:val="auto"/>
          <w:sz w:val="32"/>
          <w:szCs w:val="32"/>
          <w:lang w:val="en-US" w:eastAsia="zh-CN"/>
        </w:rPr>
        <w:t>34,966.69</w:t>
      </w:r>
      <w:r>
        <w:rPr>
          <w:rFonts w:hint="eastAsia" w:ascii="仿宋" w:hAnsi="仿宋" w:eastAsia="仿宋"/>
          <w:color w:val="auto"/>
          <w:sz w:val="32"/>
          <w:szCs w:val="32"/>
        </w:rPr>
        <w:t>万元，占账面固定资产总额的100.00%，其中:在用</w:t>
      </w:r>
      <w:r>
        <w:rPr>
          <w:rFonts w:hint="eastAsia" w:ascii="仿宋" w:hAnsi="仿宋" w:eastAsia="仿宋"/>
          <w:color w:val="auto"/>
          <w:sz w:val="32"/>
          <w:szCs w:val="32"/>
          <w:lang w:val="en-US" w:eastAsia="zh-CN"/>
        </w:rPr>
        <w:t>34,966.69</w:t>
      </w:r>
      <w:r>
        <w:rPr>
          <w:rFonts w:hint="eastAsia" w:ascii="仿宋" w:hAnsi="仿宋" w:eastAsia="仿宋"/>
          <w:color w:val="auto"/>
          <w:sz w:val="32"/>
          <w:szCs w:val="32"/>
        </w:rPr>
        <w:t>万元，占账面固定资产总额的100.00%。自用无形资产</w:t>
      </w:r>
      <w:r>
        <w:rPr>
          <w:rFonts w:hint="eastAsia" w:ascii="仿宋" w:hAnsi="仿宋" w:eastAsia="仿宋"/>
          <w:color w:val="auto"/>
          <w:sz w:val="32"/>
          <w:szCs w:val="32"/>
          <w:lang w:val="en-US" w:eastAsia="zh-CN"/>
        </w:rPr>
        <w:t>795.31</w:t>
      </w:r>
      <w:r>
        <w:rPr>
          <w:rFonts w:hint="eastAsia" w:ascii="仿宋" w:hAnsi="仿宋" w:eastAsia="仿宋"/>
          <w:color w:val="auto"/>
          <w:sz w:val="32"/>
          <w:szCs w:val="32"/>
        </w:rPr>
        <w:t>万元，占账面无形资产总额的100.00%；其中在用</w:t>
      </w:r>
      <w:r>
        <w:rPr>
          <w:rFonts w:hint="eastAsia" w:ascii="仿宋" w:hAnsi="仿宋" w:eastAsia="仿宋"/>
          <w:color w:val="auto"/>
          <w:sz w:val="32"/>
          <w:szCs w:val="32"/>
          <w:lang w:val="en-US" w:eastAsia="zh-CN"/>
        </w:rPr>
        <w:t>795.31</w:t>
      </w:r>
      <w:r>
        <w:rPr>
          <w:rFonts w:hint="eastAsia" w:ascii="仿宋" w:hAnsi="仿宋" w:eastAsia="仿宋"/>
          <w:color w:val="auto"/>
          <w:sz w:val="32"/>
          <w:szCs w:val="32"/>
        </w:rPr>
        <w:t>万元，占账面无形资产总额的100.00%</w:t>
      </w:r>
      <w:r>
        <w:rPr>
          <w:rFonts w:hint="eastAsia" w:ascii="仿宋" w:hAnsi="仿宋" w:eastAsia="仿宋"/>
          <w:color w:val="auto"/>
          <w:sz w:val="32"/>
          <w:szCs w:val="32"/>
          <w:lang w:eastAsia="zh-CN"/>
        </w:rPr>
        <w:t>。</w:t>
      </w:r>
    </w:p>
    <w:p>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截止2022年12月31日，我单位房屋账面面积62,195.62平方米，账面价值6,310.91万元，其中办公用房面积62,195.62平方米，占房屋的100.00%。从使用状况分析：在用62,195.62平方米，占100.00%,无出租出借、闲置及待处置房屋资产。</w:t>
      </w:r>
    </w:p>
    <w:p>
      <w:pPr>
        <w:spacing w:line="600" w:lineRule="exact"/>
        <w:ind w:firstLine="640" w:firstLineChars="200"/>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截止2022年12月31日，我单位车辆账面数量135辆，账面原值2,620.18万元，账面净值784.17万元。从使用状况分析：在用135辆，占100.00%，无出租出借、闲置及待处置车辆。</w:t>
      </w:r>
    </w:p>
    <w:p>
      <w:pPr>
        <w:autoSpaceDE w:val="0"/>
        <w:autoSpaceDN w:val="0"/>
        <w:adjustRightInd w:val="0"/>
        <w:spacing w:line="600" w:lineRule="exact"/>
        <w:ind w:firstLine="643"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spacing w:line="580" w:lineRule="exact"/>
        <w:ind w:firstLine="640" w:firstLineChars="200"/>
        <w:rPr>
          <w:rFonts w:hint="eastAsia" w:ascii="仿宋" w:hAnsi="仿宋" w:eastAsia="仿宋"/>
          <w:color w:val="000000"/>
          <w:sz w:val="32"/>
          <w:szCs w:val="32"/>
        </w:rPr>
      </w:pPr>
      <w:r>
        <w:rPr>
          <w:rFonts w:hint="eastAsia" w:ascii="仿宋" w:hAnsi="仿宋" w:eastAsia="仿宋"/>
          <w:color w:val="000000"/>
          <w:sz w:val="32"/>
          <w:szCs w:val="32"/>
        </w:rPr>
        <w:t>根据预算绩效管理要求，本部门在年初预算编制阶段，组织对警务辅助人员专项经费</w:t>
      </w:r>
      <w:r>
        <w:rPr>
          <w:rFonts w:hint="eastAsia" w:ascii="仿宋" w:hAnsi="仿宋" w:eastAsia="仿宋"/>
          <w:color w:val="000000"/>
          <w:sz w:val="32"/>
          <w:szCs w:val="32"/>
          <w:lang w:val="en-US" w:eastAsia="zh-CN"/>
        </w:rPr>
        <w:t>等244个项目</w:t>
      </w:r>
      <w:r>
        <w:rPr>
          <w:rFonts w:hint="eastAsia" w:ascii="仿宋" w:hAnsi="仿宋" w:eastAsia="仿宋"/>
          <w:color w:val="000000"/>
          <w:sz w:val="32"/>
          <w:szCs w:val="32"/>
        </w:rPr>
        <w:t>开展了预算事前绩效评估，对</w:t>
      </w:r>
      <w:r>
        <w:rPr>
          <w:rFonts w:hint="eastAsia" w:ascii="仿宋" w:hAnsi="仿宋" w:eastAsia="仿宋"/>
          <w:color w:val="000000"/>
          <w:sz w:val="32"/>
          <w:szCs w:val="32"/>
          <w:lang w:val="en-US" w:eastAsia="zh-CN"/>
        </w:rPr>
        <w:t>244</w:t>
      </w:r>
      <w:r>
        <w:rPr>
          <w:rFonts w:hint="eastAsia" w:ascii="仿宋" w:hAnsi="仿宋" w:eastAsia="仿宋"/>
          <w:color w:val="000000"/>
          <w:sz w:val="32"/>
          <w:szCs w:val="32"/>
        </w:rPr>
        <w:t>个项目编制了绩效目标，预算执行过程中，选取</w:t>
      </w:r>
      <w:r>
        <w:rPr>
          <w:rFonts w:hint="eastAsia" w:ascii="仿宋" w:hAnsi="仿宋" w:eastAsia="仿宋"/>
          <w:color w:val="000000"/>
          <w:sz w:val="32"/>
          <w:szCs w:val="32"/>
          <w:lang w:val="en-US" w:eastAsia="zh-CN"/>
        </w:rPr>
        <w:t>244</w:t>
      </w:r>
      <w:r>
        <w:rPr>
          <w:rFonts w:hint="eastAsia" w:ascii="仿宋" w:hAnsi="仿宋" w:eastAsia="仿宋"/>
          <w:color w:val="000000"/>
          <w:sz w:val="32"/>
          <w:szCs w:val="32"/>
        </w:rPr>
        <w:t>个项目开展绩效监控，年终执行完毕后，对</w:t>
      </w:r>
      <w:r>
        <w:rPr>
          <w:rFonts w:hint="eastAsia" w:ascii="仿宋" w:hAnsi="仿宋" w:eastAsia="仿宋"/>
          <w:color w:val="000000"/>
          <w:sz w:val="32"/>
          <w:szCs w:val="32"/>
          <w:lang w:val="en-US" w:eastAsia="zh-CN"/>
        </w:rPr>
        <w:t>244</w:t>
      </w:r>
      <w:r>
        <w:rPr>
          <w:rFonts w:hint="eastAsia" w:ascii="仿宋" w:hAnsi="仿宋" w:eastAsia="仿宋"/>
          <w:color w:val="000000"/>
          <w:sz w:val="32"/>
          <w:szCs w:val="32"/>
        </w:rPr>
        <w:t>个项目开展了绩效目标完成情况自评</w:t>
      </w:r>
      <w:r>
        <w:rPr>
          <w:rFonts w:hint="eastAsia" w:ascii="仿宋" w:hAnsi="仿宋" w:eastAsia="仿宋"/>
          <w:color w:val="000000"/>
          <w:sz w:val="32"/>
          <w:szCs w:val="32"/>
          <w:lang w:eastAsia="zh-CN"/>
        </w:rPr>
        <w:t>。同时，</w:t>
      </w:r>
      <w:r>
        <w:rPr>
          <w:rFonts w:hint="eastAsia" w:ascii="仿宋" w:hAnsi="仿宋" w:eastAsia="仿宋"/>
          <w:color w:val="000000"/>
          <w:sz w:val="32"/>
          <w:szCs w:val="32"/>
        </w:rPr>
        <w:t>本部门对20</w:t>
      </w:r>
      <w:r>
        <w:rPr>
          <w:rFonts w:hint="eastAsia" w:ascii="仿宋" w:hAnsi="仿宋" w:eastAsia="仿宋"/>
          <w:color w:val="000000"/>
          <w:sz w:val="32"/>
          <w:szCs w:val="32"/>
          <w:lang w:val="en-US" w:eastAsia="zh-CN"/>
        </w:rPr>
        <w:t>22</w:t>
      </w:r>
      <w:r>
        <w:rPr>
          <w:rFonts w:hint="eastAsia" w:ascii="仿宋" w:hAnsi="仿宋" w:eastAsia="仿宋"/>
          <w:color w:val="000000"/>
          <w:sz w:val="32"/>
          <w:szCs w:val="32"/>
        </w:rPr>
        <w:t>年部门整体开展绩效自评，《202</w:t>
      </w:r>
      <w:r>
        <w:rPr>
          <w:rFonts w:hint="eastAsia" w:ascii="仿宋" w:hAnsi="仿宋" w:eastAsia="仿宋"/>
          <w:color w:val="000000"/>
          <w:sz w:val="32"/>
          <w:szCs w:val="32"/>
          <w:lang w:val="en-US" w:eastAsia="zh-CN"/>
        </w:rPr>
        <w:t>2</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遂宁市公安局</w:t>
      </w:r>
      <w:r>
        <w:rPr>
          <w:rFonts w:hint="eastAsia" w:ascii="仿宋" w:hAnsi="仿宋" w:eastAsia="仿宋"/>
          <w:color w:val="000000"/>
          <w:sz w:val="32"/>
          <w:szCs w:val="32"/>
        </w:rPr>
        <w:t>部门整体绩效评价报告》见附件（</w:t>
      </w:r>
      <w:r>
        <w:rPr>
          <w:rFonts w:hint="eastAsia" w:ascii="仿宋" w:hAnsi="仿宋" w:eastAsia="仿宋"/>
          <w:color w:val="000000"/>
          <w:sz w:val="32"/>
          <w:szCs w:val="32"/>
          <w:lang w:eastAsia="zh-CN"/>
        </w:rPr>
        <w:t>第四部分</w:t>
      </w:r>
      <w:r>
        <w:rPr>
          <w:rFonts w:hint="eastAsia" w:ascii="仿宋" w:hAnsi="仿宋" w:eastAsia="仿宋"/>
          <w:color w:val="000000"/>
          <w:sz w:val="32"/>
          <w:szCs w:val="32"/>
        </w:rPr>
        <w:t>）。</w:t>
      </w: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3"/>
        </w:numPr>
        <w:spacing w:line="600" w:lineRule="exact"/>
        <w:ind w:firstLine="660" w:firstLineChars="150"/>
        <w:jc w:val="center"/>
        <w:outlineLvl w:val="0"/>
        <w:rPr>
          <w:rStyle w:val="26"/>
          <w:rFonts w:ascii="黑体" w:hAnsi="黑体" w:eastAsia="黑体"/>
          <w:b w:val="0"/>
          <w:color w:val="auto"/>
          <w:highlight w:val="none"/>
        </w:rPr>
      </w:pPr>
      <w:bookmarkStart w:id="53" w:name="_Toc15377225"/>
      <w:bookmarkStart w:id="54" w:name="_Toc15396613"/>
      <w:r>
        <w:rPr>
          <w:rFonts w:hint="eastAsia" w:ascii="黑体" w:hAnsi="黑体" w:eastAsia="黑体"/>
          <w:color w:val="auto"/>
          <w:sz w:val="44"/>
          <w:szCs w:val="44"/>
          <w:highlight w:val="none"/>
        </w:rPr>
        <w:t>名</w:t>
      </w:r>
      <w:r>
        <w:rPr>
          <w:rStyle w:val="26"/>
          <w:rFonts w:hint="eastAsia" w:ascii="黑体" w:hAnsi="黑体" w:eastAsia="黑体"/>
          <w:b w:val="0"/>
          <w:color w:val="auto"/>
          <w:highlight w:val="none"/>
        </w:rPr>
        <w:t>词解释</w:t>
      </w:r>
      <w:bookmarkEnd w:id="53"/>
      <w:bookmarkEnd w:id="54"/>
    </w:p>
    <w:p>
      <w:pPr>
        <w:spacing w:line="600" w:lineRule="exact"/>
        <w:jc w:val="left"/>
        <w:rPr>
          <w:rFonts w:ascii="宋体"/>
          <w:b/>
          <w:color w:val="auto"/>
          <w:sz w:val="44"/>
          <w:szCs w:val="44"/>
          <w:highlight w:val="none"/>
        </w:rPr>
      </w:pPr>
    </w:p>
    <w:p>
      <w:pPr>
        <w:pStyle w:val="24"/>
        <w:spacing w:line="360" w:lineRule="auto"/>
        <w:ind w:firstLine="640" w:firstLineChars="200"/>
        <w:rPr>
          <w:rFonts w:hAnsi="仿宋" w:cs="Times New Roman"/>
          <w:sz w:val="32"/>
          <w:szCs w:val="32"/>
        </w:rPr>
      </w:pPr>
      <w:bookmarkStart w:id="55" w:name="_Toc15377226"/>
      <w:r>
        <w:rPr>
          <w:rFonts w:hAnsi="仿宋" w:cs="Times New Roman"/>
          <w:sz w:val="32"/>
          <w:szCs w:val="32"/>
        </w:rPr>
        <w:t>1.财政拨款收入：指单位从同级财政部门取得的财政预算资金。</w:t>
      </w:r>
    </w:p>
    <w:p>
      <w:pPr>
        <w:pStyle w:val="24"/>
        <w:spacing w:line="360" w:lineRule="auto"/>
        <w:ind w:firstLine="640" w:firstLineChars="200"/>
        <w:rPr>
          <w:rFonts w:hAnsi="仿宋" w:cs="Times New Roman"/>
          <w:sz w:val="32"/>
          <w:szCs w:val="32"/>
        </w:rPr>
      </w:pPr>
      <w:r>
        <w:rPr>
          <w:rFonts w:hint="eastAsia" w:hAnsi="仿宋" w:cs="Times New Roman"/>
          <w:sz w:val="32"/>
          <w:szCs w:val="32"/>
        </w:rPr>
        <w:t>2</w:t>
      </w:r>
      <w:r>
        <w:rPr>
          <w:rFonts w:hAnsi="仿宋" w:cs="Times New Roman"/>
          <w:sz w:val="32"/>
          <w:szCs w:val="32"/>
        </w:rPr>
        <w:t>.其他收入：指单位取得的除上述收入以外的各项收入。主要是</w:t>
      </w:r>
      <w:r>
        <w:rPr>
          <w:rFonts w:hint="eastAsia" w:hAnsi="仿宋" w:cs="Times New Roman"/>
          <w:sz w:val="32"/>
          <w:szCs w:val="32"/>
        </w:rPr>
        <w:t>省厅专项经费拨款、存量资金</w:t>
      </w:r>
      <w:r>
        <w:rPr>
          <w:rFonts w:hAnsi="仿宋" w:cs="Times New Roman"/>
          <w:sz w:val="32"/>
          <w:szCs w:val="32"/>
        </w:rPr>
        <w:t xml:space="preserve">等。 </w:t>
      </w:r>
    </w:p>
    <w:p>
      <w:pPr>
        <w:pStyle w:val="24"/>
        <w:spacing w:line="360" w:lineRule="auto"/>
        <w:ind w:firstLine="640" w:firstLineChars="200"/>
        <w:rPr>
          <w:rFonts w:hAnsi="仿宋" w:cs="Times New Roman"/>
          <w:sz w:val="32"/>
          <w:szCs w:val="32"/>
        </w:rPr>
      </w:pPr>
      <w:r>
        <w:rPr>
          <w:rFonts w:hint="eastAsia" w:hAnsi="仿宋" w:cs="Times New Roman"/>
          <w:sz w:val="32"/>
          <w:szCs w:val="32"/>
        </w:rPr>
        <w:t>3</w:t>
      </w:r>
      <w:r>
        <w:rPr>
          <w:rFonts w:hAnsi="仿宋" w:cs="Times New Roman"/>
          <w:sz w:val="32"/>
          <w:szCs w:val="32"/>
        </w:rPr>
        <w:t xml:space="preserve">.年初结转和结余：指以前年度尚未完成、结转到本年按有关规定继续使用的资金。 </w:t>
      </w:r>
    </w:p>
    <w:p>
      <w:pPr>
        <w:pStyle w:val="24"/>
        <w:spacing w:line="360" w:lineRule="auto"/>
        <w:ind w:firstLine="640" w:firstLineChars="200"/>
        <w:rPr>
          <w:rFonts w:hAnsi="仿宋" w:cs="Times New Roman"/>
          <w:sz w:val="32"/>
          <w:szCs w:val="32"/>
        </w:rPr>
      </w:pPr>
      <w:r>
        <w:rPr>
          <w:rFonts w:hint="eastAsia" w:hAnsi="仿宋" w:cs="Times New Roman"/>
          <w:sz w:val="32"/>
          <w:szCs w:val="32"/>
        </w:rPr>
        <w:t xml:space="preserve">4. </w:t>
      </w:r>
      <w:r>
        <w:rPr>
          <w:rFonts w:hAnsi="仿宋" w:cs="Times New Roman"/>
          <w:sz w:val="32"/>
          <w:szCs w:val="32"/>
        </w:rPr>
        <w:t>年末结转和结余：指单位按有关规定结转到下年或以后年度继续使用的资金。</w:t>
      </w:r>
    </w:p>
    <w:p>
      <w:pPr>
        <w:pStyle w:val="24"/>
        <w:spacing w:line="360" w:lineRule="auto"/>
        <w:ind w:firstLine="640" w:firstLineChars="200"/>
        <w:rPr>
          <w:rFonts w:hAnsi="仿宋" w:cs="Times New Roman"/>
          <w:sz w:val="32"/>
          <w:szCs w:val="32"/>
        </w:rPr>
      </w:pPr>
      <w:r>
        <w:rPr>
          <w:rFonts w:hint="eastAsia" w:hAnsi="仿宋" w:cs="Times New Roman"/>
          <w:bCs/>
          <w:color w:val="auto"/>
          <w:sz w:val="32"/>
          <w:szCs w:val="32"/>
        </w:rPr>
        <w:t>5.一般公共服务</w:t>
      </w:r>
      <w:r>
        <w:rPr>
          <w:rFonts w:hint="eastAsia" w:hAnsi="仿宋" w:cs="Times New Roman"/>
          <w:bCs/>
          <w:color w:val="auto"/>
          <w:sz w:val="32"/>
          <w:szCs w:val="32"/>
          <w:lang w:val="en-US" w:eastAsia="zh-CN"/>
        </w:rPr>
        <w:t>支出</w:t>
      </w:r>
      <w:r>
        <w:rPr>
          <w:rFonts w:hint="eastAsia" w:hAnsi="仿宋" w:cs="Times New Roman"/>
          <w:bCs/>
          <w:color w:val="auto"/>
          <w:sz w:val="32"/>
          <w:szCs w:val="32"/>
        </w:rPr>
        <w:t>（类）政府办公厅（室）及相关机构事务（款）其他政府办公厅（室）及相关机构事务支出（项）：指用于其他政府办公厅（室）及相关机构事务支出。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6. 公共安全支出（类）公安（款）行政运行（项）:指行政单位的基本支出。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7. 公共安全支出（类）公安（款）一般行政管理事务（项）:指行政单位未单独设置项级科目的其他项目支出。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8. 公共安全支出（类）公安（款）信息化建设（项）：指各级公安机关用于非涉密的信息网络建设和运行维护相关支出。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9.公共安全支出（类）公安（款）执法办案（项）:指公安机关从事行政执法、刑事司法及侦查办案等相关活动的支出。</w:t>
      </w:r>
    </w:p>
    <w:p>
      <w:pPr>
        <w:pStyle w:val="24"/>
        <w:spacing w:line="360" w:lineRule="auto"/>
        <w:ind w:firstLine="640" w:firstLineChars="200"/>
        <w:rPr>
          <w:rFonts w:hAnsi="仿宋" w:cs="Times New Roman"/>
          <w:sz w:val="32"/>
          <w:szCs w:val="32"/>
        </w:rPr>
      </w:pPr>
      <w:r>
        <w:rPr>
          <w:rFonts w:hint="eastAsia" w:hAnsi="仿宋" w:cs="Times New Roman"/>
          <w:color w:val="auto"/>
          <w:sz w:val="32"/>
          <w:szCs w:val="32"/>
        </w:rPr>
        <w:t>10.公共安全支出（类）公安（款）</w:t>
      </w:r>
      <w:r>
        <w:rPr>
          <w:rFonts w:hint="eastAsia" w:hAnsi="仿宋" w:cs="Times New Roman"/>
          <w:color w:val="auto"/>
          <w:sz w:val="32"/>
          <w:szCs w:val="32"/>
          <w:lang w:val="en-US" w:eastAsia="zh-CN"/>
        </w:rPr>
        <w:t>事业运行</w:t>
      </w:r>
      <w:r>
        <w:rPr>
          <w:rFonts w:hint="eastAsia" w:hAnsi="仿宋" w:cs="Times New Roman"/>
          <w:color w:val="auto"/>
          <w:sz w:val="32"/>
          <w:szCs w:val="32"/>
        </w:rPr>
        <w:t>（项）:指</w:t>
      </w:r>
      <w:r>
        <w:rPr>
          <w:rFonts w:hint="eastAsia" w:hAnsi="仿宋" w:cs="Times New Roman"/>
          <w:color w:val="auto"/>
          <w:sz w:val="32"/>
          <w:szCs w:val="32"/>
          <w:lang w:val="en-US" w:eastAsia="zh-CN"/>
        </w:rPr>
        <w:t>事业</w:t>
      </w:r>
      <w:r>
        <w:rPr>
          <w:rFonts w:hint="eastAsia" w:hAnsi="仿宋" w:cs="Times New Roman"/>
          <w:color w:val="auto"/>
          <w:sz w:val="32"/>
          <w:szCs w:val="32"/>
        </w:rPr>
        <w:t>单位的基本支出。</w:t>
      </w:r>
    </w:p>
    <w:p>
      <w:pPr>
        <w:pStyle w:val="24"/>
        <w:spacing w:line="360" w:lineRule="auto"/>
        <w:ind w:firstLine="640" w:firstLineChars="200"/>
        <w:rPr>
          <w:rFonts w:hint="eastAsia" w:hAnsi="仿宋" w:cs="Times New Roman"/>
          <w:sz w:val="32"/>
          <w:szCs w:val="32"/>
        </w:rPr>
      </w:pPr>
      <w:r>
        <w:rPr>
          <w:rFonts w:hint="eastAsia" w:hAnsi="仿宋" w:cs="Times New Roman"/>
          <w:sz w:val="32"/>
          <w:szCs w:val="32"/>
        </w:rPr>
        <w:t>11.公共安全支出（类）公安（款）其他公安支出（项）:指其他用于公安方面的支出。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3</w:t>
      </w:r>
      <w:r>
        <w:rPr>
          <w:rFonts w:hint="eastAsia" w:hAnsi="仿宋" w:cs="Times New Roman"/>
          <w:sz w:val="32"/>
          <w:szCs w:val="32"/>
        </w:rPr>
        <w:t>.公共安全支出（类）强制隔离戒毒（款）行政运行（项）: 指行政单位的基本支出。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4</w:t>
      </w:r>
      <w:r>
        <w:rPr>
          <w:rFonts w:hint="eastAsia" w:hAnsi="仿宋" w:cs="Times New Roman"/>
          <w:sz w:val="32"/>
          <w:szCs w:val="32"/>
        </w:rPr>
        <w:t>.公共安全支出（类）强制隔离戒毒（款）一般行政管理事务（项）: 指行政单位未单独设置项级科目的其他项目支出。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1</w:t>
      </w:r>
      <w:r>
        <w:rPr>
          <w:rFonts w:hint="eastAsia" w:hAnsi="仿宋" w:cs="Times New Roman"/>
          <w:sz w:val="32"/>
          <w:szCs w:val="32"/>
          <w:lang w:val="en-US" w:eastAsia="zh-CN"/>
        </w:rPr>
        <w:t>5</w:t>
      </w:r>
      <w:r>
        <w:rPr>
          <w:rFonts w:hint="eastAsia" w:hAnsi="仿宋" w:cs="Times New Roman"/>
          <w:sz w:val="32"/>
          <w:szCs w:val="32"/>
        </w:rPr>
        <w:t>.公共安全支出（类）强制隔离戒毒（款）强制隔离戒毒人员生活（项）:指强制隔离戒毒管理部门及强制隔离戒毒所用于强制隔离戒毒人员生活的各项开支。</w:t>
      </w:r>
    </w:p>
    <w:p>
      <w:pPr>
        <w:pStyle w:val="24"/>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rPr>
        <w:t>1</w:t>
      </w:r>
      <w:r>
        <w:rPr>
          <w:rFonts w:hint="eastAsia" w:hAnsi="仿宋" w:cs="Times New Roman"/>
          <w:color w:val="auto"/>
          <w:sz w:val="32"/>
          <w:szCs w:val="32"/>
          <w:lang w:val="en-US" w:eastAsia="zh-CN"/>
        </w:rPr>
        <w:t>6</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（款）行政单位离退休（项）:指未实行归口管理的行政单位（包括实行公务员管理的事业单位）开支的离退休支出。</w:t>
      </w:r>
    </w:p>
    <w:p>
      <w:pPr>
        <w:pStyle w:val="24"/>
        <w:spacing w:line="360" w:lineRule="auto"/>
        <w:ind w:firstLine="640" w:firstLineChars="200"/>
        <w:rPr>
          <w:rFonts w:hAnsi="仿宋" w:cs="Times New Roman"/>
          <w:color w:val="auto"/>
          <w:sz w:val="32"/>
          <w:szCs w:val="32"/>
        </w:rPr>
      </w:pPr>
      <w:r>
        <w:rPr>
          <w:rFonts w:hint="eastAsia" w:hAnsi="仿宋" w:cs="Times New Roman"/>
          <w:color w:val="auto"/>
          <w:sz w:val="32"/>
          <w:szCs w:val="32"/>
          <w:lang w:val="en-US" w:eastAsia="zh-CN"/>
        </w:rPr>
        <w:t>17</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w:t>
      </w:r>
      <w:r>
        <w:rPr>
          <w:rFonts w:hint="eastAsia" w:hAnsi="仿宋" w:cs="Times New Roman"/>
          <w:color w:val="auto"/>
          <w:sz w:val="32"/>
          <w:szCs w:val="32"/>
          <w:lang w:val="en-US" w:eastAsia="zh-CN"/>
        </w:rPr>
        <w:t>事业</w:t>
      </w:r>
      <w:r>
        <w:rPr>
          <w:rFonts w:hint="eastAsia" w:hAnsi="仿宋" w:cs="Times New Roman"/>
          <w:color w:val="auto"/>
          <w:sz w:val="32"/>
          <w:szCs w:val="32"/>
        </w:rPr>
        <w:t>单位离退休（项）:指未实行归口管理的</w:t>
      </w:r>
      <w:r>
        <w:rPr>
          <w:rFonts w:hint="eastAsia" w:hAnsi="仿宋" w:cs="Times New Roman"/>
          <w:color w:val="auto"/>
          <w:sz w:val="32"/>
          <w:szCs w:val="32"/>
          <w:lang w:val="en-US" w:eastAsia="zh-CN"/>
        </w:rPr>
        <w:t>事业</w:t>
      </w:r>
      <w:r>
        <w:rPr>
          <w:rFonts w:hint="eastAsia" w:hAnsi="仿宋" w:cs="Times New Roman"/>
          <w:color w:val="auto"/>
          <w:sz w:val="32"/>
          <w:szCs w:val="32"/>
        </w:rPr>
        <w:t>单位（包括实行公务员管理的事业单位）开支的离退休支出。</w:t>
      </w:r>
    </w:p>
    <w:p>
      <w:pPr>
        <w:pStyle w:val="24"/>
        <w:spacing w:line="360" w:lineRule="auto"/>
        <w:ind w:firstLine="640" w:firstLineChars="200"/>
        <w:rPr>
          <w:rFonts w:hAnsi="仿宋" w:cs="Times New Roman"/>
          <w:color w:val="auto"/>
          <w:sz w:val="32"/>
          <w:szCs w:val="32"/>
        </w:rPr>
      </w:pPr>
      <w:r>
        <w:rPr>
          <w:rFonts w:hint="eastAsia" w:hAnsi="仿宋" w:cs="Times New Roman"/>
          <w:color w:val="auto"/>
          <w:sz w:val="32"/>
          <w:szCs w:val="32"/>
        </w:rPr>
        <w:t>1</w:t>
      </w:r>
      <w:r>
        <w:rPr>
          <w:rFonts w:hint="eastAsia" w:hAnsi="仿宋" w:cs="Times New Roman"/>
          <w:color w:val="auto"/>
          <w:sz w:val="32"/>
          <w:szCs w:val="32"/>
          <w:lang w:val="en-US" w:eastAsia="zh-CN"/>
        </w:rPr>
        <w:t>8</w:t>
      </w:r>
      <w:r>
        <w:rPr>
          <w:rFonts w:hint="eastAsia" w:hAnsi="仿宋" w:cs="Times New Roman"/>
          <w:color w:val="auto"/>
          <w:sz w:val="32"/>
          <w:szCs w:val="32"/>
        </w:rPr>
        <w:t>.社会保障和就业支出（类）行政事业单位</w:t>
      </w:r>
      <w:r>
        <w:rPr>
          <w:rFonts w:hint="eastAsia" w:hAnsi="仿宋" w:cs="Times New Roman"/>
          <w:color w:val="auto"/>
          <w:sz w:val="32"/>
          <w:szCs w:val="32"/>
          <w:lang w:val="en-US" w:eastAsia="zh-CN"/>
        </w:rPr>
        <w:t>养老支出</w:t>
      </w:r>
      <w:r>
        <w:rPr>
          <w:rFonts w:hint="eastAsia" w:hAnsi="仿宋" w:cs="Times New Roman"/>
          <w:color w:val="auto"/>
          <w:sz w:val="32"/>
          <w:szCs w:val="32"/>
        </w:rPr>
        <w:t>（款）机关事业单位基本养老保险缴费支出（项）:指机关事业单位实施养老保险制度由单位缴纳的基本养老保险费支出。</w:t>
      </w:r>
    </w:p>
    <w:p>
      <w:pPr>
        <w:pStyle w:val="24"/>
        <w:spacing w:line="360" w:lineRule="auto"/>
        <w:ind w:firstLine="640" w:firstLineChars="200"/>
        <w:rPr>
          <w:rFonts w:hAnsi="仿宋" w:cs="Times New Roman"/>
          <w:color w:val="auto"/>
          <w:sz w:val="32"/>
          <w:szCs w:val="32"/>
        </w:rPr>
      </w:pPr>
      <w:r>
        <w:rPr>
          <w:rFonts w:hint="eastAsia" w:hAnsi="仿宋" w:cs="Times New Roman"/>
          <w:color w:val="auto"/>
          <w:sz w:val="32"/>
          <w:szCs w:val="32"/>
        </w:rPr>
        <w:t>1</w:t>
      </w:r>
      <w:r>
        <w:rPr>
          <w:rFonts w:hint="eastAsia" w:hAnsi="仿宋" w:cs="Times New Roman"/>
          <w:color w:val="auto"/>
          <w:sz w:val="32"/>
          <w:szCs w:val="32"/>
          <w:lang w:val="en-US" w:eastAsia="zh-CN"/>
        </w:rPr>
        <w:t>9</w:t>
      </w:r>
      <w:r>
        <w:rPr>
          <w:rFonts w:hint="eastAsia" w:hAnsi="仿宋" w:cs="Times New Roman"/>
          <w:color w:val="auto"/>
          <w:sz w:val="32"/>
          <w:szCs w:val="32"/>
        </w:rPr>
        <w:t>.社会保障和就业支出（类）抚恤（款）死亡抚恤（项）:指按规定用于烈士和牺牲、病故人员家属的一次性和定期抚恤金以及丧葬补助费。</w:t>
      </w:r>
    </w:p>
    <w:p>
      <w:pPr>
        <w:pStyle w:val="24"/>
        <w:spacing w:line="360" w:lineRule="auto"/>
        <w:ind w:firstLine="640" w:firstLineChars="200"/>
        <w:rPr>
          <w:rFonts w:hint="eastAsia" w:hAnsi="仿宋" w:cs="Times New Roman"/>
          <w:color w:val="auto"/>
          <w:sz w:val="32"/>
          <w:szCs w:val="32"/>
        </w:rPr>
      </w:pPr>
      <w:r>
        <w:rPr>
          <w:rFonts w:hint="eastAsia" w:hAnsi="仿宋" w:cs="Times New Roman"/>
          <w:color w:val="auto"/>
          <w:sz w:val="32"/>
          <w:szCs w:val="32"/>
          <w:lang w:val="en-US" w:eastAsia="zh-CN"/>
        </w:rPr>
        <w:t>20</w:t>
      </w:r>
      <w:r>
        <w:rPr>
          <w:rFonts w:hint="eastAsia" w:hAnsi="仿宋" w:cs="Times New Roman"/>
          <w:color w:val="auto"/>
          <w:sz w:val="32"/>
          <w:szCs w:val="32"/>
        </w:rPr>
        <w:t>.卫生健康支出（类）行政事业单位医疗（款）行政单位医疗（项）:指财政部门集中安排的行政单位基本医疗保险缴费经费，未参加医疗保险的行政单位的公费医疗经费，按国家规定享受离休人员、红军老战士待遇人员的医疗经费。</w:t>
      </w:r>
    </w:p>
    <w:p>
      <w:pPr>
        <w:pStyle w:val="24"/>
        <w:spacing w:line="360" w:lineRule="auto"/>
        <w:ind w:firstLine="640" w:firstLineChars="200"/>
        <w:rPr>
          <w:rFonts w:hAnsi="仿宋" w:cs="Times New Roman"/>
          <w:sz w:val="32"/>
          <w:szCs w:val="32"/>
        </w:rPr>
      </w:pPr>
      <w:r>
        <w:rPr>
          <w:rFonts w:hint="eastAsia" w:hAnsi="仿宋" w:cs="Times New Roman"/>
          <w:color w:val="auto"/>
          <w:sz w:val="32"/>
          <w:szCs w:val="32"/>
          <w:lang w:val="en-US" w:eastAsia="zh-CN"/>
        </w:rPr>
        <w:t>21</w:t>
      </w:r>
      <w:r>
        <w:rPr>
          <w:rFonts w:hint="eastAsia" w:hAnsi="仿宋" w:cs="Times New Roman"/>
          <w:color w:val="auto"/>
          <w:sz w:val="32"/>
          <w:szCs w:val="32"/>
        </w:rPr>
        <w:t>.住房保障支出（类）住房改革支出（款）住房公积金（项）: 指行政事业单位按人力资源和社会保障部、财政部规定的基本工资和津</w:t>
      </w:r>
      <w:r>
        <w:rPr>
          <w:rFonts w:hint="eastAsia" w:hAnsi="仿宋" w:cs="Times New Roman"/>
          <w:color w:val="auto"/>
          <w:sz w:val="32"/>
          <w:szCs w:val="32"/>
          <w:lang w:val="en-US" w:eastAsia="zh-CN"/>
        </w:rPr>
        <w:t>补贴。</w:t>
      </w:r>
    </w:p>
    <w:p>
      <w:pPr>
        <w:spacing w:line="360" w:lineRule="auto"/>
        <w:ind w:firstLine="640" w:firstLineChars="20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lang w:val="en-US" w:eastAsia="zh-CN"/>
        </w:rPr>
        <w:t>2</w:t>
      </w:r>
      <w:r>
        <w:rPr>
          <w:rFonts w:ascii="仿宋" w:hAnsi="仿宋" w:eastAsia="仿宋"/>
          <w:color w:val="000000"/>
          <w:sz w:val="32"/>
          <w:szCs w:val="32"/>
        </w:rPr>
        <w:t>.基本支出：指为保障机构正常运转、完成日常工作任务而发生的人员支出和公用支出。</w:t>
      </w:r>
    </w:p>
    <w:p>
      <w:pPr>
        <w:spacing w:line="360" w:lineRule="auto"/>
        <w:ind w:firstLine="640" w:firstLineChars="200"/>
        <w:rPr>
          <w:rFonts w:ascii="仿宋" w:hAnsi="仿宋" w:eastAsia="仿宋"/>
          <w:color w:val="000000"/>
        </w:rPr>
      </w:pPr>
      <w:r>
        <w:rPr>
          <w:rFonts w:ascii="仿宋" w:hAnsi="仿宋" w:eastAsia="仿宋"/>
          <w:color w:val="000000"/>
          <w:sz w:val="32"/>
          <w:szCs w:val="32"/>
        </w:rPr>
        <w:t>2</w:t>
      </w:r>
      <w:r>
        <w:rPr>
          <w:rFonts w:hint="eastAsia" w:ascii="仿宋" w:hAnsi="仿宋" w:eastAsia="仿宋"/>
          <w:color w:val="000000"/>
          <w:sz w:val="32"/>
          <w:szCs w:val="32"/>
          <w:lang w:val="en-US" w:eastAsia="zh-CN"/>
        </w:rPr>
        <w:t>3</w:t>
      </w:r>
      <w:r>
        <w:rPr>
          <w:rFonts w:ascii="仿宋" w:hAnsi="仿宋" w:eastAsia="仿宋"/>
          <w:color w:val="000000"/>
          <w:sz w:val="32"/>
          <w:szCs w:val="32"/>
        </w:rPr>
        <w:t>.项目支出：指在基本支出之外为完成特定行政任务和事业发展目标所发生的支出。</w:t>
      </w:r>
    </w:p>
    <w:p>
      <w:pPr>
        <w:pStyle w:val="24"/>
        <w:spacing w:line="360" w:lineRule="auto"/>
        <w:ind w:firstLine="640" w:firstLineChars="200"/>
        <w:rPr>
          <w:rFonts w:hAnsi="仿宋" w:cs="Times New Roman"/>
          <w:sz w:val="32"/>
          <w:szCs w:val="32"/>
        </w:rPr>
      </w:pPr>
      <w:r>
        <w:rPr>
          <w:rFonts w:hint="eastAsia" w:hAnsi="仿宋" w:cs="Times New Roman"/>
          <w:sz w:val="32"/>
          <w:szCs w:val="32"/>
        </w:rPr>
        <w:t>2</w:t>
      </w:r>
      <w:r>
        <w:rPr>
          <w:rFonts w:hint="eastAsia" w:hAnsi="仿宋" w:cs="Times New Roman"/>
          <w:sz w:val="32"/>
          <w:szCs w:val="32"/>
          <w:lang w:val="en-US" w:eastAsia="zh-CN"/>
        </w:rPr>
        <w:t>4</w:t>
      </w:r>
      <w:r>
        <w:rPr>
          <w:rFonts w:hAnsi="仿宋"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4"/>
        <w:spacing w:line="360" w:lineRule="auto"/>
        <w:ind w:firstLine="640" w:firstLineChars="200"/>
        <w:rPr>
          <w:rFonts w:hAnsi="仿宋" w:cs="Times New Roman"/>
          <w:sz w:val="32"/>
          <w:szCs w:val="32"/>
        </w:rPr>
      </w:pPr>
      <w:r>
        <w:rPr>
          <w:rFonts w:hint="eastAsia" w:hAnsi="仿宋" w:cs="Times New Roman"/>
          <w:sz w:val="32"/>
          <w:szCs w:val="32"/>
          <w:lang w:val="en-US" w:eastAsia="zh-CN"/>
        </w:rPr>
        <w:t>25</w:t>
      </w:r>
      <w:r>
        <w:rPr>
          <w:rFonts w:hAnsi="仿宋"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r>
        <w:rPr>
          <w:rFonts w:hint="eastAsia" w:hAnsi="仿宋" w:cs="Times New Roman"/>
          <w:sz w:val="32"/>
          <w:szCs w:val="32"/>
        </w:rPr>
        <w:t>。</w:t>
      </w:r>
    </w:p>
    <w:p>
      <w:pPr>
        <w:spacing w:line="600" w:lineRule="exact"/>
        <w:jc w:val="center"/>
        <w:outlineLvl w:val="0"/>
        <w:rPr>
          <w:rStyle w:val="26"/>
          <w:rFonts w:hint="eastAsia" w:ascii="黑体" w:hAnsi="黑体" w:eastAsia="黑体"/>
          <w:b w:val="0"/>
          <w:color w:val="auto"/>
          <w:highlight w:val="none"/>
        </w:rPr>
      </w:pPr>
      <w:r>
        <w:rPr>
          <w:rFonts w:ascii="宋体"/>
          <w:b/>
          <w:color w:val="auto"/>
          <w:sz w:val="44"/>
          <w:szCs w:val="44"/>
          <w:highlight w:val="none"/>
        </w:rPr>
        <w:br w:type="page"/>
      </w:r>
      <w:bookmarkStart w:id="56" w:name="_Toc15396614"/>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四部分 附件</w:t>
      </w:r>
      <w:bookmarkEnd w:id="56"/>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宋体" w:eastAsia="方正小标宋简体"/>
          <w:color w:val="000000"/>
          <w:kern w:val="0"/>
          <w:sz w:val="44"/>
          <w:szCs w:val="44"/>
          <w:lang w:val="en-US" w:eastAsia="zh-CN"/>
        </w:rPr>
      </w:pPr>
      <w:r>
        <w:rPr>
          <w:rFonts w:hint="eastAsia" w:ascii="方正小标宋简体" w:hAnsi="宋体" w:eastAsia="方正小标宋简体"/>
          <w:color w:val="000000"/>
          <w:kern w:val="0"/>
          <w:sz w:val="44"/>
          <w:szCs w:val="44"/>
          <w:lang w:val="en-US" w:eastAsia="zh-CN"/>
        </w:rPr>
        <w:t>遂宁市公安局</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hAnsi="宋体" w:eastAsia="方正小标宋简体"/>
          <w:color w:val="000000"/>
          <w:kern w:val="0"/>
          <w:sz w:val="44"/>
          <w:szCs w:val="44"/>
          <w:lang w:val="zh-CN"/>
        </w:rPr>
      </w:pPr>
      <w:r>
        <w:rPr>
          <w:rFonts w:ascii="方正小标宋简体" w:hAnsi="宋体" w:eastAsia="方正小标宋简体"/>
          <w:color w:val="000000"/>
          <w:kern w:val="0"/>
          <w:sz w:val="44"/>
          <w:szCs w:val="44"/>
        </w:rPr>
        <w:t>202</w:t>
      </w:r>
      <w:r>
        <w:rPr>
          <w:rFonts w:hint="eastAsia" w:ascii="方正小标宋简体" w:hAnsi="宋体" w:eastAsia="方正小标宋简体"/>
          <w:color w:val="000000"/>
          <w:kern w:val="0"/>
          <w:sz w:val="44"/>
          <w:szCs w:val="44"/>
          <w:lang w:val="en-US" w:eastAsia="zh-CN"/>
        </w:rPr>
        <w:t>2</w:t>
      </w:r>
      <w:r>
        <w:rPr>
          <w:rFonts w:hint="eastAsia" w:ascii="方正小标宋简体" w:hAnsi="宋体" w:eastAsia="方正小标宋简体"/>
          <w:color w:val="000000"/>
          <w:kern w:val="0"/>
          <w:sz w:val="44"/>
          <w:szCs w:val="44"/>
        </w:rPr>
        <w:t>年部门</w:t>
      </w:r>
      <w:r>
        <w:rPr>
          <w:rFonts w:hint="eastAsia" w:ascii="方正小标宋简体" w:hAnsi="宋体" w:eastAsia="方正小标宋简体"/>
          <w:color w:val="000000"/>
          <w:kern w:val="0"/>
          <w:sz w:val="44"/>
          <w:szCs w:val="44"/>
          <w:lang w:val="zh-CN"/>
        </w:rPr>
        <w:t>整体支出绩效评价报告</w:t>
      </w:r>
    </w:p>
    <w:p>
      <w:pPr>
        <w:keepNext w:val="0"/>
        <w:keepLines w:val="0"/>
        <w:pageBreakBefore w:val="0"/>
        <w:widowControl/>
        <w:kinsoku/>
        <w:wordWrap/>
        <w:overflowPunct/>
        <w:topLinePunct w:val="0"/>
        <w:autoSpaceDE/>
        <w:autoSpaceDN/>
        <w:bidi w:val="0"/>
        <w:adjustRightInd w:val="0"/>
        <w:snapToGrid w:val="0"/>
        <w:spacing w:line="640" w:lineRule="exact"/>
        <w:ind w:firstLine="480" w:firstLineChars="200"/>
        <w:contextualSpacing/>
        <w:jc w:val="left"/>
        <w:textAlignment w:val="auto"/>
        <w:rPr>
          <w:rFonts w:ascii="黑体" w:hAnsi="宋体" w:eastAsia="黑体" w:cs="宋体"/>
          <w:color w:val="000000"/>
          <w:kern w:val="0"/>
          <w:sz w:val="24"/>
          <w:szCs w:val="32"/>
          <w:shd w:val="clear" w:color="auto" w:fill="FFFFFF"/>
        </w:rPr>
      </w:pP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pPr>
        <w:keepNext w:val="0"/>
        <w:keepLines w:val="0"/>
        <w:pageBreakBefore w:val="0"/>
        <w:kinsoku/>
        <w:wordWrap/>
        <w:overflowPunct/>
        <w:topLinePunct w:val="0"/>
        <w:autoSpaceDE/>
        <w:autoSpaceDN/>
        <w:bidi w:val="0"/>
        <w:spacing w:after="0" w:line="580" w:lineRule="exact"/>
        <w:ind w:firstLine="640" w:firstLineChars="200"/>
        <w:jc w:val="both"/>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根据遂宁市</w:t>
      </w:r>
      <w:r>
        <w:rPr>
          <w:rFonts w:hint="eastAsia" w:ascii="仿宋_GB2312" w:hAnsi="宋体" w:eastAsia="仿宋_GB2312" w:cs="宋体"/>
          <w:color w:val="auto"/>
          <w:kern w:val="0"/>
          <w:sz w:val="32"/>
          <w:szCs w:val="32"/>
          <w:shd w:val="clear" w:color="auto" w:fill="FFFFFF"/>
          <w:lang w:val="zh-CN"/>
        </w:rPr>
        <w:t>财政局《关于开展 20</w:t>
      </w:r>
      <w:r>
        <w:rPr>
          <w:rFonts w:hint="eastAsia" w:ascii="仿宋_GB2312" w:hAnsi="宋体" w:eastAsia="仿宋_GB2312" w:cs="宋体"/>
          <w:color w:val="auto"/>
          <w:kern w:val="0"/>
          <w:sz w:val="32"/>
          <w:szCs w:val="32"/>
          <w:shd w:val="clear" w:color="auto" w:fill="FFFFFF"/>
          <w:lang w:val="en-US" w:eastAsia="zh-CN"/>
        </w:rPr>
        <w:t>23</w:t>
      </w:r>
      <w:r>
        <w:rPr>
          <w:rFonts w:hint="eastAsia" w:ascii="仿宋_GB2312" w:hAnsi="宋体" w:eastAsia="仿宋_GB2312" w:cs="宋体"/>
          <w:color w:val="auto"/>
          <w:kern w:val="0"/>
          <w:sz w:val="32"/>
          <w:szCs w:val="32"/>
          <w:shd w:val="clear" w:color="auto" w:fill="FFFFFF"/>
          <w:lang w:val="zh-CN"/>
        </w:rPr>
        <w:t xml:space="preserve"> 年</w:t>
      </w:r>
      <w:r>
        <w:rPr>
          <w:rFonts w:hint="eastAsia" w:ascii="仿宋_GB2312" w:hAnsi="宋体" w:eastAsia="仿宋_GB2312" w:cs="宋体"/>
          <w:color w:val="auto"/>
          <w:kern w:val="0"/>
          <w:sz w:val="32"/>
          <w:szCs w:val="32"/>
          <w:shd w:val="clear" w:color="auto" w:fill="FFFFFF"/>
          <w:lang w:val="en-US" w:eastAsia="zh-CN"/>
        </w:rPr>
        <w:t>部门、项目、政策支出绩效自评</w:t>
      </w:r>
      <w:r>
        <w:rPr>
          <w:rFonts w:hint="eastAsia" w:ascii="仿宋_GB2312" w:hAnsi="宋体" w:eastAsia="仿宋_GB2312" w:cs="宋体"/>
          <w:color w:val="auto"/>
          <w:kern w:val="0"/>
          <w:sz w:val="32"/>
          <w:szCs w:val="32"/>
          <w:shd w:val="clear" w:color="auto" w:fill="FFFFFF"/>
          <w:lang w:val="zh-CN"/>
        </w:rPr>
        <w:t>工作的通知》（遂财绩〔202</w:t>
      </w:r>
      <w:r>
        <w:rPr>
          <w:rFonts w:hint="eastAsia" w:ascii="仿宋_GB2312" w:hAnsi="宋体" w:eastAsia="仿宋_GB2312" w:cs="宋体"/>
          <w:color w:val="auto"/>
          <w:kern w:val="0"/>
          <w:sz w:val="32"/>
          <w:szCs w:val="32"/>
          <w:shd w:val="clear" w:color="auto" w:fill="FFFFFF"/>
          <w:lang w:val="en-US" w:eastAsia="zh-CN"/>
        </w:rPr>
        <w:t>3</w:t>
      </w:r>
      <w:r>
        <w:rPr>
          <w:rFonts w:hint="eastAsia" w:ascii="仿宋_GB2312" w:hAnsi="宋体" w:eastAsia="仿宋_GB2312" w:cs="宋体"/>
          <w:color w:val="auto"/>
          <w:kern w:val="0"/>
          <w:sz w:val="32"/>
          <w:szCs w:val="32"/>
          <w:shd w:val="clear" w:color="auto" w:fill="FFFFFF"/>
          <w:lang w:val="zh-CN"/>
        </w:rPr>
        <w:t>〕</w:t>
      </w:r>
      <w:r>
        <w:rPr>
          <w:rFonts w:hint="eastAsia" w:ascii="仿宋_GB2312" w:hAnsi="宋体" w:eastAsia="仿宋_GB2312" w:cs="宋体"/>
          <w:color w:val="auto"/>
          <w:kern w:val="0"/>
          <w:sz w:val="32"/>
          <w:szCs w:val="32"/>
          <w:shd w:val="clear" w:color="auto" w:fill="FFFFFF"/>
          <w:lang w:val="en-US" w:eastAsia="zh-CN"/>
        </w:rPr>
        <w:t>2</w:t>
      </w:r>
      <w:r>
        <w:rPr>
          <w:rFonts w:hint="eastAsia" w:ascii="仿宋_GB2312" w:hAnsi="宋体" w:eastAsia="仿宋_GB2312" w:cs="宋体"/>
          <w:color w:val="auto"/>
          <w:kern w:val="0"/>
          <w:sz w:val="32"/>
          <w:szCs w:val="32"/>
          <w:shd w:val="clear" w:color="auto" w:fill="FFFFFF"/>
          <w:lang w:val="zh-CN"/>
        </w:rPr>
        <w:t>号）要求，</w:t>
      </w:r>
      <w:r>
        <w:rPr>
          <w:rFonts w:hint="eastAsia" w:ascii="仿宋_GB2312" w:hAnsi="宋体" w:eastAsia="仿宋_GB2312" w:cs="宋体"/>
          <w:color w:val="auto"/>
          <w:kern w:val="0"/>
          <w:sz w:val="32"/>
          <w:szCs w:val="32"/>
          <w:shd w:val="clear" w:color="auto" w:fill="FFFFFF"/>
          <w:lang w:val="en-US" w:eastAsia="zh-CN"/>
        </w:rPr>
        <w:t>我单位</w:t>
      </w:r>
      <w:r>
        <w:rPr>
          <w:rFonts w:hint="eastAsia" w:ascii="仿宋_GB2312" w:hAnsi="宋体" w:eastAsia="仿宋_GB2312" w:cs="宋体"/>
          <w:color w:val="auto"/>
          <w:kern w:val="0"/>
          <w:sz w:val="32"/>
          <w:szCs w:val="32"/>
          <w:shd w:val="clear" w:color="auto" w:fill="FFFFFF"/>
          <w:lang w:val="zh-CN"/>
        </w:rPr>
        <w:t>于202</w:t>
      </w:r>
      <w:r>
        <w:rPr>
          <w:rFonts w:hint="eastAsia" w:ascii="仿宋_GB2312" w:hAnsi="宋体" w:eastAsia="仿宋_GB2312" w:cs="宋体"/>
          <w:color w:val="auto"/>
          <w:kern w:val="0"/>
          <w:sz w:val="32"/>
          <w:szCs w:val="32"/>
          <w:shd w:val="clear" w:color="auto" w:fill="FFFFFF"/>
          <w:lang w:val="en-US" w:eastAsia="zh-CN"/>
        </w:rPr>
        <w:t>3</w:t>
      </w:r>
      <w:r>
        <w:rPr>
          <w:rFonts w:hint="eastAsia" w:ascii="仿宋_GB2312" w:hAnsi="宋体" w:eastAsia="仿宋_GB2312" w:cs="宋体"/>
          <w:color w:val="auto"/>
          <w:kern w:val="0"/>
          <w:sz w:val="32"/>
          <w:szCs w:val="32"/>
          <w:shd w:val="clear" w:color="auto" w:fill="FFFFFF"/>
          <w:lang w:val="zh-CN"/>
        </w:rPr>
        <w:t>年</w:t>
      </w:r>
      <w:r>
        <w:rPr>
          <w:rFonts w:hint="eastAsia" w:ascii="仿宋_GB2312" w:hAnsi="宋体" w:eastAsia="仿宋_GB2312" w:cs="宋体"/>
          <w:color w:val="auto"/>
          <w:kern w:val="0"/>
          <w:sz w:val="32"/>
          <w:szCs w:val="32"/>
          <w:shd w:val="clear" w:color="auto" w:fill="FFFFFF"/>
          <w:lang w:val="en-US" w:eastAsia="zh-CN"/>
        </w:rPr>
        <w:t>4</w:t>
      </w:r>
      <w:r>
        <w:rPr>
          <w:rFonts w:hint="eastAsia" w:ascii="仿宋_GB2312" w:hAnsi="宋体" w:eastAsia="仿宋_GB2312" w:cs="宋体"/>
          <w:color w:val="auto"/>
          <w:kern w:val="0"/>
          <w:sz w:val="32"/>
          <w:szCs w:val="32"/>
          <w:shd w:val="clear" w:color="auto" w:fill="FFFFFF"/>
          <w:lang w:val="zh-CN"/>
        </w:rPr>
        <w:t>月</w:t>
      </w:r>
      <w:r>
        <w:rPr>
          <w:rFonts w:hint="eastAsia" w:ascii="仿宋_GB2312" w:hAnsi="宋体" w:eastAsia="仿宋_GB2312" w:cs="宋体"/>
          <w:color w:val="auto"/>
          <w:kern w:val="0"/>
          <w:sz w:val="32"/>
          <w:szCs w:val="32"/>
          <w:shd w:val="clear" w:color="auto" w:fill="FFFFFF"/>
          <w:lang w:val="en-US" w:eastAsia="zh-CN"/>
        </w:rPr>
        <w:t>对本部门</w:t>
      </w:r>
      <w:r>
        <w:rPr>
          <w:rFonts w:hint="eastAsia" w:ascii="仿宋_GB2312" w:hAnsi="宋体" w:eastAsia="仿宋_GB2312" w:cs="宋体"/>
          <w:color w:val="auto"/>
          <w:kern w:val="0"/>
          <w:sz w:val="32"/>
          <w:szCs w:val="32"/>
          <w:shd w:val="clear" w:color="auto" w:fill="FFFFFF"/>
          <w:lang w:val="zh-CN"/>
        </w:rPr>
        <w:t>进行了</w:t>
      </w:r>
      <w:r>
        <w:rPr>
          <w:rFonts w:hint="eastAsia" w:ascii="仿宋_GB2312" w:hAnsi="宋体" w:eastAsia="仿宋_GB2312" w:cs="宋体"/>
          <w:color w:val="auto"/>
          <w:kern w:val="0"/>
          <w:sz w:val="32"/>
          <w:szCs w:val="32"/>
          <w:shd w:val="clear" w:color="auto" w:fill="FFFFFF"/>
          <w:lang w:val="en-US" w:eastAsia="zh-CN"/>
        </w:rPr>
        <w:t>项目</w:t>
      </w:r>
      <w:r>
        <w:rPr>
          <w:rFonts w:hint="eastAsia" w:ascii="仿宋_GB2312" w:hAnsi="宋体" w:eastAsia="仿宋_GB2312" w:cs="宋体"/>
          <w:color w:val="auto"/>
          <w:kern w:val="0"/>
          <w:sz w:val="32"/>
          <w:szCs w:val="32"/>
          <w:shd w:val="clear" w:color="auto" w:fill="FFFFFF"/>
          <w:lang w:val="zh-CN"/>
        </w:rPr>
        <w:t>绩效评价工作。</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（一）机构组成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 xml:space="preserve"> 年，遂宁市公安局下设内设机构 29个，直属分局 2个，均为行政单位。其中，独立核算二级预算单位</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个，分别是：遂宁市公安局经济技术开发区分局、遂宁市公安局河东新区分局、遂宁市公安局交通警察支队、</w:t>
      </w:r>
      <w:r>
        <w:rPr>
          <w:rFonts w:hint="eastAsia" w:ascii="仿宋_GB2312" w:hAnsi="宋体" w:eastAsia="仿宋_GB2312" w:cs="宋体"/>
          <w:color w:val="000000"/>
          <w:kern w:val="0"/>
          <w:sz w:val="32"/>
          <w:szCs w:val="32"/>
          <w:shd w:val="clear" w:color="auto" w:fill="FFFFFF"/>
          <w:lang w:val="en-US" w:eastAsia="zh-CN"/>
        </w:rPr>
        <w:t>遂宁市公安局森林警察支队、</w:t>
      </w:r>
      <w:r>
        <w:rPr>
          <w:rFonts w:hint="eastAsia" w:ascii="仿宋_GB2312" w:hAnsi="宋体" w:eastAsia="仿宋_GB2312" w:cs="宋体"/>
          <w:color w:val="000000"/>
          <w:kern w:val="0"/>
          <w:sz w:val="32"/>
          <w:szCs w:val="32"/>
          <w:shd w:val="clear" w:color="auto" w:fill="FFFFFF"/>
          <w:lang w:val="zh-CN"/>
        </w:rPr>
        <w:t>遂宁市</w:t>
      </w:r>
      <w:r>
        <w:rPr>
          <w:rFonts w:hint="eastAsia" w:ascii="仿宋_GB2312" w:hAnsi="宋体" w:eastAsia="仿宋_GB2312" w:cs="宋体"/>
          <w:color w:val="000000"/>
          <w:kern w:val="0"/>
          <w:sz w:val="32"/>
          <w:szCs w:val="32"/>
          <w:shd w:val="clear" w:color="auto" w:fill="FFFFFF"/>
          <w:lang w:val="en-US" w:eastAsia="zh-CN"/>
        </w:rPr>
        <w:t>拘留所</w:t>
      </w:r>
      <w:r>
        <w:rPr>
          <w:rFonts w:hint="eastAsia" w:ascii="仿宋_GB2312" w:hAnsi="宋体" w:eastAsia="仿宋_GB2312" w:cs="宋体"/>
          <w:color w:val="000000"/>
          <w:kern w:val="0"/>
          <w:sz w:val="32"/>
          <w:szCs w:val="32"/>
          <w:shd w:val="clear" w:color="auto" w:fill="FFFFFF"/>
          <w:lang w:val="zh-CN"/>
        </w:rPr>
        <w:t>、遂宁市强制隔离戒毒所、遂宁市看守所、遂宁市强制医疗所。</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（二）机构职能</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1.</w:t>
      </w:r>
      <w:r>
        <w:rPr>
          <w:rFonts w:hint="eastAsia" w:ascii="仿宋_GB2312" w:hAnsi="宋体" w:eastAsia="仿宋_GB2312" w:cs="宋体"/>
          <w:b/>
          <w:bCs/>
          <w:color w:val="000000"/>
          <w:kern w:val="0"/>
          <w:sz w:val="32"/>
          <w:szCs w:val="32"/>
          <w:shd w:val="clear" w:color="auto" w:fill="FFFFFF"/>
          <w:lang w:val="zh-CN"/>
        </w:rPr>
        <w:t>遂宁市公安局职能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主要职责有：打击和防范各种刑事犯罪，实施治安行政管理，为社会、人民群众提供救助便民利民服务；依法侦破各类刑事案件，查处各类危害社会管理秩序的治安案件；处置各类治安灾害事故、负责大型活动安全保卫；依法对户口、居民身份证、枪支弹药、危险物品、集会、游行等实施治安行政管理；依法开展国籍、出入境管理工作；依法管理交通、车辆、驾驶员；组织开展对国家机关、社会团体、企业事业单位、重点建设工程和治安保卫工作以及群众性组织的治安防范工作。</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2.</w:t>
      </w:r>
      <w:r>
        <w:rPr>
          <w:rFonts w:hint="eastAsia" w:ascii="仿宋_GB2312" w:hAnsi="宋体" w:eastAsia="仿宋_GB2312" w:cs="宋体"/>
          <w:b/>
          <w:bCs/>
          <w:color w:val="000000"/>
          <w:kern w:val="0"/>
          <w:sz w:val="32"/>
          <w:szCs w:val="32"/>
          <w:shd w:val="clear" w:color="auto" w:fill="FFFFFF"/>
          <w:lang w:val="zh-CN"/>
        </w:rPr>
        <w:t>遂宁市公安局河东新区分局职能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遂宁市公安局直属分局，履行县级公安机关职能职责，辖区为遂宁市河东新区分布范围。</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3.</w:t>
      </w:r>
      <w:r>
        <w:rPr>
          <w:rFonts w:hint="eastAsia" w:ascii="仿宋_GB2312" w:hAnsi="宋体" w:eastAsia="仿宋_GB2312" w:cs="宋体"/>
          <w:b/>
          <w:bCs/>
          <w:color w:val="000000"/>
          <w:kern w:val="0"/>
          <w:sz w:val="32"/>
          <w:szCs w:val="32"/>
          <w:shd w:val="clear" w:color="auto" w:fill="FFFFFF"/>
          <w:lang w:val="zh-CN"/>
        </w:rPr>
        <w:t>遂宁市公安局经济技术开发区分局职能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遂宁市公安局直属分局，履行县级公安机关职能职责，辖区为遂宁经济技术开发区分布范围。</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4.</w:t>
      </w:r>
      <w:r>
        <w:rPr>
          <w:rFonts w:hint="eastAsia" w:ascii="仿宋_GB2312" w:hAnsi="宋体" w:eastAsia="仿宋_GB2312" w:cs="宋体"/>
          <w:b/>
          <w:bCs/>
          <w:color w:val="000000"/>
          <w:kern w:val="0"/>
          <w:sz w:val="32"/>
          <w:szCs w:val="32"/>
          <w:shd w:val="clear" w:color="auto" w:fill="FFFFFF"/>
          <w:lang w:val="zh-CN"/>
        </w:rPr>
        <w:t>遂宁市公安局交通警察支队职能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交通警察支队主要职责有：贯彻执行国家有关公安交通安全管理工作的路线、方针、政策和法律法规，部署全市公安交通安全管理工作，并组织实施，督促、检查执行情况；分析、研究、预测道路交通安全管理情况并研究对策；负责道路交通事故的处理和肇事逃逸案件的侦破;负责全市机动车辆登记和机动车驾驶人考试、发证等管理工作和非机动车以及行人的交通安全管理工作；负责全市城乡道路交通安全、交通秩序管理工作，依法查处交通违法行为；指导全市公安机关交通管理部门的交通管理业务工作；负责到遂宁市视察工作的党和国家领导人以及重要外宾的交通安全警卫工作；负责全市公安交通管理科技、计算机信息系统的建设与运用，规划和实施全市公安交通管理部门的科技管理工作；指导、监督和督查全市各级公安机关交通管理部门的执法和警务活动；负责全市道路交通安全宣传和道路交通安全法律法规知识的普及教育工作；完成市委、市政府和市公安局以及省公安厅交警总队交办的其他事项。</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en-US" w:eastAsia="zh-CN"/>
        </w:rPr>
      </w:pPr>
      <w:r>
        <w:rPr>
          <w:rFonts w:hint="eastAsia" w:ascii="仿宋_GB2312" w:hAnsi="宋体" w:eastAsia="仿宋_GB2312" w:cs="宋体"/>
          <w:b/>
          <w:bCs/>
          <w:color w:val="000000"/>
          <w:kern w:val="0"/>
          <w:sz w:val="32"/>
          <w:szCs w:val="32"/>
          <w:shd w:val="clear" w:color="auto" w:fill="FFFFFF"/>
          <w:lang w:val="en-US" w:eastAsia="zh-CN"/>
        </w:rPr>
        <w:t>5.遂宁市公安局森林警察支队</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zh-CN"/>
        </w:rPr>
        <w:t>主要职责为掌握全市森林及野生动植物资源领域犯罪动态，拟定预防、打击对策；指导、督导、协调全市公安机关开展对森林及野生动植物资源领域犯罪案件的侦查工作，组织侦办跨区域以及在全市有重大影响的森林及野生动植物资源领域的犯罪案件，负责侦办遂宁经开区、市河东新区、遂宁高新区森林及野生动植物资源领域的犯罪案件。</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6.</w:t>
      </w:r>
      <w:r>
        <w:rPr>
          <w:rFonts w:hint="eastAsia" w:ascii="仿宋_GB2312" w:hAnsi="宋体" w:eastAsia="仿宋_GB2312" w:cs="宋体"/>
          <w:b/>
          <w:bCs/>
          <w:color w:val="000000"/>
          <w:kern w:val="0"/>
          <w:sz w:val="32"/>
          <w:szCs w:val="32"/>
          <w:shd w:val="clear" w:color="auto" w:fill="FFFFFF"/>
          <w:lang w:val="zh-CN"/>
        </w:rPr>
        <w:t>遂宁市</w:t>
      </w:r>
      <w:r>
        <w:rPr>
          <w:rFonts w:hint="eastAsia" w:ascii="仿宋_GB2312" w:hAnsi="宋体" w:eastAsia="仿宋_GB2312" w:cs="宋体"/>
          <w:b/>
          <w:bCs/>
          <w:color w:val="000000"/>
          <w:kern w:val="0"/>
          <w:sz w:val="32"/>
          <w:szCs w:val="32"/>
          <w:shd w:val="clear" w:color="auto" w:fill="FFFFFF"/>
          <w:lang w:val="en-US" w:eastAsia="zh-CN"/>
        </w:rPr>
        <w:t>拘留</w:t>
      </w:r>
      <w:r>
        <w:rPr>
          <w:rFonts w:hint="eastAsia" w:ascii="仿宋_GB2312" w:hAnsi="宋体" w:eastAsia="仿宋_GB2312" w:cs="宋体"/>
          <w:b/>
          <w:bCs/>
          <w:color w:val="000000"/>
          <w:kern w:val="0"/>
          <w:sz w:val="32"/>
          <w:szCs w:val="32"/>
          <w:shd w:val="clear" w:color="auto" w:fill="FFFFFF"/>
          <w:lang w:val="zh-CN"/>
        </w:rPr>
        <w:t>所职能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w:t>
      </w:r>
      <w:r>
        <w:rPr>
          <w:rFonts w:hint="eastAsia" w:ascii="仿宋_GB2312" w:hAnsi="宋体" w:eastAsia="仿宋_GB2312" w:cs="宋体"/>
          <w:color w:val="000000"/>
          <w:kern w:val="0"/>
          <w:sz w:val="32"/>
          <w:szCs w:val="32"/>
          <w:shd w:val="clear" w:color="auto" w:fill="FFFFFF"/>
          <w:lang w:val="en-US" w:eastAsia="zh-CN"/>
        </w:rPr>
        <w:t>拘留</w:t>
      </w:r>
      <w:r>
        <w:rPr>
          <w:rFonts w:hint="eastAsia" w:ascii="仿宋_GB2312" w:hAnsi="宋体" w:eastAsia="仿宋_GB2312" w:cs="宋体"/>
          <w:color w:val="000000"/>
          <w:kern w:val="0"/>
          <w:sz w:val="32"/>
          <w:szCs w:val="32"/>
          <w:shd w:val="clear" w:color="auto" w:fill="FFFFFF"/>
          <w:lang w:val="zh-CN"/>
        </w:rPr>
        <w:t>所主要职责有：承担着遂宁市船山区、河东新区、经济开发区、高新区和遂宁市本级行政拘留和司法拘留任务。</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7.</w:t>
      </w:r>
      <w:r>
        <w:rPr>
          <w:rFonts w:hint="eastAsia" w:ascii="仿宋_GB2312" w:hAnsi="宋体" w:eastAsia="仿宋_GB2312" w:cs="宋体"/>
          <w:b/>
          <w:bCs/>
          <w:color w:val="000000"/>
          <w:kern w:val="0"/>
          <w:sz w:val="32"/>
          <w:szCs w:val="32"/>
          <w:shd w:val="clear" w:color="auto" w:fill="FFFFFF"/>
          <w:lang w:val="zh-CN"/>
        </w:rPr>
        <w:t>遂宁市强制隔离戒毒所职能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遂宁市公安局强制隔离戒毒所主要职责有：全市三县五区的强制隔离戒毒人员收押、生理心理脱毒治疗、日常管理教育；戒毒人员转送司法戒毒所。</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8.</w:t>
      </w:r>
      <w:r>
        <w:rPr>
          <w:rFonts w:hint="eastAsia" w:ascii="仿宋_GB2312" w:hAnsi="宋体" w:eastAsia="仿宋_GB2312" w:cs="宋体"/>
          <w:b/>
          <w:bCs/>
          <w:color w:val="000000"/>
          <w:kern w:val="0"/>
          <w:sz w:val="32"/>
          <w:szCs w:val="32"/>
          <w:shd w:val="clear" w:color="auto" w:fill="FFFFFF"/>
          <w:lang w:val="zh-CN"/>
        </w:rPr>
        <w:t>遂宁市看守所职能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看守所主要职责有：市本级、船山区、安居区、河东新区、经济开发区、高新区以及全市女性犯罪嫌疑人、被告人和被判处拘役、有期徒刑余刑在三个月以下罪犯的收押、管理、教育；已决罪犯投送监狱执行刑罚。</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9.</w:t>
      </w:r>
      <w:r>
        <w:rPr>
          <w:rFonts w:hint="eastAsia" w:ascii="仿宋_GB2312" w:hAnsi="宋体" w:eastAsia="仿宋_GB2312" w:cs="宋体"/>
          <w:b/>
          <w:bCs/>
          <w:color w:val="000000"/>
          <w:kern w:val="0"/>
          <w:sz w:val="32"/>
          <w:szCs w:val="32"/>
          <w:shd w:val="clear" w:color="auto" w:fill="FFFFFF"/>
          <w:lang w:val="zh-CN"/>
        </w:rPr>
        <w:t>遂宁市强制医疗所职能</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强制医疗所主要职责有：承担着全市被人民法院决定强制医疗的人员的精神疾病治疗、心理治疗、身体健康训练，以及卫生、道德、法治教育和市级公安监所被监管人员入所体检、日常医疗、卫生防疫、急重症救治的职能。</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（三）人员概况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auto"/>
          <w:kern w:val="0"/>
          <w:sz w:val="32"/>
          <w:szCs w:val="32"/>
          <w:shd w:val="clear" w:color="auto" w:fill="FFFFFF"/>
          <w:lang w:val="zh-CN"/>
        </w:rPr>
      </w:pPr>
      <w:r>
        <w:rPr>
          <w:rFonts w:hint="eastAsia" w:ascii="仿宋_GB2312" w:hAnsi="宋体" w:eastAsia="仿宋_GB2312" w:cs="宋体"/>
          <w:color w:val="auto"/>
          <w:kern w:val="0"/>
          <w:sz w:val="32"/>
          <w:szCs w:val="32"/>
          <w:shd w:val="clear" w:color="auto" w:fill="FFFFFF"/>
          <w:lang w:val="zh-CN"/>
        </w:rPr>
        <w:t>遂宁市公安局年末实有行政人员</w:t>
      </w:r>
      <w:r>
        <w:rPr>
          <w:rFonts w:hint="eastAsia" w:ascii="仿宋_GB2312" w:hAnsi="宋体" w:eastAsia="仿宋_GB2312" w:cs="宋体"/>
          <w:color w:val="auto"/>
          <w:kern w:val="0"/>
          <w:sz w:val="32"/>
          <w:szCs w:val="32"/>
          <w:shd w:val="clear" w:color="auto" w:fill="FFFFFF"/>
          <w:lang w:val="en-US" w:eastAsia="zh-CN"/>
        </w:rPr>
        <w:t>749</w:t>
      </w:r>
      <w:r>
        <w:rPr>
          <w:rFonts w:hint="eastAsia" w:ascii="仿宋_GB2312" w:hAnsi="宋体" w:eastAsia="仿宋_GB2312" w:cs="宋体"/>
          <w:color w:val="auto"/>
          <w:kern w:val="0"/>
          <w:sz w:val="32"/>
          <w:szCs w:val="32"/>
          <w:shd w:val="clear" w:color="auto" w:fill="FFFFFF"/>
          <w:lang w:val="zh-CN"/>
        </w:rPr>
        <w:t>人，退休人员</w:t>
      </w:r>
      <w:r>
        <w:rPr>
          <w:rFonts w:hint="eastAsia" w:ascii="仿宋_GB2312" w:hAnsi="宋体" w:eastAsia="仿宋_GB2312" w:cs="宋体"/>
          <w:color w:val="auto"/>
          <w:kern w:val="0"/>
          <w:sz w:val="32"/>
          <w:szCs w:val="32"/>
          <w:shd w:val="clear" w:color="auto" w:fill="FFFFFF"/>
          <w:lang w:val="en-US" w:eastAsia="zh-CN"/>
        </w:rPr>
        <w:t>222</w:t>
      </w:r>
      <w:r>
        <w:rPr>
          <w:rFonts w:hint="eastAsia" w:ascii="仿宋_GB2312" w:hAnsi="宋体" w:eastAsia="仿宋_GB2312" w:cs="宋体"/>
          <w:color w:val="auto"/>
          <w:kern w:val="0"/>
          <w:sz w:val="32"/>
          <w:szCs w:val="32"/>
          <w:shd w:val="clear" w:color="auto" w:fill="FFFFFF"/>
          <w:lang w:val="zh-CN"/>
        </w:rPr>
        <w:t>人，</w:t>
      </w:r>
      <w:r>
        <w:rPr>
          <w:rFonts w:hint="eastAsia" w:ascii="仿宋_GB2312" w:hAnsi="宋体" w:eastAsia="仿宋_GB2312" w:cs="宋体"/>
          <w:color w:val="auto"/>
          <w:kern w:val="0"/>
          <w:sz w:val="32"/>
          <w:szCs w:val="32"/>
          <w:shd w:val="clear" w:color="auto" w:fill="FFFFFF"/>
          <w:lang w:val="en-US" w:eastAsia="zh-CN"/>
        </w:rPr>
        <w:t>劳务派遣</w:t>
      </w:r>
      <w:r>
        <w:rPr>
          <w:rFonts w:hint="eastAsia" w:ascii="仿宋_GB2312" w:hAnsi="宋体" w:eastAsia="仿宋_GB2312" w:cs="宋体"/>
          <w:color w:val="auto"/>
          <w:kern w:val="0"/>
          <w:sz w:val="32"/>
          <w:szCs w:val="32"/>
          <w:shd w:val="clear" w:color="auto" w:fill="FFFFFF"/>
          <w:lang w:val="zh-CN"/>
        </w:rPr>
        <w:t>人员</w:t>
      </w:r>
      <w:r>
        <w:rPr>
          <w:rFonts w:hint="eastAsia" w:ascii="仿宋_GB2312" w:hAnsi="宋体" w:eastAsia="仿宋_GB2312" w:cs="宋体"/>
          <w:color w:val="auto"/>
          <w:kern w:val="0"/>
          <w:sz w:val="32"/>
          <w:szCs w:val="32"/>
          <w:shd w:val="clear" w:color="auto" w:fill="FFFFFF"/>
          <w:lang w:val="en-US" w:eastAsia="zh-CN"/>
        </w:rPr>
        <w:t>564</w:t>
      </w:r>
      <w:r>
        <w:rPr>
          <w:rFonts w:hint="eastAsia" w:ascii="仿宋_GB2312" w:hAnsi="宋体" w:eastAsia="仿宋_GB2312" w:cs="宋体"/>
          <w:color w:val="auto"/>
          <w:kern w:val="0"/>
          <w:sz w:val="32"/>
          <w:szCs w:val="32"/>
          <w:shd w:val="clear" w:color="auto" w:fill="FFFFFF"/>
          <w:lang w:val="zh-CN"/>
        </w:rPr>
        <w:t>人，遗属人员</w:t>
      </w:r>
      <w:r>
        <w:rPr>
          <w:rFonts w:hint="eastAsia" w:ascii="仿宋_GB2312" w:hAnsi="宋体" w:eastAsia="仿宋_GB2312" w:cs="宋体"/>
          <w:color w:val="auto"/>
          <w:kern w:val="0"/>
          <w:sz w:val="32"/>
          <w:szCs w:val="32"/>
          <w:shd w:val="clear" w:color="auto" w:fill="FFFFFF"/>
          <w:lang w:val="en-US" w:eastAsia="zh-CN"/>
        </w:rPr>
        <w:t>11</w:t>
      </w:r>
      <w:r>
        <w:rPr>
          <w:rFonts w:hint="eastAsia" w:ascii="仿宋_GB2312" w:hAnsi="宋体" w:eastAsia="仿宋_GB2312" w:cs="宋体"/>
          <w:color w:val="auto"/>
          <w:kern w:val="0"/>
          <w:sz w:val="32"/>
          <w:szCs w:val="32"/>
          <w:shd w:val="clear" w:color="auto" w:fill="FFFFFF"/>
          <w:lang w:val="zh-CN"/>
        </w:rPr>
        <w:t>人。</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pPr>
        <w:keepNext w:val="0"/>
        <w:keepLines w:val="0"/>
        <w:pageBreakBefore w:val="0"/>
        <w:widowControl/>
        <w:kinsoku/>
        <w:wordWrap/>
        <w:overflowPunct/>
        <w:topLinePunct w:val="0"/>
        <w:autoSpaceDE/>
        <w:autoSpaceDN/>
        <w:bidi w:val="0"/>
        <w:adjustRightInd w:val="0"/>
        <w:snapToGrid w:val="0"/>
        <w:spacing w:line="580"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（一）部门财政资金收入情况</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遂宁市</w:t>
      </w:r>
      <w:r>
        <w:rPr>
          <w:rFonts w:hint="eastAsia" w:ascii="仿宋_GB2312" w:hAnsi="宋体" w:eastAsia="仿宋_GB2312" w:cs="宋体"/>
          <w:color w:val="000000"/>
          <w:kern w:val="0"/>
          <w:sz w:val="32"/>
          <w:szCs w:val="32"/>
          <w:shd w:val="clear" w:color="auto" w:fill="FFFFFF"/>
          <w:lang w:val="zh-CN"/>
        </w:rPr>
        <w:t>公安局收入调整预算数和决算数相同，由一般公共预算财政拨款收入、年初结转（结余）两部分构成。</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zh-CN"/>
        </w:rPr>
      </w:pPr>
    </w:p>
    <w:tbl>
      <w:tblPr>
        <w:tblStyle w:val="13"/>
        <w:tblW w:w="0" w:type="auto"/>
        <w:tblInd w:w="0" w:type="dxa"/>
        <w:tblLayout w:type="fixed"/>
        <w:tblCellMar>
          <w:top w:w="0" w:type="dxa"/>
          <w:left w:w="0" w:type="dxa"/>
          <w:bottom w:w="0" w:type="dxa"/>
          <w:right w:w="0" w:type="dxa"/>
        </w:tblCellMar>
      </w:tblPr>
      <w:tblGrid>
        <w:gridCol w:w="630"/>
        <w:gridCol w:w="3816"/>
        <w:gridCol w:w="1500"/>
        <w:gridCol w:w="1650"/>
        <w:gridCol w:w="1486"/>
      </w:tblGrid>
      <w:tr>
        <w:tblPrEx>
          <w:tblCellMar>
            <w:top w:w="0" w:type="dxa"/>
            <w:left w:w="0" w:type="dxa"/>
            <w:bottom w:w="0" w:type="dxa"/>
            <w:right w:w="0" w:type="dxa"/>
          </w:tblCellMar>
        </w:tblPrEx>
        <w:trPr>
          <w:trHeight w:val="270" w:hRule="atLeast"/>
        </w:trPr>
        <w:tc>
          <w:tcPr>
            <w:tcW w:w="9082" w:type="dxa"/>
            <w:gridSpan w:val="5"/>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1"/>
                <w:szCs w:val="21"/>
                <w:u w:val="none"/>
                <w:lang w:val="en-US" w:eastAsia="zh-CN" w:bidi="ar"/>
              </w:rPr>
            </w:pPr>
          </w:p>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2.1 2022 年部门财政收入情况（单位：万元）</w:t>
            </w:r>
          </w:p>
        </w:tc>
      </w:tr>
      <w:tr>
        <w:tblPrEx>
          <w:tblCellMar>
            <w:top w:w="0" w:type="dxa"/>
            <w:left w:w="0" w:type="dxa"/>
            <w:bottom w:w="0" w:type="dxa"/>
            <w:right w:w="0" w:type="dxa"/>
          </w:tblCellMar>
        </w:tblPrEx>
        <w:trPr>
          <w:trHeight w:val="285" w:hRule="atLeast"/>
        </w:trPr>
        <w:tc>
          <w:tcPr>
            <w:tcW w:w="630" w:type="dxa"/>
            <w:tcBorders>
              <w:top w:val="nil"/>
              <w:left w:val="nil"/>
              <w:bottom w:val="single" w:color="auto" w:sz="4" w:space="0"/>
              <w:right w:val="nil"/>
            </w:tcBorders>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3816"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500"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650"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86"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85"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序号</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预算收入</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年初结转和结余</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财政收入合计</w:t>
            </w:r>
          </w:p>
        </w:tc>
      </w:tr>
      <w:tr>
        <w:tblPrEx>
          <w:tblCellMar>
            <w:top w:w="0" w:type="dxa"/>
            <w:left w:w="0" w:type="dxa"/>
            <w:bottom w:w="0" w:type="dxa"/>
            <w:right w:w="0" w:type="dxa"/>
          </w:tblCellMar>
        </w:tblPrEx>
        <w:trPr>
          <w:trHeight w:val="300"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15298.39</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15298.39</w:t>
            </w:r>
          </w:p>
        </w:tc>
      </w:tr>
      <w:tr>
        <w:tblPrEx>
          <w:tblCellMar>
            <w:top w:w="0" w:type="dxa"/>
            <w:left w:w="0" w:type="dxa"/>
            <w:bottom w:w="0" w:type="dxa"/>
            <w:right w:w="0" w:type="dxa"/>
          </w:tblCellMar>
        </w:tblPrEx>
        <w:trPr>
          <w:trHeight w:val="555"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遂宁市公安局河东新区分局</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1912.52</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1912.52</w:t>
            </w:r>
          </w:p>
        </w:tc>
      </w:tr>
      <w:tr>
        <w:tblPrEx>
          <w:tblCellMar>
            <w:top w:w="0" w:type="dxa"/>
            <w:left w:w="0" w:type="dxa"/>
            <w:bottom w:w="0" w:type="dxa"/>
            <w:right w:w="0" w:type="dxa"/>
          </w:tblCellMar>
        </w:tblPrEx>
        <w:trPr>
          <w:trHeight w:val="555"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遂宁市公安局经济技术开发区分局</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3321.13</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3321.13</w:t>
            </w:r>
          </w:p>
        </w:tc>
      </w:tr>
      <w:tr>
        <w:tblPrEx>
          <w:tblCellMar>
            <w:top w:w="0" w:type="dxa"/>
            <w:left w:w="0" w:type="dxa"/>
            <w:bottom w:w="0" w:type="dxa"/>
            <w:right w:w="0" w:type="dxa"/>
          </w:tblCellMar>
        </w:tblPrEx>
        <w:trPr>
          <w:trHeight w:val="555"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遂宁市公安局交通警察支队</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5536.83</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5536.83</w:t>
            </w:r>
          </w:p>
        </w:tc>
      </w:tr>
      <w:tr>
        <w:tblPrEx>
          <w:tblCellMar>
            <w:top w:w="0" w:type="dxa"/>
            <w:left w:w="0" w:type="dxa"/>
            <w:bottom w:w="0" w:type="dxa"/>
            <w:right w:w="0" w:type="dxa"/>
          </w:tblCellMar>
        </w:tblPrEx>
        <w:trPr>
          <w:trHeight w:val="555"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遂宁市公安局森林警察支队</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516.40</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516.40</w:t>
            </w:r>
          </w:p>
        </w:tc>
      </w:tr>
      <w:tr>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6</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遂宁市拘留所</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590.51</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590.51</w:t>
            </w:r>
          </w:p>
        </w:tc>
      </w:tr>
      <w:tr>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遂宁市强制隔离戒毒所</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615.91</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615.91</w:t>
            </w:r>
          </w:p>
        </w:tc>
      </w:tr>
      <w:tr>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遂宁市看守所</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1492.38</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1492.38</w:t>
            </w:r>
          </w:p>
        </w:tc>
      </w:tr>
      <w:tr>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遂宁市强制医疗所</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367.09</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367.09</w:t>
            </w:r>
          </w:p>
        </w:tc>
      </w:tr>
      <w:tr>
        <w:tblPrEx>
          <w:tblCellMar>
            <w:top w:w="0" w:type="dxa"/>
            <w:left w:w="0" w:type="dxa"/>
            <w:bottom w:w="0" w:type="dxa"/>
            <w:right w:w="0" w:type="dxa"/>
          </w:tblCellMar>
        </w:tblPrEx>
        <w:trPr>
          <w:trHeight w:val="330" w:hRule="atLeast"/>
        </w:trPr>
        <w:tc>
          <w:tcPr>
            <w:tcW w:w="6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w:t>
            </w:r>
          </w:p>
        </w:tc>
        <w:tc>
          <w:tcPr>
            <w:tcW w:w="381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合计</w:t>
            </w:r>
          </w:p>
        </w:tc>
        <w:tc>
          <w:tcPr>
            <w:tcW w:w="15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29651.16</w:t>
            </w:r>
          </w:p>
        </w:tc>
        <w:tc>
          <w:tcPr>
            <w:tcW w:w="16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0.00</w:t>
            </w:r>
          </w:p>
        </w:tc>
        <w:tc>
          <w:tcPr>
            <w:tcW w:w="14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29651.16</w:t>
            </w:r>
          </w:p>
        </w:tc>
      </w:tr>
    </w:tbl>
    <w:p>
      <w:pPr>
        <w:widowControl/>
        <w:numPr>
          <w:ilvl w:val="0"/>
          <w:numId w:val="0"/>
        </w:numPr>
        <w:adjustRightInd w:val="0"/>
        <w:snapToGrid w:val="0"/>
        <w:spacing w:line="580" w:lineRule="exact"/>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w:t>
      </w:r>
      <w:r>
        <w:rPr>
          <w:rFonts w:hint="eastAsia" w:ascii="楷体_GB2312" w:hAnsi="楷体_GB2312" w:eastAsia="楷体_GB2312" w:cs="楷体_GB2312"/>
          <w:b/>
          <w:bCs/>
          <w:color w:val="000000"/>
          <w:kern w:val="0"/>
          <w:sz w:val="32"/>
          <w:szCs w:val="32"/>
          <w:shd w:val="clear" w:color="auto" w:fill="FFFFFF"/>
          <w:lang w:val="en-US" w:eastAsia="zh-CN"/>
        </w:rPr>
        <w:t>二）</w:t>
      </w:r>
      <w:r>
        <w:rPr>
          <w:rFonts w:hint="eastAsia" w:ascii="楷体_GB2312" w:hAnsi="楷体_GB2312" w:eastAsia="楷体_GB2312" w:cs="楷体_GB2312"/>
          <w:b/>
          <w:bCs/>
          <w:color w:val="000000"/>
          <w:kern w:val="0"/>
          <w:sz w:val="32"/>
          <w:szCs w:val="32"/>
          <w:shd w:val="clear" w:color="auto" w:fill="FFFFFF"/>
          <w:lang w:val="zh-CN"/>
        </w:rPr>
        <w:t>部门财政</w:t>
      </w:r>
      <w:r>
        <w:rPr>
          <w:rFonts w:hint="eastAsia" w:ascii="楷体_GB2312" w:hAnsi="楷体_GB2312" w:eastAsia="楷体_GB2312" w:cs="楷体_GB2312"/>
          <w:b/>
          <w:bCs/>
          <w:color w:val="000000"/>
          <w:kern w:val="0"/>
          <w:sz w:val="32"/>
          <w:szCs w:val="32"/>
          <w:shd w:val="clear" w:color="auto" w:fill="FFFFFF"/>
          <w:lang w:val="en-US" w:eastAsia="zh-CN"/>
        </w:rPr>
        <w:t>资金</w:t>
      </w:r>
      <w:r>
        <w:rPr>
          <w:rFonts w:hint="eastAsia" w:ascii="楷体_GB2312" w:hAnsi="楷体_GB2312" w:eastAsia="楷体_GB2312" w:cs="楷体_GB2312"/>
          <w:b/>
          <w:bCs/>
          <w:color w:val="000000"/>
          <w:kern w:val="0"/>
          <w:sz w:val="32"/>
          <w:szCs w:val="32"/>
          <w:shd w:val="clear" w:color="auto" w:fill="FFFFFF"/>
          <w:lang w:val="zh-CN"/>
        </w:rPr>
        <w:t>支出情况</w:t>
      </w:r>
    </w:p>
    <w:tbl>
      <w:tblPr>
        <w:tblStyle w:val="13"/>
        <w:tblW w:w="9480" w:type="dxa"/>
        <w:tblInd w:w="0" w:type="dxa"/>
        <w:tblLayout w:type="fixed"/>
        <w:tblCellMar>
          <w:top w:w="0" w:type="dxa"/>
          <w:left w:w="0" w:type="dxa"/>
          <w:bottom w:w="0" w:type="dxa"/>
          <w:right w:w="0" w:type="dxa"/>
        </w:tblCellMar>
      </w:tblPr>
      <w:tblGrid>
        <w:gridCol w:w="3246"/>
        <w:gridCol w:w="1104"/>
        <w:gridCol w:w="1125"/>
        <w:gridCol w:w="1335"/>
        <w:gridCol w:w="1335"/>
        <w:gridCol w:w="1335"/>
      </w:tblGrid>
      <w:tr>
        <w:tblPrEx>
          <w:tblCellMar>
            <w:top w:w="0" w:type="dxa"/>
            <w:left w:w="0" w:type="dxa"/>
            <w:bottom w:w="0" w:type="dxa"/>
            <w:right w:w="0" w:type="dxa"/>
          </w:tblCellMar>
        </w:tblPrEx>
        <w:trPr>
          <w:trHeight w:val="270" w:hRule="atLeast"/>
        </w:trPr>
        <w:tc>
          <w:tcPr>
            <w:tcW w:w="9480" w:type="dxa"/>
            <w:gridSpan w:val="6"/>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2.2 2022 年部门财政预算支出情况（单位：万元）</w:t>
            </w:r>
          </w:p>
        </w:tc>
      </w:tr>
      <w:tr>
        <w:trPr>
          <w:trHeight w:val="285" w:hRule="atLeast"/>
        </w:trPr>
        <w:tc>
          <w:tcPr>
            <w:tcW w:w="3246" w:type="dxa"/>
            <w:tcBorders>
              <w:top w:val="nil"/>
              <w:left w:val="nil"/>
              <w:bottom w:val="single" w:color="auto" w:sz="4" w:space="0"/>
              <w:right w:val="nil"/>
            </w:tcBorders>
            <w:noWrap/>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104"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125"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335" w:type="dxa"/>
            <w:tcBorders>
              <w:top w:val="nil"/>
              <w:left w:val="nil"/>
              <w:bottom w:val="single" w:color="auto" w:sz="4" w:space="0"/>
              <w:right w:val="nil"/>
            </w:tcBorders>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20" w:hRule="atLeast"/>
        </w:trPr>
        <w:tc>
          <w:tcPr>
            <w:tcW w:w="3246"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3564"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预算基本支出</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预算项目支出</w:t>
            </w:r>
          </w:p>
        </w:tc>
        <w:tc>
          <w:tcPr>
            <w:tcW w:w="133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预算支出合计</w:t>
            </w:r>
          </w:p>
        </w:tc>
      </w:tr>
      <w:tr>
        <w:tblPrEx>
          <w:tblCellMar>
            <w:top w:w="0" w:type="dxa"/>
            <w:left w:w="0" w:type="dxa"/>
            <w:bottom w:w="0" w:type="dxa"/>
            <w:right w:w="0" w:type="dxa"/>
          </w:tblCellMar>
        </w:tblPrEx>
        <w:trPr>
          <w:trHeight w:val="420" w:hRule="atLeast"/>
        </w:trPr>
        <w:tc>
          <w:tcPr>
            <w:tcW w:w="3246"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rPr>
            </w:pP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日常公用经费</w:t>
            </w:r>
          </w:p>
        </w:tc>
        <w:tc>
          <w:tcPr>
            <w:tcW w:w="133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rPr>
            </w:pPr>
          </w:p>
        </w:tc>
        <w:tc>
          <w:tcPr>
            <w:tcW w:w="133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10850.80</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8329.53</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2521.27</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4447.69</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15298.39</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遂宁市公安局河东新区分局</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1802.53</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1500.57</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301.96</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109.99</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1912.52</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遂宁市公安局经济技术开发区分局</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3140.89</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2611.17</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529.72</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180.24</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3321.13</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遂宁市公安局交通警察支队</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sz w:val="16"/>
                <w:szCs w:val="16"/>
                <w:u w:val="none"/>
                <w:lang w:val="en-US" w:eastAsia="zh-CN"/>
              </w:rPr>
              <w:t>3877.99</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2558.25</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1319.74</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1658.84</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5536.83</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遂宁市公安局森林警察支队</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446.08</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355.36</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90.72</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70.32</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516.40</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sz w:val="16"/>
                <w:szCs w:val="16"/>
                <w:u w:val="none"/>
                <w:lang w:val="en-US" w:eastAsia="zh-CN"/>
              </w:rPr>
              <w:t>遂宁市拘留所</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445.53</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364.49</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81.04</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144.98</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590.51</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遂宁市强制隔离戒毒所</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462.28</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374.13</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88.14</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153.64</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615.92</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遂宁市看守所</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1032.73</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737.90</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294.83</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459.65</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1492.38</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遂宁市强制医疗所</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146.84</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87.38</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59.45</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220.26</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367.09</w:t>
            </w:r>
          </w:p>
        </w:tc>
      </w:tr>
      <w:tr>
        <w:tblPrEx>
          <w:tblCellMar>
            <w:top w:w="0" w:type="dxa"/>
            <w:left w:w="0" w:type="dxa"/>
            <w:bottom w:w="0" w:type="dxa"/>
            <w:right w:w="0" w:type="dxa"/>
          </w:tblCellMar>
        </w:tblPrEx>
        <w:trPr>
          <w:trHeight w:val="420" w:hRule="atLeast"/>
        </w:trPr>
        <w:tc>
          <w:tcPr>
            <w:tcW w:w="324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总计</w:t>
            </w:r>
          </w:p>
        </w:tc>
        <w:tc>
          <w:tcPr>
            <w:tcW w:w="110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22205.66</w:t>
            </w:r>
          </w:p>
        </w:tc>
        <w:tc>
          <w:tcPr>
            <w:tcW w:w="11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16918.78</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5286.87</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7445.61</w:t>
            </w:r>
          </w:p>
        </w:tc>
        <w:tc>
          <w:tcPr>
            <w:tcW w:w="13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29651.16</w:t>
            </w:r>
          </w:p>
        </w:tc>
      </w:tr>
    </w:tbl>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（一）部门预算管理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包括部门绩效目标制定、目标实现、预算编制准确、支出控制、预算动态调整、执行进度、预算完成情况和违规记录等情况。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w:t>
      </w:r>
      <w:r>
        <w:rPr>
          <w:rFonts w:hint="eastAsia" w:ascii="楷体_GB2312" w:hAnsi="楷体_GB2312" w:eastAsia="楷体_GB2312" w:cs="楷体_GB2312"/>
          <w:b/>
          <w:bCs/>
          <w:color w:val="000000"/>
          <w:kern w:val="0"/>
          <w:sz w:val="32"/>
          <w:szCs w:val="32"/>
          <w:shd w:val="clear" w:color="auto" w:fill="FFFFFF"/>
          <w:lang w:val="en-US" w:eastAsia="zh-CN"/>
        </w:rPr>
        <w:t>二</w:t>
      </w:r>
      <w:r>
        <w:rPr>
          <w:rFonts w:hint="eastAsia" w:ascii="楷体_GB2312" w:hAnsi="楷体_GB2312" w:eastAsia="楷体_GB2312" w:cs="楷体_GB2312"/>
          <w:b/>
          <w:bCs/>
          <w:color w:val="000000"/>
          <w:kern w:val="0"/>
          <w:sz w:val="32"/>
          <w:szCs w:val="32"/>
          <w:shd w:val="clear" w:color="auto" w:fill="FFFFFF"/>
          <w:lang w:val="zh-CN"/>
        </w:rPr>
        <w:t>）预算编制情况</w:t>
      </w:r>
    </w:p>
    <w:p>
      <w:pPr>
        <w:keepNext w:val="0"/>
        <w:keepLines w:val="0"/>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1.预算编制质量</w:t>
      </w:r>
    </w:p>
    <w:tbl>
      <w:tblPr>
        <w:tblStyle w:val="13"/>
        <w:tblW w:w="11254" w:type="dxa"/>
        <w:tblInd w:w="0" w:type="dxa"/>
        <w:tblLayout w:type="fixed"/>
        <w:tblCellMar>
          <w:top w:w="0" w:type="dxa"/>
          <w:left w:w="0" w:type="dxa"/>
          <w:bottom w:w="0" w:type="dxa"/>
          <w:right w:w="0" w:type="dxa"/>
        </w:tblCellMar>
      </w:tblPr>
      <w:tblGrid>
        <w:gridCol w:w="3"/>
        <w:gridCol w:w="2712"/>
        <w:gridCol w:w="1116"/>
        <w:gridCol w:w="1236"/>
        <w:gridCol w:w="1320"/>
        <w:gridCol w:w="1332"/>
        <w:gridCol w:w="1726"/>
        <w:gridCol w:w="2"/>
      </w:tblGrid>
      <w:tr>
        <w:tblPrEx>
          <w:tblCellMar>
            <w:top w:w="0" w:type="dxa"/>
            <w:left w:w="0" w:type="dxa"/>
            <w:bottom w:w="0" w:type="dxa"/>
            <w:right w:w="0" w:type="dxa"/>
          </w:tblCellMar>
        </w:tblPrEx>
        <w:trPr>
          <w:gridAfter w:val="1"/>
          <w:wAfter w:w="1809" w:type="dxa"/>
          <w:trHeight w:val="270" w:hRule="atLeast"/>
        </w:trPr>
        <w:tc>
          <w:tcPr>
            <w:tcW w:w="9445" w:type="dxa"/>
            <w:gridSpan w:val="7"/>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3.1 2022 年调整预算收入情况（单位：万元）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606" w:hRule="atLeast"/>
        </w:trPr>
        <w:tc>
          <w:tcPr>
            <w:tcW w:w="2712"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23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年初预算收入</w:t>
            </w:r>
          </w:p>
        </w:tc>
        <w:tc>
          <w:tcPr>
            <w:tcW w:w="265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72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预算收入调整比例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591" w:hRule="atLeast"/>
        </w:trPr>
        <w:tc>
          <w:tcPr>
            <w:tcW w:w="2712"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172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591"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10244.99</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10244.99</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15298.39</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15298.39</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674"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遂宁市公安局河东新区分局</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1183.45</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1183.45</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1912.52</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1912.52</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797"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遂宁市公安局经济技术开发区分局</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3481.22</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3481.22</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3321.13</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3321.13</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879"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遂宁市公安局交通警察支队</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4575.33</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4575.33</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5536.83</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5536.83</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879"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遂宁市公安局森林警察支队</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352.59</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352.59</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516.40 </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516.40 </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591"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遂宁市拘留所</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490.64</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490.64</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590.51</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590.51</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879"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遂宁市强制隔离戒毒所</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514.56</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514.56</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615.91</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615.91</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591"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遂宁市看守所</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1145.25</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1145.25</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1492.38</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1492.38</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591"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遂宁市强制医疗所</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357.91</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357.91</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367.09</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367.09</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0" w:type="auto"/>
          <w:trHeight w:val="500" w:hRule="atLeast"/>
        </w:trPr>
        <w:tc>
          <w:tcPr>
            <w:tcW w:w="271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总计</w:t>
            </w:r>
          </w:p>
        </w:tc>
        <w:tc>
          <w:tcPr>
            <w:tcW w:w="111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22345.94</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22345.94</w:t>
            </w:r>
          </w:p>
        </w:tc>
        <w:tc>
          <w:tcPr>
            <w:tcW w:w="132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29651.16</w:t>
            </w:r>
          </w:p>
        </w:tc>
        <w:tc>
          <w:tcPr>
            <w:tcW w:w="13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29651.16</w:t>
            </w:r>
          </w:p>
        </w:tc>
        <w:tc>
          <w:tcPr>
            <w:tcW w:w="1728"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32.69%</w:t>
            </w:r>
          </w:p>
        </w:tc>
      </w:tr>
    </w:tbl>
    <w:p>
      <w:pPr>
        <w:spacing w:after="0" w:line="221" w:lineRule="exact"/>
        <w:rPr>
          <w:color w:val="auto"/>
          <w:sz w:val="20"/>
          <w:szCs w:val="20"/>
        </w:rPr>
      </w:pPr>
    </w:p>
    <w:tbl>
      <w:tblPr>
        <w:tblStyle w:val="13"/>
        <w:tblW w:w="10269" w:type="dxa"/>
        <w:tblInd w:w="-804" w:type="dxa"/>
        <w:tblLayout w:type="fixed"/>
        <w:tblCellMar>
          <w:top w:w="0" w:type="dxa"/>
          <w:left w:w="0" w:type="dxa"/>
          <w:bottom w:w="0" w:type="dxa"/>
          <w:right w:w="0" w:type="dxa"/>
        </w:tblCellMar>
      </w:tblPr>
      <w:tblGrid>
        <w:gridCol w:w="1470"/>
        <w:gridCol w:w="870"/>
        <w:gridCol w:w="795"/>
        <w:gridCol w:w="810"/>
        <w:gridCol w:w="750"/>
        <w:gridCol w:w="855"/>
        <w:gridCol w:w="873"/>
        <w:gridCol w:w="805"/>
        <w:gridCol w:w="818"/>
        <w:gridCol w:w="709"/>
        <w:gridCol w:w="818"/>
        <w:gridCol w:w="696"/>
      </w:tblGrid>
      <w:tr>
        <w:tblPrEx>
          <w:tblCellMar>
            <w:top w:w="0" w:type="dxa"/>
            <w:left w:w="0" w:type="dxa"/>
            <w:bottom w:w="0" w:type="dxa"/>
            <w:right w:w="0" w:type="dxa"/>
          </w:tblCellMar>
        </w:tblPrEx>
        <w:trPr>
          <w:trHeight w:val="280" w:hRule="atLeast"/>
        </w:trPr>
        <w:tc>
          <w:tcPr>
            <w:tcW w:w="10269" w:type="dxa"/>
            <w:gridSpan w:val="12"/>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3.2 2022年调整预算支出情况（单位：万元）</w:t>
            </w:r>
          </w:p>
        </w:tc>
      </w:tr>
      <w:tr>
        <w:tblPrEx>
          <w:tblCellMar>
            <w:top w:w="0" w:type="dxa"/>
            <w:left w:w="0" w:type="dxa"/>
            <w:bottom w:w="0" w:type="dxa"/>
            <w:right w:w="0" w:type="dxa"/>
          </w:tblCellMar>
        </w:tblPrEx>
        <w:trPr>
          <w:trHeight w:val="240" w:hRule="atLeast"/>
        </w:trPr>
        <w:tc>
          <w:tcPr>
            <w:tcW w:w="1470"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70"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9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0"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50"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5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7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0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8"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709"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818"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696"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r>
      <w:tr>
        <w:tblPrEx>
          <w:tblCellMar>
            <w:top w:w="0" w:type="dxa"/>
            <w:left w:w="0" w:type="dxa"/>
            <w:bottom w:w="0" w:type="dxa"/>
            <w:right w:w="0" w:type="dxa"/>
          </w:tblCellMar>
        </w:tblPrEx>
        <w:trPr>
          <w:trHeight w:val="500" w:hRule="atLeast"/>
        </w:trPr>
        <w:tc>
          <w:tcPr>
            <w:tcW w:w="14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w:t>
            </w:r>
          </w:p>
        </w:tc>
        <w:tc>
          <w:tcPr>
            <w:tcW w:w="408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年初预算数</w:t>
            </w:r>
          </w:p>
        </w:tc>
        <w:tc>
          <w:tcPr>
            <w:tcW w:w="402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调整预算数</w:t>
            </w:r>
          </w:p>
        </w:tc>
        <w:tc>
          <w:tcPr>
            <w:tcW w:w="69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预算支出调整比例</w:t>
            </w:r>
          </w:p>
        </w:tc>
      </w:tr>
      <w:tr>
        <w:tblPrEx>
          <w:tblCellMar>
            <w:top w:w="0" w:type="dxa"/>
            <w:left w:w="0" w:type="dxa"/>
            <w:bottom w:w="0" w:type="dxa"/>
            <w:right w:w="0" w:type="dxa"/>
          </w:tblCellMar>
        </w:tblPrEx>
        <w:trPr>
          <w:trHeight w:val="500"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16"/>
                <w:szCs w:val="16"/>
                <w:u w:val="none"/>
              </w:rPr>
            </w:pPr>
          </w:p>
        </w:tc>
        <w:tc>
          <w:tcPr>
            <w:tcW w:w="87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235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85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87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合计</w:t>
            </w:r>
          </w:p>
        </w:tc>
        <w:tc>
          <w:tcPr>
            <w:tcW w:w="2332"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基本支出</w:t>
            </w:r>
          </w:p>
        </w:tc>
        <w:tc>
          <w:tcPr>
            <w:tcW w:w="81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w:t>
            </w:r>
          </w:p>
        </w:tc>
        <w:tc>
          <w:tcPr>
            <w:tcW w:w="6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975" w:hRule="atLeast"/>
        </w:trPr>
        <w:tc>
          <w:tcPr>
            <w:tcW w:w="14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16"/>
                <w:szCs w:val="16"/>
                <w:u w:val="none"/>
              </w:rPr>
            </w:pPr>
          </w:p>
        </w:tc>
        <w:tc>
          <w:tcPr>
            <w:tcW w:w="87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16"/>
                <w:szCs w:val="16"/>
                <w:u w:val="none"/>
              </w:rPr>
            </w:pP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日常公用经费</w:t>
            </w:r>
          </w:p>
        </w:tc>
        <w:tc>
          <w:tcPr>
            <w:tcW w:w="8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16"/>
                <w:szCs w:val="16"/>
                <w:u w:val="none"/>
              </w:rPr>
            </w:pPr>
          </w:p>
        </w:tc>
        <w:tc>
          <w:tcPr>
            <w:tcW w:w="87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16"/>
                <w:szCs w:val="16"/>
                <w:u w:val="none"/>
              </w:rPr>
            </w:pP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小计</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日常公用经费</w:t>
            </w:r>
          </w:p>
        </w:tc>
        <w:tc>
          <w:tcPr>
            <w:tcW w:w="81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16"/>
                <w:szCs w:val="16"/>
                <w:u w:val="none"/>
              </w:rPr>
            </w:pPr>
          </w:p>
        </w:tc>
        <w:tc>
          <w:tcPr>
            <w:tcW w:w="6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jc w:val="center"/>
              <w:rPr>
                <w:rFonts w:hint="eastAsia" w:ascii="宋体" w:hAnsi="宋体" w:eastAsia="宋体" w:cs="宋体"/>
                <w:i w:val="0"/>
                <w:color w:val="000000"/>
                <w:sz w:val="16"/>
                <w:szCs w:val="16"/>
                <w:u w:val="none"/>
              </w:rPr>
            </w:pP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10,244.99</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7,101.86</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4,654.51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2,447.35</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3,143.13</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15,298.39</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10,850.80</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8,329.53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2,521.27</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4,447.59</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49.33%</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遂宁市公安局河东新区分局</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1,183.44</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1,183.44</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978.76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204.68</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1,912.52</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1,802.53</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1,500.57</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301.96</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109.99</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61.61%</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遂宁市公安局经济技术开发区分局</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3,237.92</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3,237.92</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2,686.56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551.36</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3,321.13</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3,140.89</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2,611.17</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529.72</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180.24</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2.57%</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遂宁市公安局交通警察支队</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4,575.33</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2,916.49</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1756.06</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1160.43</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1,658.84</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5,536.83</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3,877.99</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2,558.25</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1319.74</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1,658.84</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遂宁市公安局森林警察支队</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352.59</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316.19</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232.89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83.3</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36.4</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516.40</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446.08</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355.36</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90.72</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70.32</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46.46%</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遂宁市拘留所</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490.64</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345.07</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245.74</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99.33</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145.57</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590.51</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445.53</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364.49</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81.04</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144.98</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20.36%</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遂宁市强制隔离戒毒所</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514.56</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361.67</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285.29</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76.38</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152.89</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615.91</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462.27</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374.13</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88.14</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153.64</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19.70%</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遂宁市看守所</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1,145.25</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751.41</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523.28</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228.13</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393.84</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1,492.38</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1,032.73</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737.9</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294.83</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459.65</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30.31%</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color w:val="000000"/>
                <w:kern w:val="0"/>
                <w:sz w:val="16"/>
                <w:szCs w:val="16"/>
                <w:u w:val="none"/>
                <w:lang w:val="en-US" w:eastAsia="zh-CN" w:bidi="ar"/>
              </w:rPr>
              <w:t>遂宁市强制医疗所</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357.91</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134.67</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60.91</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73.76</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223.24</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367.09</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146.83</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87.38</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59.45</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220.26</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2.56%</w:t>
            </w:r>
          </w:p>
        </w:tc>
      </w:tr>
      <w:tr>
        <w:tblPrEx>
          <w:tblCellMar>
            <w:top w:w="0" w:type="dxa"/>
            <w:left w:w="0" w:type="dxa"/>
            <w:bottom w:w="0" w:type="dxa"/>
            <w:right w:w="0" w:type="dxa"/>
          </w:tblCellMar>
        </w:tblPrEx>
        <w:trPr>
          <w:trHeight w:val="500" w:hRule="atLeast"/>
        </w:trPr>
        <w:tc>
          <w:tcPr>
            <w:tcW w:w="14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color w:val="000000"/>
                <w:kern w:val="0"/>
                <w:sz w:val="16"/>
                <w:szCs w:val="16"/>
                <w:u w:val="none"/>
                <w:lang w:val="en-US" w:eastAsia="zh-CN" w:bidi="ar"/>
              </w:rPr>
              <w:t>总计</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22,102.63</w:t>
            </w:r>
          </w:p>
        </w:tc>
        <w:tc>
          <w:tcPr>
            <w:tcW w:w="7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16,348.72</w:t>
            </w:r>
          </w:p>
        </w:tc>
        <w:tc>
          <w:tcPr>
            <w:tcW w:w="81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11,424.00</w:t>
            </w:r>
          </w:p>
        </w:tc>
        <w:tc>
          <w:tcPr>
            <w:tcW w:w="7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4,924.72</w:t>
            </w: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5,753.91</w:t>
            </w:r>
          </w:p>
        </w:tc>
        <w:tc>
          <w:tcPr>
            <w:tcW w:w="8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29,651.16</w:t>
            </w:r>
          </w:p>
        </w:tc>
        <w:tc>
          <w:tcPr>
            <w:tcW w:w="8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22,205.65</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16,918.78</w:t>
            </w:r>
          </w:p>
        </w:tc>
        <w:tc>
          <w:tcPr>
            <w:tcW w:w="7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5,286.87</w:t>
            </w:r>
          </w:p>
        </w:tc>
        <w:tc>
          <w:tcPr>
            <w:tcW w:w="81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Arial" w:hAnsi="Arial" w:eastAsia="宋体" w:cs="Arial"/>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7,445.51</w:t>
            </w:r>
          </w:p>
        </w:tc>
        <w:tc>
          <w:tcPr>
            <w:tcW w:w="6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宋体" w:hAnsi="宋体" w:eastAsia="宋体" w:cs="宋体"/>
                <w:i w:val="0"/>
                <w:color w:val="000000"/>
                <w:kern w:val="2"/>
                <w:sz w:val="16"/>
                <w:szCs w:val="16"/>
                <w:u w:val="none"/>
                <w:lang w:val="en-US" w:eastAsia="zh-CN" w:bidi="ar-SA"/>
              </w:rPr>
            </w:pPr>
            <w:r>
              <w:rPr>
                <w:rFonts w:hint="eastAsia" w:ascii="宋体" w:hAnsi="宋体" w:eastAsia="宋体" w:cs="宋体"/>
                <w:i w:val="0"/>
                <w:iCs w:val="0"/>
                <w:color w:val="000000"/>
                <w:kern w:val="0"/>
                <w:sz w:val="16"/>
                <w:szCs w:val="16"/>
                <w:u w:val="none"/>
                <w:lang w:val="en-US" w:eastAsia="zh-CN" w:bidi="ar"/>
              </w:rPr>
              <w:t>34.15%</w:t>
            </w:r>
          </w:p>
        </w:tc>
      </w:tr>
    </w:tbl>
    <w:p>
      <w:pPr>
        <w:spacing w:after="0" w:line="221" w:lineRule="exact"/>
        <w:rPr>
          <w:color w:val="auto"/>
          <w:sz w:val="20"/>
          <w:szCs w:val="20"/>
        </w:rPr>
      </w:pPr>
    </w:p>
    <w:p>
      <w:pPr>
        <w:spacing w:after="0" w:line="91" w:lineRule="exact"/>
        <w:rPr>
          <w:color w:val="auto"/>
          <w:sz w:val="20"/>
          <w:szCs w:val="20"/>
        </w:rPr>
      </w:pPr>
      <w:bookmarkStart w:id="57" w:name="page9"/>
      <w:bookmarkEnd w:id="57"/>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遂宁市公安局对本级和</w:t>
      </w:r>
      <w:r>
        <w:rPr>
          <w:rFonts w:hint="eastAsia" w:ascii="仿宋_GB2312" w:hAnsi="宋体" w:eastAsia="仿宋_GB2312" w:cs="宋体"/>
          <w:color w:val="000000"/>
          <w:kern w:val="0"/>
          <w:sz w:val="32"/>
          <w:szCs w:val="32"/>
          <w:shd w:val="clear" w:color="auto" w:fill="FFFFFF"/>
          <w:lang w:val="en-US" w:eastAsia="zh-CN"/>
        </w:rPr>
        <w:t>8</w:t>
      </w:r>
      <w:r>
        <w:rPr>
          <w:rFonts w:hint="eastAsia" w:ascii="仿宋_GB2312" w:hAnsi="宋体" w:eastAsia="仿宋_GB2312" w:cs="宋体"/>
          <w:color w:val="000000"/>
          <w:kern w:val="0"/>
          <w:sz w:val="32"/>
          <w:szCs w:val="32"/>
          <w:shd w:val="clear" w:color="auto" w:fill="FFFFFF"/>
          <w:lang w:val="zh-CN"/>
        </w:rPr>
        <w:t>个独立核算二级预算单位整体编制了20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年部门预算，预算编制整体完整，有较明细的经济科目，见表3.1和表3.2</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预算编制存在预算调整比例较大情况，预算收入和支出的整体的调整比例约为</w:t>
      </w:r>
      <w:r>
        <w:rPr>
          <w:rFonts w:hint="eastAsia" w:ascii="仿宋_GB2312" w:hAnsi="宋体" w:eastAsia="仿宋_GB2312" w:cs="宋体"/>
          <w:color w:val="000000"/>
          <w:kern w:val="0"/>
          <w:sz w:val="32"/>
          <w:szCs w:val="32"/>
          <w:shd w:val="clear" w:color="auto" w:fill="FFFFFF"/>
          <w:lang w:val="en-US" w:eastAsia="zh-CN"/>
        </w:rPr>
        <w:t>34.15</w:t>
      </w:r>
      <w:r>
        <w:rPr>
          <w:rFonts w:hint="eastAsia" w:ascii="仿宋_GB2312" w:hAnsi="宋体" w:eastAsia="仿宋_GB2312" w:cs="宋体"/>
          <w:color w:val="000000"/>
          <w:kern w:val="0"/>
          <w:sz w:val="32"/>
          <w:szCs w:val="32"/>
          <w:shd w:val="clear" w:color="auto" w:fill="FFFFFF"/>
          <w:lang w:val="zh-CN"/>
        </w:rPr>
        <w:t>%。各单位均存在个别费用决算支出超过预算的情形。</w:t>
      </w:r>
    </w:p>
    <w:p>
      <w:pPr>
        <w:widowControl/>
        <w:adjustRightInd w:val="0"/>
        <w:snapToGrid w:val="0"/>
        <w:spacing w:line="360" w:lineRule="auto"/>
        <w:ind w:firstLine="643" w:firstLineChars="200"/>
        <w:contextualSpacing/>
        <w:jc w:val="left"/>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zh-CN"/>
        </w:rPr>
        <w:t>2.绩效目标填报</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20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年初，遂宁市公安局提交了《部门（单位）整体支出绩效目标申报表》部门整体绩效目标设定的 20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年度主要任务是：深入贯彻习近平总书记关于新时代公安工作的重要论述，坚持党的绝对领导、坚持总体国家安全观。在市委、市政府的领导下，在上级业务主管部门的指导下，以开展“喜迎二十大、忠诚保平安”实践活动为主题，以推进“磐石”系列专项活动为抓手，全面实现工作大提升、绩效大提位，高站们捍卫“两个确立”、做到“两个维护”，高质量护航遂宁经济发展，高标准铸造过硬公安队伍，着力打造成渝线上发案最少、秩序最好、服务最优的平安“星”城，以实际行动迎接党的二十大和省第十二次党代会胜利召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保障部门人员工资福利；部门行政运行；做强应急处突能力建设；优化公安管理服务；着力提升服务质效；推进扫黑除恶专项斗争；扎实抓好禁毒人民战争；扎实开展系列专项行动；深化社会治安整体防控；大力提升科技信息水平；夯实党的组织建设；强化党风廉政建设；大力提升履职能力。</w:t>
      </w:r>
    </w:p>
    <w:p>
      <w:pPr>
        <w:widowControl/>
        <w:adjustRightInd w:val="0"/>
        <w:snapToGrid w:val="0"/>
        <w:spacing w:line="360" w:lineRule="auto"/>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r>
        <w:rPr>
          <w:rFonts w:hint="eastAsia" w:ascii="楷体_GB2312" w:hAnsi="楷体_GB2312" w:eastAsia="楷体_GB2312" w:cs="楷体_GB2312"/>
          <w:b/>
          <w:bCs/>
          <w:color w:val="000000"/>
          <w:kern w:val="0"/>
          <w:sz w:val="32"/>
          <w:szCs w:val="32"/>
          <w:shd w:val="clear" w:color="auto" w:fill="FFFFFF"/>
          <w:lang w:val="zh-CN"/>
        </w:rPr>
        <w:t>（</w:t>
      </w:r>
      <w:r>
        <w:rPr>
          <w:rFonts w:hint="eastAsia" w:ascii="楷体_GB2312" w:hAnsi="楷体_GB2312" w:eastAsia="楷体_GB2312" w:cs="楷体_GB2312"/>
          <w:b/>
          <w:bCs/>
          <w:color w:val="000000"/>
          <w:kern w:val="0"/>
          <w:sz w:val="32"/>
          <w:szCs w:val="32"/>
          <w:shd w:val="clear" w:color="auto" w:fill="FFFFFF"/>
          <w:lang w:val="en-US" w:eastAsia="zh-CN"/>
        </w:rPr>
        <w:t>三</w:t>
      </w:r>
      <w:r>
        <w:rPr>
          <w:rFonts w:hint="eastAsia" w:ascii="楷体_GB2312" w:hAnsi="楷体_GB2312" w:eastAsia="楷体_GB2312" w:cs="楷体_GB2312"/>
          <w:b/>
          <w:bCs/>
          <w:color w:val="000000"/>
          <w:kern w:val="0"/>
          <w:sz w:val="32"/>
          <w:szCs w:val="32"/>
          <w:shd w:val="clear" w:color="auto" w:fill="FFFFFF"/>
          <w:lang w:val="zh-CN"/>
        </w:rPr>
        <w:t>）执行管理情况</w:t>
      </w:r>
    </w:p>
    <w:tbl>
      <w:tblPr>
        <w:tblStyle w:val="13"/>
        <w:tblW w:w="0" w:type="auto"/>
        <w:tblInd w:w="0" w:type="dxa"/>
        <w:tblLayout w:type="fixed"/>
        <w:tblCellMar>
          <w:top w:w="0" w:type="dxa"/>
          <w:left w:w="0" w:type="dxa"/>
          <w:bottom w:w="0" w:type="dxa"/>
          <w:right w:w="0" w:type="dxa"/>
        </w:tblCellMar>
      </w:tblPr>
      <w:tblGrid>
        <w:gridCol w:w="825"/>
        <w:gridCol w:w="2775"/>
        <w:gridCol w:w="1759"/>
        <w:gridCol w:w="1623"/>
        <w:gridCol w:w="2223"/>
      </w:tblGrid>
      <w:tr>
        <w:tblPrEx>
          <w:tblCellMar>
            <w:top w:w="0" w:type="dxa"/>
            <w:left w:w="0" w:type="dxa"/>
            <w:bottom w:w="0" w:type="dxa"/>
            <w:right w:w="0" w:type="dxa"/>
          </w:tblCellMar>
        </w:tblPrEx>
        <w:trPr>
          <w:trHeight w:val="360" w:hRule="atLeast"/>
        </w:trPr>
        <w:tc>
          <w:tcPr>
            <w:tcW w:w="9205" w:type="dxa"/>
            <w:gridSpan w:val="5"/>
            <w:tcBorders>
              <w:top w:val="nil"/>
              <w:left w:val="nil"/>
              <w:bottom w:val="nil"/>
              <w:right w:val="nil"/>
            </w:tcBorders>
            <w:noWrap w:val="0"/>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1"/>
                <w:szCs w:val="21"/>
                <w:u w:val="none"/>
                <w:lang w:val="en-US" w:eastAsia="zh-CN" w:bidi="ar"/>
              </w:rPr>
              <w:t>表 3.3    2022 年预算执行进度情况（单位：万元）</w:t>
            </w:r>
          </w:p>
        </w:tc>
      </w:tr>
      <w:tr>
        <w:tblPrEx>
          <w:tblCellMar>
            <w:top w:w="0" w:type="dxa"/>
            <w:left w:w="0" w:type="dxa"/>
            <w:bottom w:w="0" w:type="dxa"/>
            <w:right w:w="0" w:type="dxa"/>
          </w:tblCellMar>
        </w:tblPrEx>
        <w:trPr>
          <w:trHeight w:val="240" w:hRule="atLeast"/>
        </w:trPr>
        <w:tc>
          <w:tcPr>
            <w:tcW w:w="82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2775"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1759"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162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c>
          <w:tcPr>
            <w:tcW w:w="2223" w:type="dxa"/>
            <w:tcBorders>
              <w:top w:val="nil"/>
              <w:left w:val="nil"/>
              <w:bottom w:val="nil"/>
              <w:right w:val="nil"/>
            </w:tcBorders>
            <w:noWrap w:val="0"/>
            <w:tcMar>
              <w:top w:w="15" w:type="dxa"/>
              <w:left w:w="15" w:type="dxa"/>
              <w:right w:w="15" w:type="dxa"/>
            </w:tcMar>
            <w:vAlign w:val="bottom"/>
          </w:tcPr>
          <w:p>
            <w:pPr>
              <w:jc w:val="both"/>
              <w:rPr>
                <w:rFonts w:hint="default" w:ascii="Times New Roman" w:hAnsi="Times New Roman" w:eastAsia="宋体" w:cs="Times New Roman"/>
                <w:i w:val="0"/>
                <w:color w:val="000000"/>
                <w:sz w:val="14"/>
                <w:szCs w:val="14"/>
                <w:u w:val="none"/>
              </w:rPr>
            </w:pP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决算数</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预算执行进度</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15,298.39</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15,298.39</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遂宁市公安局河东新区分局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1,912.52</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1,912.52</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遂宁市公安局经济技术开发区分局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3,321.13</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3,321.13</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遂宁市公安局交通警察支队</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5,536.83</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5,536.83</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遂宁市公安局森林警察支队</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516.4</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516.4</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16"/>
                <w:szCs w:val="16"/>
                <w:u w:val="none"/>
                <w:lang w:val="en-US" w:eastAsia="zh-CN" w:bidi="ar"/>
              </w:rPr>
              <w:t>遂宁市拘留所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590.51</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590.51</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遂宁市强制隔离戒毒所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615.92</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615.92</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遂宁市看守所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1492.38</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1492.38</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16"/>
                <w:szCs w:val="16"/>
                <w:u w:val="none"/>
                <w:lang w:val="en-US" w:eastAsia="zh-CN" w:bidi="ar"/>
              </w:rPr>
              <w:t>遂宁市强制医疗所</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367.09</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367.09</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r>
        <w:tblPrEx>
          <w:tblCellMar>
            <w:top w:w="0" w:type="dxa"/>
            <w:left w:w="0" w:type="dxa"/>
            <w:bottom w:w="0" w:type="dxa"/>
            <w:right w:w="0" w:type="dxa"/>
          </w:tblCellMar>
        </w:tblPrEx>
        <w:trPr>
          <w:trHeight w:val="500" w:hRule="atLeast"/>
        </w:trPr>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27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合计</w:t>
            </w:r>
          </w:p>
        </w:tc>
        <w:tc>
          <w:tcPr>
            <w:tcW w:w="17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29651.17</w:t>
            </w:r>
          </w:p>
        </w:tc>
        <w:tc>
          <w:tcPr>
            <w:tcW w:w="16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29651.17</w:t>
            </w:r>
          </w:p>
        </w:tc>
        <w:tc>
          <w:tcPr>
            <w:tcW w:w="22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r>
    </w:tbl>
    <w:p>
      <w:pPr>
        <w:widowControl/>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p>
    <w:p>
      <w:pPr>
        <w:widowControl/>
        <w:adjustRightInd w:val="0"/>
        <w:snapToGrid w:val="0"/>
        <w:spacing w:line="360" w:lineRule="auto"/>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rPr>
      </w:pPr>
      <w:bookmarkStart w:id="58" w:name="page10"/>
      <w:bookmarkEnd w:id="58"/>
      <w:r>
        <w:rPr>
          <w:rFonts w:hint="eastAsia" w:ascii="楷体_GB2312" w:hAnsi="楷体_GB2312" w:eastAsia="楷体_GB2312" w:cs="楷体_GB2312"/>
          <w:b/>
          <w:bCs/>
          <w:color w:val="000000"/>
          <w:kern w:val="0"/>
          <w:sz w:val="32"/>
          <w:szCs w:val="32"/>
          <w:shd w:val="clear" w:color="auto" w:fill="FFFFFF"/>
          <w:lang w:val="zh-CN"/>
        </w:rPr>
        <w:t>（</w:t>
      </w:r>
      <w:r>
        <w:rPr>
          <w:rFonts w:hint="eastAsia" w:ascii="楷体_GB2312" w:hAnsi="楷体_GB2312" w:eastAsia="楷体_GB2312" w:cs="楷体_GB2312"/>
          <w:b/>
          <w:bCs/>
          <w:color w:val="000000"/>
          <w:kern w:val="0"/>
          <w:sz w:val="32"/>
          <w:szCs w:val="32"/>
          <w:shd w:val="clear" w:color="auto" w:fill="FFFFFF"/>
          <w:lang w:val="en-US" w:eastAsia="zh-CN"/>
        </w:rPr>
        <w:t>四</w:t>
      </w:r>
      <w:r>
        <w:rPr>
          <w:rFonts w:hint="eastAsia" w:ascii="楷体_GB2312" w:hAnsi="楷体_GB2312" w:eastAsia="楷体_GB2312" w:cs="楷体_GB2312"/>
          <w:b/>
          <w:bCs/>
          <w:color w:val="000000"/>
          <w:kern w:val="0"/>
          <w:sz w:val="32"/>
          <w:szCs w:val="32"/>
          <w:shd w:val="clear" w:color="auto" w:fill="FFFFFF"/>
          <w:lang w:val="zh-CN"/>
        </w:rPr>
        <w:t>）综合管理情况</w:t>
      </w:r>
    </w:p>
    <w:p>
      <w:pPr>
        <w:widowControl/>
        <w:adjustRightInd w:val="0"/>
        <w:snapToGrid w:val="0"/>
        <w:spacing w:line="360" w:lineRule="auto"/>
        <w:ind w:firstLine="643" w:firstLineChars="200"/>
        <w:contextualSpacing/>
        <w:jc w:val="left"/>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1.</w:t>
      </w:r>
      <w:r>
        <w:rPr>
          <w:rFonts w:hint="eastAsia" w:ascii="仿宋_GB2312" w:hAnsi="宋体" w:eastAsia="仿宋_GB2312" w:cs="宋体"/>
          <w:b/>
          <w:bCs/>
          <w:color w:val="000000"/>
          <w:kern w:val="0"/>
          <w:sz w:val="32"/>
          <w:szCs w:val="32"/>
          <w:shd w:val="clear" w:color="auto" w:fill="FFFFFF"/>
          <w:lang w:val="zh-CN"/>
        </w:rPr>
        <w:t>政府性债务管理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各单位无政府性债务。</w:t>
      </w:r>
    </w:p>
    <w:p>
      <w:pPr>
        <w:widowControl/>
        <w:adjustRightInd w:val="0"/>
        <w:snapToGrid w:val="0"/>
        <w:spacing w:line="360" w:lineRule="auto"/>
        <w:ind w:firstLine="643" w:firstLineChars="200"/>
        <w:contextualSpacing/>
        <w:jc w:val="left"/>
        <w:rPr>
          <w:rFonts w:hint="eastAsia" w:ascii="仿宋_GB2312" w:hAnsi="宋体" w:eastAsia="仿宋_GB2312" w:cs="宋体"/>
          <w:b/>
          <w:bCs/>
          <w:color w:val="000000"/>
          <w:kern w:val="0"/>
          <w:sz w:val="32"/>
          <w:szCs w:val="32"/>
          <w:shd w:val="clear" w:color="auto" w:fill="FFFFFF"/>
          <w:lang w:val="zh-CN"/>
        </w:rPr>
      </w:pPr>
      <w:r>
        <w:rPr>
          <w:rFonts w:hint="eastAsia" w:ascii="仿宋_GB2312" w:hAnsi="宋体" w:eastAsia="仿宋_GB2312" w:cs="宋体"/>
          <w:b/>
          <w:bCs/>
          <w:color w:val="000000"/>
          <w:kern w:val="0"/>
          <w:sz w:val="32"/>
          <w:szCs w:val="32"/>
          <w:shd w:val="clear" w:color="auto" w:fill="FFFFFF"/>
          <w:lang w:val="en-US" w:eastAsia="zh-CN"/>
        </w:rPr>
        <w:t>2.</w:t>
      </w:r>
      <w:r>
        <w:rPr>
          <w:rFonts w:hint="eastAsia" w:ascii="仿宋_GB2312" w:hAnsi="宋体" w:eastAsia="仿宋_GB2312" w:cs="宋体"/>
          <w:b/>
          <w:bCs/>
          <w:color w:val="000000"/>
          <w:kern w:val="0"/>
          <w:sz w:val="32"/>
          <w:szCs w:val="32"/>
          <w:shd w:val="clear" w:color="auto" w:fill="FFFFFF"/>
          <w:lang w:val="zh-CN"/>
        </w:rPr>
        <w:t>非税收入执收</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遂宁市公安局20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492.99</w:t>
      </w:r>
      <w:r>
        <w:rPr>
          <w:rFonts w:hint="eastAsia" w:ascii="仿宋_GB2312" w:hAnsi="宋体" w:eastAsia="仿宋_GB2312" w:cs="宋体"/>
          <w:color w:val="000000"/>
          <w:kern w:val="0"/>
          <w:sz w:val="32"/>
          <w:szCs w:val="32"/>
          <w:shd w:val="clear" w:color="auto" w:fill="FFFFFF"/>
          <w:lang w:val="zh-CN"/>
        </w:rPr>
        <w:t>万元（其中行政事业性收费</w:t>
      </w:r>
      <w:r>
        <w:rPr>
          <w:rFonts w:hint="eastAsia" w:ascii="仿宋_GB2312" w:hAnsi="宋体" w:eastAsia="仿宋_GB2312" w:cs="宋体"/>
          <w:color w:val="000000"/>
          <w:kern w:val="0"/>
          <w:sz w:val="32"/>
          <w:szCs w:val="32"/>
          <w:shd w:val="clear" w:color="auto" w:fill="FFFFFF"/>
          <w:lang w:val="en-US" w:eastAsia="zh-CN"/>
        </w:rPr>
        <w:t>11.47</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en-US" w:eastAsia="zh-CN"/>
        </w:rPr>
        <w:t>公安罚没收入480.72万元</w:t>
      </w:r>
      <w:r>
        <w:rPr>
          <w:rFonts w:hint="eastAsia" w:ascii="仿宋_GB2312" w:hAnsi="宋体" w:eastAsia="仿宋_GB2312" w:cs="宋体"/>
          <w:color w:val="000000"/>
          <w:kern w:val="0"/>
          <w:sz w:val="32"/>
          <w:szCs w:val="32"/>
          <w:shd w:val="clear" w:color="auto" w:fill="FFFFFF"/>
          <w:lang w:val="zh-CN"/>
        </w:rPr>
        <w:t>、</w:t>
      </w:r>
      <w:r>
        <w:rPr>
          <w:rFonts w:hint="eastAsia" w:ascii="仿宋_GB2312" w:hAnsi="宋体" w:eastAsia="仿宋_GB2312" w:cs="宋体"/>
          <w:color w:val="000000"/>
          <w:kern w:val="0"/>
          <w:sz w:val="32"/>
          <w:szCs w:val="32"/>
          <w:shd w:val="clear" w:color="auto" w:fill="FFFFFF"/>
          <w:lang w:val="en-US" w:eastAsia="zh-CN"/>
        </w:rPr>
        <w:t>其他收入0.80</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zh-CN" w:eastAsia="zh-CN"/>
        </w:rPr>
        <w:t>。</w:t>
      </w:r>
      <w:r>
        <w:rPr>
          <w:rFonts w:hint="eastAsia" w:ascii="仿宋_GB2312" w:hAnsi="宋体" w:eastAsia="仿宋_GB2312" w:cs="宋体"/>
          <w:color w:val="000000"/>
          <w:kern w:val="0"/>
          <w:sz w:val="32"/>
          <w:szCs w:val="32"/>
          <w:shd w:val="clear" w:color="auto" w:fill="FFFFFF"/>
          <w:lang w:val="zh-CN"/>
        </w:rPr>
        <w:t>遂宁市公安局交通警察支队 20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6961.39</w:t>
      </w:r>
      <w:r>
        <w:rPr>
          <w:rFonts w:hint="eastAsia" w:ascii="仿宋_GB2312" w:hAnsi="宋体" w:eastAsia="仿宋_GB2312" w:cs="宋体"/>
          <w:color w:val="000000"/>
          <w:kern w:val="0"/>
          <w:sz w:val="32"/>
          <w:szCs w:val="32"/>
          <w:shd w:val="clear" w:color="auto" w:fill="FFFFFF"/>
          <w:lang w:val="zh-CN"/>
        </w:rPr>
        <w:t>万元（其中行政事业性收费</w:t>
      </w:r>
      <w:r>
        <w:rPr>
          <w:rFonts w:hint="eastAsia" w:ascii="仿宋_GB2312" w:hAnsi="宋体" w:eastAsia="仿宋_GB2312" w:cs="宋体"/>
          <w:color w:val="000000"/>
          <w:kern w:val="0"/>
          <w:sz w:val="32"/>
          <w:szCs w:val="32"/>
          <w:shd w:val="clear" w:color="auto" w:fill="FFFFFF"/>
          <w:lang w:val="en-US" w:eastAsia="zh-CN"/>
        </w:rPr>
        <w:t>2484.32</w:t>
      </w:r>
      <w:r>
        <w:rPr>
          <w:rFonts w:hint="eastAsia" w:ascii="仿宋_GB2312" w:hAnsi="宋体" w:eastAsia="仿宋_GB2312" w:cs="宋体"/>
          <w:color w:val="000000"/>
          <w:kern w:val="0"/>
          <w:sz w:val="32"/>
          <w:szCs w:val="32"/>
          <w:shd w:val="clear" w:color="auto" w:fill="FFFFFF"/>
          <w:lang w:val="zh-CN"/>
        </w:rPr>
        <w:t>万元、罚没收入</w:t>
      </w:r>
      <w:r>
        <w:rPr>
          <w:rFonts w:hint="eastAsia" w:ascii="仿宋_GB2312" w:hAnsi="宋体" w:eastAsia="仿宋_GB2312" w:cs="宋体"/>
          <w:color w:val="000000"/>
          <w:kern w:val="0"/>
          <w:sz w:val="32"/>
          <w:szCs w:val="32"/>
          <w:shd w:val="clear" w:color="auto" w:fill="FFFFFF"/>
          <w:lang w:val="en-US" w:eastAsia="zh-CN"/>
        </w:rPr>
        <w:t>4473.20</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en-US" w:eastAsia="zh-CN"/>
        </w:rPr>
        <w:t>利息收入3.87万元</w:t>
      </w:r>
      <w:r>
        <w:rPr>
          <w:rFonts w:hint="eastAsia" w:ascii="仿宋_GB2312" w:hAnsi="宋体" w:eastAsia="仿宋_GB2312" w:cs="宋体"/>
          <w:color w:val="000000"/>
          <w:kern w:val="0"/>
          <w:sz w:val="32"/>
          <w:szCs w:val="32"/>
          <w:shd w:val="clear" w:color="auto" w:fill="FFFFFF"/>
          <w:lang w:val="zh-CN"/>
        </w:rPr>
        <w:t>）。遂宁市公安局</w:t>
      </w:r>
      <w:r>
        <w:rPr>
          <w:rFonts w:hint="eastAsia" w:ascii="仿宋_GB2312" w:hAnsi="宋体" w:eastAsia="仿宋_GB2312" w:cs="宋体"/>
          <w:color w:val="000000"/>
          <w:kern w:val="0"/>
          <w:sz w:val="32"/>
          <w:szCs w:val="32"/>
          <w:shd w:val="clear" w:color="auto" w:fill="FFFFFF"/>
          <w:lang w:val="en-US" w:eastAsia="zh-CN"/>
        </w:rPr>
        <w:t>森林</w:t>
      </w:r>
      <w:r>
        <w:rPr>
          <w:rFonts w:hint="eastAsia" w:ascii="仿宋_GB2312" w:hAnsi="宋体" w:eastAsia="仿宋_GB2312" w:cs="宋体"/>
          <w:color w:val="000000"/>
          <w:kern w:val="0"/>
          <w:sz w:val="32"/>
          <w:szCs w:val="32"/>
          <w:shd w:val="clear" w:color="auto" w:fill="FFFFFF"/>
          <w:lang w:val="zh-CN"/>
        </w:rPr>
        <w:t>警察支队 20</w:t>
      </w:r>
      <w:r>
        <w:rPr>
          <w:rFonts w:hint="eastAsia" w:ascii="仿宋_GB2312" w:hAnsi="宋体" w:eastAsia="仿宋_GB2312" w:cs="宋体"/>
          <w:color w:val="000000"/>
          <w:kern w:val="0"/>
          <w:sz w:val="32"/>
          <w:szCs w:val="32"/>
          <w:shd w:val="clear" w:color="auto" w:fill="FFFFFF"/>
          <w:lang w:val="en-US" w:eastAsia="zh-CN"/>
        </w:rPr>
        <w:t>22</w:t>
      </w:r>
      <w:r>
        <w:rPr>
          <w:rFonts w:hint="eastAsia" w:ascii="仿宋_GB2312" w:hAnsi="宋体" w:eastAsia="仿宋_GB2312" w:cs="宋体"/>
          <w:color w:val="000000"/>
          <w:kern w:val="0"/>
          <w:sz w:val="32"/>
          <w:szCs w:val="32"/>
          <w:shd w:val="clear" w:color="auto" w:fill="FFFFFF"/>
          <w:lang w:val="zh-CN"/>
        </w:rPr>
        <w:t>年度缴入国库非税收入</w:t>
      </w:r>
      <w:r>
        <w:rPr>
          <w:rFonts w:hint="eastAsia" w:ascii="仿宋_GB2312" w:hAnsi="宋体" w:eastAsia="仿宋_GB2312" w:cs="宋体"/>
          <w:color w:val="000000"/>
          <w:kern w:val="0"/>
          <w:sz w:val="32"/>
          <w:szCs w:val="32"/>
          <w:shd w:val="clear" w:color="auto" w:fill="FFFFFF"/>
          <w:lang w:val="en-US" w:eastAsia="zh-CN"/>
        </w:rPr>
        <w:t>0.002</w:t>
      </w:r>
      <w:r>
        <w:rPr>
          <w:rFonts w:hint="eastAsia" w:ascii="仿宋_GB2312" w:hAnsi="宋体" w:eastAsia="仿宋_GB2312" w:cs="宋体"/>
          <w:color w:val="000000"/>
          <w:kern w:val="0"/>
          <w:sz w:val="32"/>
          <w:szCs w:val="32"/>
          <w:shd w:val="clear" w:color="auto" w:fill="FFFFFF"/>
          <w:lang w:val="zh-CN"/>
        </w:rPr>
        <w:t>万元，</w:t>
      </w:r>
      <w:r>
        <w:rPr>
          <w:rFonts w:hint="eastAsia" w:ascii="仿宋_GB2312" w:hAnsi="宋体" w:eastAsia="仿宋_GB2312" w:cs="宋体"/>
          <w:color w:val="000000"/>
          <w:kern w:val="0"/>
          <w:sz w:val="32"/>
          <w:szCs w:val="32"/>
          <w:shd w:val="clear" w:color="auto" w:fill="FFFFFF"/>
          <w:lang w:val="en-US" w:eastAsia="zh-CN"/>
        </w:rPr>
        <w:t>为利息收入</w:t>
      </w:r>
      <w:r>
        <w:rPr>
          <w:rFonts w:hint="eastAsia" w:ascii="仿宋_GB2312" w:hAnsi="宋体" w:eastAsia="仿宋_GB2312" w:cs="宋体"/>
          <w:color w:val="000000"/>
          <w:kern w:val="0"/>
          <w:sz w:val="32"/>
          <w:szCs w:val="32"/>
          <w:shd w:val="clear" w:color="auto" w:fill="FFFFFF"/>
          <w:lang w:val="zh-CN"/>
        </w:rPr>
        <w:t>。</w:t>
      </w:r>
    </w:p>
    <w:p>
      <w:pPr>
        <w:widowControl/>
        <w:adjustRightInd w:val="0"/>
        <w:snapToGrid w:val="0"/>
        <w:spacing w:line="360" w:lineRule="auto"/>
        <w:ind w:firstLine="643" w:firstLineChars="200"/>
        <w:contextualSpacing/>
        <w:jc w:val="left"/>
        <w:rPr>
          <w:rFonts w:hint="eastAsia" w:ascii="仿宋_GB2312" w:hAnsi="宋体" w:eastAsia="仿宋_GB2312" w:cs="宋体"/>
          <w:b/>
          <w:bCs/>
          <w:color w:val="000000"/>
          <w:kern w:val="0"/>
          <w:sz w:val="32"/>
          <w:szCs w:val="32"/>
          <w:shd w:val="clear" w:color="auto" w:fill="FFFFFF"/>
          <w:lang w:val="en-US" w:eastAsia="zh-CN"/>
        </w:rPr>
      </w:pPr>
      <w:r>
        <w:rPr>
          <w:rFonts w:hint="eastAsia" w:ascii="仿宋_GB2312" w:hAnsi="宋体" w:eastAsia="仿宋_GB2312" w:cs="宋体"/>
          <w:b/>
          <w:bCs/>
          <w:color w:val="000000"/>
          <w:kern w:val="0"/>
          <w:sz w:val="32"/>
          <w:szCs w:val="32"/>
          <w:shd w:val="clear" w:color="auto" w:fill="FFFFFF"/>
          <w:lang w:val="en-US" w:eastAsia="zh-CN"/>
        </w:rPr>
        <w:t>3.资产管理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单位资产管理由警务保障部门总负责，使用人具体负责管理。新增购置的资产按照使用人逐一录入资产管理系统，对达到报废标准的资产由使用人经部门领导审批同意后交回警务保障部门按照资产报废程序统一报国资委审批后处置。同时每年对单位资产进行一次集中清理，确保账实一致，防止国有资产流失。</w:t>
      </w:r>
    </w:p>
    <w:p>
      <w:pPr>
        <w:widowControl/>
        <w:adjustRightInd w:val="0"/>
        <w:snapToGrid w:val="0"/>
        <w:spacing w:line="360" w:lineRule="auto"/>
        <w:ind w:firstLine="643" w:firstLineChars="200"/>
        <w:contextualSpacing/>
        <w:jc w:val="left"/>
        <w:rPr>
          <w:rFonts w:hint="eastAsia" w:ascii="仿宋_GB2312" w:hAnsi="宋体" w:eastAsia="仿宋_GB2312" w:cs="宋体"/>
          <w:b/>
          <w:bCs/>
          <w:color w:val="000000"/>
          <w:kern w:val="0"/>
          <w:sz w:val="32"/>
          <w:szCs w:val="32"/>
          <w:shd w:val="clear" w:color="auto" w:fill="FFFFFF"/>
          <w:lang w:val="en-US" w:eastAsia="zh-CN"/>
        </w:rPr>
      </w:pPr>
      <w:r>
        <w:rPr>
          <w:rFonts w:hint="eastAsia" w:ascii="仿宋_GB2312" w:hAnsi="宋体" w:eastAsia="仿宋_GB2312" w:cs="宋体"/>
          <w:b/>
          <w:bCs/>
          <w:color w:val="000000"/>
          <w:kern w:val="0"/>
          <w:sz w:val="32"/>
          <w:szCs w:val="32"/>
          <w:shd w:val="clear" w:color="auto" w:fill="FFFFFF"/>
          <w:lang w:val="en-US" w:eastAsia="zh-CN"/>
        </w:rPr>
        <w:t>4.内控制度管理</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积极组织开展了贯彻实施《行政事业单位内控规范》的工作，在坚持内控制度要全面性、重要性、制衡性、适应性等原则的基础上进一步完善了本单位的内部控制制度，制定了《遂宁市公安局内控手册》，使之成为符合实际、行之有效的一套内控制度，提高了单位的管理水平，加强了廉政风险防控机制建设。</w:t>
      </w:r>
    </w:p>
    <w:p>
      <w:pPr>
        <w:widowControl/>
        <w:adjustRightInd w:val="0"/>
        <w:snapToGrid w:val="0"/>
        <w:spacing w:line="360" w:lineRule="auto"/>
        <w:ind w:firstLine="643" w:firstLineChars="200"/>
        <w:contextualSpacing/>
        <w:jc w:val="left"/>
        <w:rPr>
          <w:rFonts w:hint="eastAsia" w:ascii="仿宋_GB2312" w:hAnsi="宋体" w:eastAsia="仿宋_GB2312" w:cs="宋体"/>
          <w:b/>
          <w:bCs/>
          <w:color w:val="000000"/>
          <w:kern w:val="0"/>
          <w:sz w:val="32"/>
          <w:szCs w:val="32"/>
          <w:shd w:val="clear" w:color="auto" w:fill="FFFFFF"/>
          <w:lang w:val="en-US" w:eastAsia="zh-CN"/>
        </w:rPr>
      </w:pPr>
      <w:r>
        <w:rPr>
          <w:rFonts w:hint="eastAsia" w:ascii="仿宋_GB2312" w:hAnsi="宋体" w:eastAsia="仿宋_GB2312" w:cs="宋体"/>
          <w:b/>
          <w:bCs/>
          <w:color w:val="000000"/>
          <w:kern w:val="0"/>
          <w:sz w:val="32"/>
          <w:szCs w:val="32"/>
          <w:shd w:val="clear" w:color="auto" w:fill="FFFFFF"/>
          <w:lang w:val="en-US" w:eastAsia="zh-CN"/>
        </w:rPr>
        <w:t>5.信息公开</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 2022年部门预算已在遂宁市政府网站政府信息公开板块进行了公开，绩效目标亦按相关要求进行了公开。</w:t>
      </w:r>
    </w:p>
    <w:p>
      <w:pPr>
        <w:widowControl/>
        <w:adjustRightInd w:val="0"/>
        <w:snapToGrid w:val="0"/>
        <w:spacing w:line="360" w:lineRule="auto"/>
        <w:ind w:firstLine="643" w:firstLineChars="200"/>
        <w:contextualSpacing/>
        <w:jc w:val="left"/>
        <w:rPr>
          <w:rFonts w:hint="eastAsia" w:ascii="仿宋_GB2312" w:hAnsi="宋体" w:eastAsia="仿宋_GB2312" w:cs="宋体"/>
          <w:b/>
          <w:bCs/>
          <w:color w:val="000000"/>
          <w:kern w:val="0"/>
          <w:sz w:val="32"/>
          <w:szCs w:val="32"/>
          <w:shd w:val="clear" w:color="auto" w:fill="FFFFFF"/>
          <w:lang w:val="en-US" w:eastAsia="zh-CN"/>
        </w:rPr>
      </w:pPr>
      <w:r>
        <w:rPr>
          <w:rFonts w:hint="eastAsia" w:ascii="仿宋_GB2312" w:hAnsi="宋体" w:eastAsia="仿宋_GB2312" w:cs="宋体"/>
          <w:b/>
          <w:bCs/>
          <w:color w:val="000000"/>
          <w:kern w:val="0"/>
          <w:sz w:val="32"/>
          <w:szCs w:val="32"/>
          <w:shd w:val="clear" w:color="auto" w:fill="FFFFFF"/>
          <w:lang w:val="en-US" w:eastAsia="zh-CN"/>
        </w:rPr>
        <w:t>6.绩效评价</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遂宁市公安局及下属单位根据《关于开展 2023 年部门、项目、政策支出绩效自评工作的通知》（遂财绩〔2023〕2号》的要求，对部门 2022年整体财政支出绩效进行了自评，并出具了自评报告及评分表。</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在自评报告中，遂宁市公安局对本级和8个独立核算二级预算单位对机构设置、人员组成、部门职能等基本情况做了介绍，对 2022年财政收支情况做了阐述，对 2022年的整体工作做了详细介绍，并提出了存在的问题和改进的建议。</w:t>
      </w:r>
    </w:p>
    <w:p>
      <w:pPr>
        <w:widowControl/>
        <w:adjustRightInd w:val="0"/>
        <w:snapToGrid w:val="0"/>
        <w:spacing w:line="360" w:lineRule="auto"/>
        <w:ind w:firstLine="643" w:firstLineChars="200"/>
        <w:contextualSpacing/>
        <w:jc w:val="left"/>
        <w:rPr>
          <w:rFonts w:hint="eastAsia" w:ascii="仿宋_GB2312" w:hAnsi="宋体" w:eastAsia="仿宋_GB2312" w:cs="宋体"/>
          <w:b/>
          <w:bCs/>
          <w:color w:val="000000"/>
          <w:kern w:val="0"/>
          <w:sz w:val="32"/>
          <w:szCs w:val="32"/>
          <w:shd w:val="clear" w:color="auto" w:fill="FFFFFF"/>
          <w:lang w:val="en-US" w:eastAsia="zh-CN"/>
        </w:rPr>
      </w:pPr>
      <w:r>
        <w:rPr>
          <w:rFonts w:hint="eastAsia" w:ascii="仿宋_GB2312" w:hAnsi="宋体" w:eastAsia="仿宋_GB2312" w:cs="宋体"/>
          <w:b/>
          <w:bCs/>
          <w:color w:val="000000"/>
          <w:kern w:val="0"/>
          <w:sz w:val="32"/>
          <w:szCs w:val="32"/>
          <w:shd w:val="clear" w:color="auto" w:fill="FFFFFF"/>
          <w:lang w:val="en-US" w:eastAsia="zh-CN"/>
        </w:rPr>
        <w:t>7.财政监督情况</w:t>
      </w:r>
    </w:p>
    <w:p>
      <w:pPr>
        <w:widowControl/>
        <w:adjustRightInd w:val="0"/>
        <w:snapToGrid w:val="0"/>
        <w:spacing w:line="360" w:lineRule="auto"/>
        <w:ind w:firstLine="640" w:firstLineChars="200"/>
        <w:contextualSpacing/>
        <w:jc w:val="left"/>
        <w:rPr>
          <w:rFonts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en-US" w:eastAsia="zh-CN"/>
        </w:rPr>
        <w:t>遂宁市公安局在执行国家有关财务法律法规的同时，建立健全了内部财务管理制度，通过执行《遂宁市公安局内控手册》加强了项目资金的管理和监督，杜绝违规违法事件的发生。</w:t>
      </w:r>
    </w:p>
    <w:p>
      <w:pPr>
        <w:widowControl/>
        <w:adjustRightInd w:val="0"/>
        <w:snapToGrid w:val="0"/>
        <w:spacing w:line="360" w:lineRule="auto"/>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pPr>
        <w:widowControl/>
        <w:adjustRightInd w:val="0"/>
        <w:snapToGrid w:val="0"/>
        <w:spacing w:line="360" w:lineRule="auto"/>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en-US" w:eastAsia="zh-CN"/>
        </w:rPr>
      </w:pPr>
      <w:r>
        <w:rPr>
          <w:rFonts w:hint="eastAsia" w:ascii="楷体_GB2312" w:hAnsi="楷体_GB2312" w:eastAsia="楷体_GB2312" w:cs="楷体_GB2312"/>
          <w:b/>
          <w:bCs/>
          <w:color w:val="000000"/>
          <w:kern w:val="0"/>
          <w:sz w:val="32"/>
          <w:szCs w:val="32"/>
          <w:shd w:val="clear" w:color="auto" w:fill="FFFFFF"/>
          <w:lang w:val="zh-CN" w:eastAsia="zh-CN"/>
        </w:rPr>
        <w:t>（一）评价结论</w:t>
      </w:r>
    </w:p>
    <w:p>
      <w:pPr>
        <w:widowControl/>
        <w:adjustRightInd w:val="0"/>
        <w:snapToGrid w:val="0"/>
        <w:spacing w:line="360" w:lineRule="auto"/>
        <w:ind w:firstLine="640" w:firstLineChars="200"/>
        <w:contextualSpacing/>
        <w:jc w:val="left"/>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总体看，遂宁市公安局对本级和8个独立核算二级预算单位 2022年度的预算报送及时合规、财务核算较为规范、内控制度建设较完善，预算执行率达到100.00%。遂宁市公安局部门整体评价得分为93.00 分，本级和8个独立核算二级预算单位评价得分情况如下：</w:t>
      </w:r>
    </w:p>
    <w:tbl>
      <w:tblPr>
        <w:tblStyle w:val="13"/>
        <w:tblpPr w:leftFromText="180" w:rightFromText="180" w:vertAnchor="text" w:horzAnchor="page" w:tblpX="982" w:tblpY="298"/>
        <w:tblOverlap w:val="never"/>
        <w:tblW w:w="104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72"/>
        <w:gridCol w:w="876"/>
        <w:gridCol w:w="816"/>
        <w:gridCol w:w="696"/>
        <w:gridCol w:w="816"/>
        <w:gridCol w:w="816"/>
        <w:gridCol w:w="816"/>
        <w:gridCol w:w="816"/>
        <w:gridCol w:w="816"/>
        <w:gridCol w:w="816"/>
        <w:gridCol w:w="816"/>
        <w:gridCol w:w="816"/>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06" w:hRule="atLeast"/>
        </w:trPr>
        <w:tc>
          <w:tcPr>
            <w:tcW w:w="2364" w:type="dxa"/>
            <w:gridSpan w:val="3"/>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69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分值</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遂宁市公安局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遂宁市公安局河东新区分局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遂宁市公安局经济技术开发区分局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遂宁市公安局交通警察支队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遂宁市公安局森林警察支队</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遂宁市拘留所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遂宁市强制隔离戒毒所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遂宁市看守所</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遂宁市强制医疗所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7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876"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816" w:type="dxa"/>
            <w:tcBorders>
              <w:top w:val="single" w:color="000000" w:sz="4" w:space="0"/>
              <w:left w:val="single" w:color="000000" w:sz="4" w:space="0"/>
              <w:bottom w:val="single" w:color="000000" w:sz="4" w:space="0"/>
              <w:right w:val="nil"/>
            </w:tcBorders>
            <w:shd w:val="clear" w:color="auto" w:fill="auto"/>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指标</w:t>
            </w:r>
          </w:p>
        </w:tc>
        <w:tc>
          <w:tcPr>
            <w:tcW w:w="696"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部门预算管理（70分）</w:t>
            </w: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预算编制（25分）</w:t>
            </w: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目标制定</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目标完成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13.7</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预算执行（25分）</w:t>
            </w: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支出控制</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及时处置</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执行进度</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9.72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完成结果（20分）</w:t>
            </w: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预算完成</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4.43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4.73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4.61</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资金结余率</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8.95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违规记录</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7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绩效结果应用（20分）</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内部应用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（6分）</w:t>
            </w: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预算挂钩</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信息公开</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（4分)</w:t>
            </w: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自评公开</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整改反馈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（10分）</w:t>
            </w: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结果整改</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67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7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应用反馈</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76" w:hRule="atLeast"/>
        </w:trPr>
        <w:tc>
          <w:tcPr>
            <w:tcW w:w="67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8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自评质量（10分）</w:t>
            </w:r>
          </w:p>
        </w:tc>
        <w:tc>
          <w:tcPr>
            <w:tcW w:w="816"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自评准确</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2364" w:type="dxa"/>
            <w:gridSpan w:val="3"/>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自评总分</w:t>
            </w:r>
          </w:p>
        </w:tc>
        <w:tc>
          <w:tcPr>
            <w:tcW w:w="6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88.95</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77.5</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90</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86.65</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84.62</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89</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81.03</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c>
          <w:tcPr>
            <w:tcW w:w="81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88.5</w:t>
            </w:r>
          </w:p>
        </w:tc>
      </w:tr>
    </w:tbl>
    <w:p>
      <w:pPr>
        <w:widowControl/>
        <w:adjustRightInd w:val="0"/>
        <w:snapToGrid w:val="0"/>
        <w:spacing w:line="360" w:lineRule="auto"/>
        <w:ind w:firstLine="643" w:firstLineChars="200"/>
        <w:contextualSpacing/>
        <w:jc w:val="left"/>
        <w:rPr>
          <w:rFonts w:hint="eastAsia" w:ascii="楷体_GB2312" w:hAnsi="楷体_GB2312" w:eastAsia="楷体_GB2312" w:cs="楷体_GB2312"/>
          <w:b/>
          <w:bCs/>
          <w:color w:val="000000"/>
          <w:kern w:val="0"/>
          <w:sz w:val="32"/>
          <w:szCs w:val="32"/>
          <w:shd w:val="clear" w:color="auto" w:fill="FFFFFF"/>
          <w:lang w:val="zh-CN" w:eastAsia="zh-CN"/>
        </w:rPr>
      </w:pPr>
      <w:bookmarkStart w:id="59" w:name="page18"/>
      <w:bookmarkEnd w:id="59"/>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楷体_GB2312" w:hAnsi="楷体_GB2312" w:eastAsia="楷体_GB2312" w:cs="楷体_GB2312"/>
          <w:b/>
          <w:bCs/>
          <w:color w:val="000000"/>
          <w:kern w:val="0"/>
          <w:sz w:val="32"/>
          <w:szCs w:val="32"/>
          <w:shd w:val="clear" w:color="auto" w:fill="FFFFFF"/>
          <w:lang w:val="zh-CN" w:eastAsia="zh-CN"/>
        </w:rPr>
        <w:t>（二）存在问题</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contextualSpacing/>
        <w:jc w:val="left"/>
        <w:textAlignment w:val="auto"/>
        <w:rPr>
          <w:rFonts w:hint="eastAsia" w:ascii="仿宋_GB2312" w:hAnsi="宋体" w:eastAsia="仿宋_GB2312" w:cs="宋体"/>
          <w:b/>
          <w:bCs/>
          <w:color w:val="000000"/>
          <w:kern w:val="0"/>
          <w:sz w:val="32"/>
          <w:szCs w:val="32"/>
          <w:shd w:val="clear" w:color="auto" w:fill="FFFFFF"/>
          <w:lang w:val="en-US" w:eastAsia="zh-CN"/>
        </w:rPr>
      </w:pPr>
      <w:r>
        <w:rPr>
          <w:rFonts w:hint="eastAsia" w:ascii="仿宋_GB2312" w:hAnsi="宋体" w:eastAsia="仿宋_GB2312" w:cs="宋体"/>
          <w:b/>
          <w:bCs/>
          <w:color w:val="000000"/>
          <w:kern w:val="0"/>
          <w:sz w:val="32"/>
          <w:szCs w:val="32"/>
          <w:shd w:val="clear" w:color="auto" w:fill="FFFFFF"/>
          <w:lang w:val="en-US" w:eastAsia="zh-CN"/>
        </w:rPr>
        <w:t>1.预算编制方面</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（1）预算调整比例大</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hint="default"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2022年，遂宁市公安局平均预算调整比例为34.15%，其中遂宁市公安局预算调整比例达到了49.33%，河东新区分局预算调整比例达到了61.61%，遂宁市公安局森林警察支队预算调整比例达到了46.46%。</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（2）个别项目预算编制不准确</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存在个别费用决算支出超过预算的情形，例如：遂宁市公安局河东新区分局的办公费，遂宁市公安局森林警察支队的邮电费等。</w:t>
      </w:r>
    </w:p>
    <w:p>
      <w:pPr>
        <w:keepNext w:val="0"/>
        <w:keepLines w:val="0"/>
        <w:pageBreakBefore w:val="0"/>
        <w:widowControl/>
        <w:kinsoku/>
        <w:wordWrap/>
        <w:overflowPunct/>
        <w:topLinePunct w:val="0"/>
        <w:autoSpaceDE/>
        <w:autoSpaceDN/>
        <w:bidi w:val="0"/>
        <w:adjustRightInd w:val="0"/>
        <w:snapToGrid w:val="0"/>
        <w:spacing w:line="540" w:lineRule="exact"/>
        <w:ind w:firstLine="643"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bookmarkStart w:id="60" w:name="page17"/>
      <w:bookmarkEnd w:id="60"/>
      <w:r>
        <w:rPr>
          <w:rFonts w:hint="eastAsia" w:ascii="楷体_GB2312" w:hAnsi="楷体_GB2312" w:eastAsia="楷体_GB2312" w:cs="楷体_GB2312"/>
          <w:b/>
          <w:bCs/>
          <w:color w:val="000000"/>
          <w:kern w:val="0"/>
          <w:sz w:val="32"/>
          <w:szCs w:val="32"/>
          <w:shd w:val="clear" w:color="auto" w:fill="FFFFFF"/>
          <w:lang w:val="zh-CN" w:eastAsia="zh-CN"/>
        </w:rPr>
        <w:t>（三）改进建议</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1.建议强化预算编制，各项经费收入全部纳入预算管理，提高预算精准度。针对专项支出要认真研究，通盘计划，预算上要考虑周全，细化支出，尽量做到科学预算，合理支出。</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2.建议规范合同签订的流程，提高签订合同文本质量，增加专业的法律事务意见环节，降低部门合同法律风险。</w:t>
      </w:r>
    </w:p>
    <w:p>
      <w:pPr>
        <w:keepNext w:val="0"/>
        <w:keepLines w:val="0"/>
        <w:pageBreakBefore w:val="0"/>
        <w:widowControl/>
        <w:kinsoku/>
        <w:wordWrap/>
        <w:overflowPunct/>
        <w:topLinePunct w:val="0"/>
        <w:autoSpaceDE/>
        <w:autoSpaceDN/>
        <w:bidi w:val="0"/>
        <w:adjustRightInd w:val="0"/>
        <w:snapToGrid w:val="0"/>
        <w:spacing w:line="540" w:lineRule="exact"/>
        <w:ind w:firstLine="640" w:firstLineChars="200"/>
        <w:contextualSpacing/>
        <w:jc w:val="left"/>
        <w:textAlignment w:val="auto"/>
        <w:rPr>
          <w:rFonts w:hint="eastAsia" w:ascii="仿宋_GB2312" w:hAnsi="宋体" w:eastAsia="仿宋_GB2312" w:cs="宋体"/>
          <w:color w:val="000000"/>
          <w:kern w:val="0"/>
          <w:sz w:val="32"/>
          <w:szCs w:val="32"/>
          <w:shd w:val="clear" w:color="auto" w:fill="FFFFFF"/>
          <w:lang w:val="en-US" w:eastAsia="zh-CN"/>
        </w:rPr>
      </w:pPr>
      <w:r>
        <w:rPr>
          <w:rFonts w:hint="eastAsia" w:ascii="仿宋_GB2312" w:hAnsi="宋体" w:eastAsia="仿宋_GB2312" w:cs="宋体"/>
          <w:color w:val="000000"/>
          <w:kern w:val="0"/>
          <w:sz w:val="32"/>
          <w:szCs w:val="32"/>
          <w:shd w:val="clear" w:color="auto" w:fill="FFFFFF"/>
          <w:lang w:val="en-US" w:eastAsia="zh-CN"/>
        </w:rPr>
        <w:t>3.建议加强财务会计人员业务培训，提升财务账务质量，严格执行会计基础工作规范；及时准确地记录、反映单位经济活动，确保会计制度遵守执行</w:t>
      </w:r>
      <w:bookmarkStart w:id="61" w:name="page14"/>
      <w:bookmarkEnd w:id="61"/>
      <w:r>
        <w:rPr>
          <w:rFonts w:hint="eastAsia" w:ascii="仿宋_GB2312" w:hAnsi="宋体" w:eastAsia="仿宋_GB2312" w:cs="宋体"/>
          <w:color w:val="000000"/>
          <w:kern w:val="0"/>
          <w:sz w:val="32"/>
          <w:szCs w:val="32"/>
          <w:shd w:val="clear" w:color="auto" w:fill="FFFFFF"/>
          <w:lang w:val="en-US" w:eastAsia="zh-CN"/>
        </w:rPr>
        <w:t>。</w:t>
      </w:r>
    </w:p>
    <w:p>
      <w:pPr>
        <w:pStyle w:val="2"/>
        <w:rPr>
          <w:rFonts w:hint="eastAsia" w:ascii="仿宋_GB2312" w:hAnsi="宋体" w:eastAsia="仿宋_GB2312" w:cs="宋体"/>
          <w:color w:val="000000"/>
          <w:kern w:val="0"/>
          <w:sz w:val="32"/>
          <w:szCs w:val="32"/>
          <w:shd w:val="clear" w:color="auto" w:fill="FFFFFF"/>
          <w:lang w:val="en-US" w:eastAsia="zh-CN"/>
        </w:rPr>
      </w:pPr>
    </w:p>
    <w:p>
      <w:pPr>
        <w:pStyle w:val="2"/>
        <w:rPr>
          <w:rFonts w:hint="eastAsia" w:ascii="仿宋_GB2312" w:hAnsi="宋体" w:eastAsia="仿宋_GB2312" w:cs="宋体"/>
          <w:color w:val="000000"/>
          <w:kern w:val="0"/>
          <w:sz w:val="32"/>
          <w:szCs w:val="32"/>
          <w:shd w:val="clear" w:color="auto" w:fill="FFFFFF"/>
          <w:lang w:val="zh-CN" w:eastAsia="zh-CN"/>
        </w:rPr>
      </w:pPr>
    </w:p>
    <w:bookmarkEnd w:id="55"/>
    <w:p>
      <w:pPr>
        <w:pStyle w:val="12"/>
        <w:widowControl/>
        <w:spacing w:beforeAutospacing="0" w:afterAutospacing="0" w:line="580" w:lineRule="exact"/>
        <w:jc w:val="center"/>
        <w:rPr>
          <w:rFonts w:ascii="方正小标宋简体" w:hAnsi="宋体" w:eastAsia="方正小标宋简体"/>
          <w:color w:val="auto"/>
          <w:sz w:val="44"/>
          <w:szCs w:val="44"/>
        </w:rPr>
      </w:pPr>
      <w:r>
        <w:rPr>
          <w:rFonts w:hint="eastAsia" w:ascii="方正小标宋简体" w:hAnsi="宋体" w:eastAsia="方正小标宋简体"/>
          <w:color w:val="auto"/>
          <w:sz w:val="44"/>
          <w:szCs w:val="44"/>
        </w:rPr>
        <w:t>部门预算项目支出绩效自评报告</w:t>
      </w:r>
    </w:p>
    <w:p>
      <w:pPr>
        <w:pStyle w:val="12"/>
        <w:widowControl/>
        <w:spacing w:beforeAutospacing="0" w:afterAutospacing="0" w:line="580" w:lineRule="exact"/>
        <w:jc w:val="center"/>
        <w:rPr>
          <w:rFonts w:ascii="宋体" w:hAnsi="宋体" w:eastAsia="宋体" w:cs="宋体"/>
          <w:b/>
          <w:caps/>
          <w:color w:val="auto"/>
          <w:sz w:val="30"/>
          <w:szCs w:val="30"/>
        </w:rPr>
      </w:pPr>
      <w:r>
        <w:rPr>
          <w:rFonts w:hint="eastAsia" w:ascii="宋体" w:hAnsi="宋体" w:eastAsia="宋体" w:cs="宋体"/>
          <w:b/>
          <w:caps/>
          <w:color w:val="auto"/>
          <w:sz w:val="30"/>
          <w:szCs w:val="30"/>
        </w:rPr>
        <w:t>（警务辅助人员专项经费）</w:t>
      </w:r>
    </w:p>
    <w:p>
      <w:pPr>
        <w:widowControl/>
        <w:spacing w:line="580" w:lineRule="exact"/>
        <w:jc w:val="center"/>
        <w:rPr>
          <w:rFonts w:ascii="Times New Roman" w:hAnsi="Times New Roman" w:cs="Times New Roman"/>
          <w:color w:val="auto"/>
          <w:szCs w:val="21"/>
        </w:rPr>
      </w:pPr>
      <w:r>
        <w:rPr>
          <w:rFonts w:ascii="Times New Roman" w:hAnsi="Times New Roman" w:eastAsia="微软雅黑" w:cs="Times New Roman"/>
          <w:color w:val="auto"/>
          <w:kern w:val="0"/>
          <w:sz w:val="24"/>
        </w:rPr>
        <w:t> </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为了对</w:t>
      </w:r>
      <w:r>
        <w:rPr>
          <w:rFonts w:hint="eastAsia" w:ascii="Times New Roman" w:hAnsi="Times New Roman" w:eastAsia="微软雅黑" w:cs="Times New Roman"/>
          <w:color w:val="auto"/>
          <w:kern w:val="0"/>
          <w:sz w:val="32"/>
          <w:szCs w:val="32"/>
          <w:shd w:val="clear" w:color="auto" w:fill="FFFFFF"/>
        </w:rPr>
        <w:t>202</w:t>
      </w:r>
      <w:r>
        <w:rPr>
          <w:rFonts w:hint="eastAsia" w:ascii="Times New Roman" w:hAnsi="Times New Roman" w:eastAsia="微软雅黑" w:cs="Times New Roman"/>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遂宁市公安局</w:t>
      </w:r>
      <w:r>
        <w:rPr>
          <w:rFonts w:ascii="仿宋_GB2312" w:hAnsi="Times New Roman" w:eastAsia="仿宋_GB2312" w:cs="仿宋_GB2312"/>
          <w:color w:val="auto"/>
          <w:kern w:val="0"/>
          <w:sz w:val="32"/>
          <w:szCs w:val="32"/>
          <w:shd w:val="clear" w:color="auto" w:fill="FFFFFF"/>
        </w:rPr>
        <w:t>警务辅助人员专项资金使用、管理的科学性、合理性和效益性进行客观、公正的评价，规范警务辅助人员专项资金管理，提高资金使用效益，根据</w:t>
      </w:r>
      <w:r>
        <w:rPr>
          <w:rFonts w:ascii="仿宋_GB2312" w:hAnsi="宋体" w:eastAsia="仿宋_GB2312" w:cs="仿宋_GB2312"/>
          <w:i w:val="0"/>
          <w:caps w:val="0"/>
          <w:color w:val="auto"/>
          <w:spacing w:val="0"/>
          <w:sz w:val="31"/>
          <w:szCs w:val="31"/>
          <w:shd w:val="clear" w:fill="FFFFFF"/>
        </w:rPr>
        <w:t>遂财绩</w:t>
      </w:r>
      <w:r>
        <w:rPr>
          <w:rFonts w:hint="eastAsia" w:ascii="仿宋_GB2312" w:hAnsi="宋体" w:eastAsia="仿宋_GB2312" w:cs="仿宋_GB2312"/>
          <w:i w:val="0"/>
          <w:caps w:val="0"/>
          <w:color w:val="auto"/>
          <w:spacing w:val="0"/>
          <w:sz w:val="31"/>
          <w:szCs w:val="31"/>
          <w:shd w:val="clear" w:fill="FFFFFF"/>
        </w:rPr>
        <w:t>[2023]2号</w:t>
      </w:r>
      <w:r>
        <w:rPr>
          <w:rFonts w:ascii="仿宋_GB2312" w:hAnsi="Times New Roman" w:eastAsia="仿宋_GB2312" w:cs="仿宋_GB2312"/>
          <w:color w:val="auto"/>
          <w:kern w:val="0"/>
          <w:sz w:val="32"/>
          <w:szCs w:val="32"/>
          <w:shd w:val="clear" w:color="auto" w:fill="FFFFFF"/>
        </w:rPr>
        <w:t>文件</w:t>
      </w:r>
      <w:r>
        <w:rPr>
          <w:rFonts w:hint="eastAsia" w:ascii="仿宋_GB2312" w:hAnsi="Times New Roman" w:eastAsia="仿宋_GB2312" w:cs="仿宋_GB2312"/>
          <w:color w:val="auto"/>
          <w:kern w:val="0"/>
          <w:sz w:val="32"/>
          <w:szCs w:val="32"/>
          <w:shd w:val="clear" w:color="auto" w:fill="FFFFFF"/>
          <w:lang w:eastAsia="zh-CN"/>
        </w:rPr>
        <w:t>的要求</w:t>
      </w:r>
      <w:r>
        <w:rPr>
          <w:rFonts w:ascii="仿宋_GB2312" w:hAnsi="Times New Roman" w:eastAsia="仿宋_GB2312" w:cs="仿宋_GB2312"/>
          <w:color w:val="auto"/>
          <w:kern w:val="0"/>
          <w:sz w:val="32"/>
          <w:szCs w:val="32"/>
          <w:shd w:val="clear" w:color="auto" w:fill="FFFFFF"/>
        </w:rPr>
        <w:t>，对</w:t>
      </w:r>
      <w:r>
        <w:rPr>
          <w:rFonts w:hint="eastAsia" w:ascii="Times New Roman" w:hAnsi="Times New Roman" w:eastAsia="微软雅黑" w:cs="Times New Roman"/>
          <w:color w:val="auto"/>
          <w:kern w:val="0"/>
          <w:sz w:val="32"/>
          <w:szCs w:val="32"/>
          <w:shd w:val="clear" w:color="auto" w:fill="FFFFFF"/>
        </w:rPr>
        <w:t>202</w:t>
      </w:r>
      <w:r>
        <w:rPr>
          <w:rFonts w:hint="eastAsia" w:ascii="Times New Roman" w:hAnsi="Times New Roman" w:eastAsia="微软雅黑" w:cs="Times New Roman"/>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遂宁市公安局</w:t>
      </w:r>
      <w:r>
        <w:rPr>
          <w:rFonts w:ascii="仿宋_GB2312" w:hAnsi="Times New Roman" w:eastAsia="仿宋_GB2312" w:cs="仿宋_GB2312"/>
          <w:color w:val="auto"/>
          <w:kern w:val="0"/>
          <w:sz w:val="32"/>
          <w:szCs w:val="32"/>
          <w:shd w:val="clear" w:color="auto" w:fill="FFFFFF"/>
        </w:rPr>
        <w:t>警务辅助人员专项资金项目实施了绩效评价。现将项目绩效评价情况报告如下</w:t>
      </w:r>
      <w:r>
        <w:rPr>
          <w:rFonts w:ascii="新宋体" w:hAnsi="新宋体" w:eastAsia="新宋体" w:cs="新宋体"/>
          <w:color w:val="auto"/>
          <w:kern w:val="0"/>
          <w:sz w:val="32"/>
          <w:szCs w:val="32"/>
          <w:shd w:val="clear" w:color="auto" w:fill="FFFFFF"/>
        </w:rPr>
        <w:t>：</w:t>
      </w:r>
      <w:r>
        <w:rPr>
          <w:rFonts w:ascii="Times New Roman" w:hAnsi="Times New Roman" w:eastAsia="微软雅黑" w:cs="Times New Roman"/>
          <w:color w:val="auto"/>
          <w:kern w:val="0"/>
          <w:sz w:val="32"/>
          <w:szCs w:val="32"/>
          <w:shd w:val="clear" w:color="auto" w:fill="FFFFFF"/>
        </w:rPr>
        <w:t> </w:t>
      </w:r>
    </w:p>
    <w:p>
      <w:pPr>
        <w:adjustRightInd w:val="0"/>
        <w:snapToGrid w:val="0"/>
        <w:spacing w:line="58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58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根据市长批示</w:t>
      </w:r>
      <w:r>
        <w:rPr>
          <w:rFonts w:hint="eastAsia" w:ascii="仿宋_GB2312" w:hAnsi="Times New Roman" w:eastAsia="仿宋_GB2312" w:cs="仿宋_GB2312"/>
          <w:color w:val="auto"/>
          <w:kern w:val="0"/>
          <w:sz w:val="32"/>
          <w:szCs w:val="32"/>
          <w:shd w:val="clear" w:color="auto" w:fill="FFFFFF"/>
        </w:rPr>
        <w:t>20</w:t>
      </w:r>
      <w:r>
        <w:rPr>
          <w:rFonts w:ascii="仿宋_GB2312" w:hAnsi="Times New Roman" w:eastAsia="仿宋_GB2312" w:cs="仿宋_GB2312"/>
          <w:color w:val="auto"/>
          <w:kern w:val="0"/>
          <w:sz w:val="32"/>
          <w:szCs w:val="32"/>
          <w:shd w:val="clear" w:color="auto" w:fill="FFFFFF"/>
        </w:rPr>
        <w:t>15年第447号、市政府会议纪要、财政意见，同意招聘警务辅助人员加强反恐应急维稳力量建设和弥补公安警力不足，截止</w:t>
      </w:r>
      <w:r>
        <w:rPr>
          <w:rFonts w:hint="eastAsia" w:ascii="仿宋_GB2312" w:hAnsi="Times New Roman" w:eastAsia="仿宋_GB2312" w:cs="仿宋_GB2312"/>
          <w:color w:val="auto"/>
          <w:kern w:val="0"/>
          <w:sz w:val="32"/>
          <w:szCs w:val="32"/>
          <w:shd w:val="clear" w:color="auto" w:fill="FFFFFF"/>
        </w:rPr>
        <w:t>202</w:t>
      </w:r>
      <w:r>
        <w:rPr>
          <w:rFonts w:hint="eastAsia" w:ascii="仿宋_GB2312" w:hAnsi="Times New Roman" w:eastAsia="仿宋_GB2312" w:cs="仿宋_GB2312"/>
          <w:color w:val="auto"/>
          <w:kern w:val="0"/>
          <w:sz w:val="32"/>
          <w:szCs w:val="32"/>
          <w:shd w:val="clear" w:color="auto" w:fill="FFFFFF"/>
          <w:lang w:val="en-US" w:eastAsia="zh-CN"/>
        </w:rPr>
        <w:t>2</w:t>
      </w:r>
      <w:r>
        <w:rPr>
          <w:rFonts w:hint="eastAsia" w:ascii="仿宋_GB2312" w:hAnsi="Times New Roman" w:eastAsia="仿宋_GB2312" w:cs="仿宋_GB2312"/>
          <w:color w:val="auto"/>
          <w:kern w:val="0"/>
          <w:sz w:val="32"/>
          <w:szCs w:val="32"/>
          <w:shd w:val="clear" w:color="auto" w:fill="FFFFFF"/>
        </w:rPr>
        <w:t>年底，</w:t>
      </w:r>
      <w:r>
        <w:rPr>
          <w:rFonts w:ascii="仿宋_GB2312" w:hAnsi="Times New Roman" w:eastAsia="仿宋_GB2312" w:cs="仿宋_GB2312"/>
          <w:color w:val="auto"/>
          <w:kern w:val="0"/>
          <w:sz w:val="32"/>
          <w:szCs w:val="32"/>
          <w:shd w:val="clear" w:color="auto" w:fill="FFFFFF"/>
        </w:rPr>
        <w:t>市公安局共有警务辅助人员</w:t>
      </w:r>
      <w:r>
        <w:rPr>
          <w:rFonts w:hint="eastAsia" w:ascii="仿宋_GB2312" w:hAnsi="Times New Roman" w:eastAsia="仿宋_GB2312" w:cs="仿宋_GB2312"/>
          <w:color w:val="auto"/>
          <w:kern w:val="0"/>
          <w:sz w:val="32"/>
          <w:szCs w:val="32"/>
          <w:shd w:val="clear" w:color="auto" w:fill="FFFFFF"/>
          <w:lang w:val="en-US" w:eastAsia="zh-CN"/>
        </w:rPr>
        <w:t>546</w:t>
      </w:r>
      <w:r>
        <w:rPr>
          <w:rFonts w:ascii="仿宋_GB2312" w:hAnsi="Times New Roman" w:eastAsia="仿宋_GB2312" w:cs="仿宋_GB2312"/>
          <w:color w:val="auto"/>
          <w:kern w:val="0"/>
          <w:sz w:val="32"/>
          <w:szCs w:val="32"/>
          <w:shd w:val="clear" w:color="auto" w:fill="FFFFFF"/>
        </w:rPr>
        <w:t>人。对经财政、人力资源和社会保障部门核定的辅警人员经费列入同级财政预算。为加强治安辅助力量建设，规范警务辅助人员管理，保障警务辅助人员合法权益，充分发挥警务辅助人员在协助公安机关维护社会治安中的积极作用，着力打造素质较高、相对稳定的警务辅助人员队伍，安排了警务辅助人员专项资金。</w:t>
      </w:r>
    </w:p>
    <w:p>
      <w:pPr>
        <w:pStyle w:val="4"/>
        <w:widowControl/>
        <w:spacing w:beforeAutospacing="0" w:afterAutospacing="0" w:line="580" w:lineRule="exact"/>
        <w:ind w:firstLine="643" w:firstLineChars="200"/>
        <w:rPr>
          <w:rFonts w:hint="default" w:ascii="微软雅黑" w:hAnsi="微软雅黑" w:eastAsia="微软雅黑" w:cs="微软雅黑"/>
          <w:b w:val="0"/>
          <w:color w:val="auto"/>
          <w:sz w:val="21"/>
          <w:szCs w:val="21"/>
        </w:rPr>
      </w:pPr>
      <w:r>
        <w:rPr>
          <w:rFonts w:ascii="楷体_GB2312" w:hAnsi="微软雅黑" w:eastAsia="楷体_GB2312" w:cs="楷体_GB2312"/>
          <w:color w:val="auto"/>
          <w:sz w:val="32"/>
          <w:szCs w:val="32"/>
        </w:rPr>
        <w:t>（二</w:t>
      </w:r>
      <w:r>
        <w:rPr>
          <w:rFonts w:hint="default" w:ascii="楷体_GB2312" w:hAnsi="微软雅黑" w:eastAsia="楷体_GB2312" w:cs="楷体_GB2312"/>
          <w:color w:val="auto"/>
          <w:sz w:val="32"/>
          <w:szCs w:val="32"/>
        </w:rPr>
        <w:t>）项目绩效目标</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通过聘用警务辅助人员，协助民警开展窗口服务、证件办理、信息采集与录入等行政管理工作，心理咨询、网络维护、数据分析、软件研发等技术支持工作，警用装备保管和维护保养等警务保障工作；协助民警开展治安巡逻、设关堵卡、接处警、维护治安秩序等工作，加大</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市城区路面见警率，充分发挥警务辅助人员在协助公安机关维护社会治安中的积极作用，着力打造素质较高、相对稳定的警务辅助人员队伍，为人民群众创造更加安全的居住环境。</w:t>
      </w:r>
    </w:p>
    <w:p>
      <w:pPr>
        <w:adjustRightInd w:val="0"/>
        <w:snapToGrid w:val="0"/>
        <w:spacing w:line="58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（三）项目资金申报及使用情况</w:t>
      </w:r>
    </w:p>
    <w:p>
      <w:pPr>
        <w:widowControl/>
        <w:spacing w:line="580" w:lineRule="exact"/>
        <w:ind w:firstLine="640"/>
        <w:rPr>
          <w:rFonts w:ascii="Times New Roman" w:hAnsi="Times New Roman" w:cs="Times New Roman"/>
          <w:color w:val="auto"/>
          <w:szCs w:val="21"/>
        </w:rPr>
      </w:pPr>
      <w:r>
        <w:rPr>
          <w:rFonts w:ascii="Times New Roman" w:hAnsi="Times New Roman" w:eastAsia="微软雅黑" w:cs="Times New Roman"/>
          <w:color w:val="auto"/>
          <w:kern w:val="0"/>
          <w:sz w:val="32"/>
          <w:szCs w:val="32"/>
          <w:shd w:val="clear" w:color="auto" w:fill="FFFFFF"/>
        </w:rPr>
        <w:t>1</w:t>
      </w:r>
      <w:r>
        <w:rPr>
          <w:rFonts w:ascii="仿宋_GB2312" w:hAnsi="Times New Roman" w:eastAsia="仿宋_GB2312" w:cs="仿宋_GB2312"/>
          <w:color w:val="auto"/>
          <w:kern w:val="0"/>
          <w:sz w:val="32"/>
          <w:szCs w:val="32"/>
          <w:shd w:val="clear" w:color="auto" w:fill="FFFFFF"/>
        </w:rPr>
        <w:t>．专项资金申报、拨付情况</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按市人社</w:t>
      </w:r>
      <w:r>
        <w:rPr>
          <w:rFonts w:hint="eastAsia" w:ascii="仿宋_GB2312" w:hAnsi="Times New Roman" w:eastAsia="仿宋_GB2312" w:cs="仿宋_GB2312"/>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市财政市级机关临聘人员保障标准，工资福利社会保障缴费</w:t>
      </w:r>
      <w:r>
        <w:rPr>
          <w:rFonts w:hint="eastAsia" w:ascii="仿宋_GB2312" w:hAnsi="Times New Roman" w:eastAsia="仿宋_GB2312" w:cs="仿宋_GB2312"/>
          <w:color w:val="auto"/>
          <w:kern w:val="0"/>
          <w:sz w:val="32"/>
          <w:szCs w:val="32"/>
          <w:shd w:val="clear" w:color="auto" w:fill="FFFFFF"/>
          <w:lang w:val="en-US" w:eastAsia="zh-CN"/>
        </w:rPr>
        <w:t>5.2</w:t>
      </w:r>
      <w:r>
        <w:rPr>
          <w:rFonts w:ascii="仿宋_GB2312" w:hAnsi="Times New Roman" w:eastAsia="仿宋_GB2312" w:cs="仿宋_GB2312"/>
          <w:color w:val="auto"/>
          <w:kern w:val="0"/>
          <w:sz w:val="32"/>
          <w:szCs w:val="32"/>
          <w:shd w:val="clear" w:color="auto" w:fill="FFFFFF"/>
        </w:rPr>
        <w:t>万元/人年、工作经费</w:t>
      </w:r>
      <w:r>
        <w:rPr>
          <w:rFonts w:hint="eastAsia" w:ascii="仿宋_GB2312" w:hAnsi="Times New Roman" w:eastAsia="仿宋_GB2312" w:cs="仿宋_GB2312"/>
          <w:color w:val="auto"/>
          <w:kern w:val="0"/>
          <w:sz w:val="32"/>
          <w:szCs w:val="32"/>
          <w:shd w:val="clear" w:color="auto" w:fill="FFFFFF"/>
          <w:lang w:val="en-US" w:eastAsia="zh-CN"/>
        </w:rPr>
        <w:t>0.8</w:t>
      </w:r>
      <w:r>
        <w:rPr>
          <w:rFonts w:ascii="仿宋_GB2312" w:hAnsi="Times New Roman" w:eastAsia="仿宋_GB2312" w:cs="仿宋_GB2312"/>
          <w:color w:val="auto"/>
          <w:kern w:val="0"/>
          <w:sz w:val="32"/>
          <w:szCs w:val="32"/>
          <w:shd w:val="clear" w:color="auto" w:fill="FFFFFF"/>
        </w:rPr>
        <w:t>万元/人年，共</w:t>
      </w:r>
      <w:r>
        <w:rPr>
          <w:rFonts w:hint="eastAsia" w:ascii="仿宋_GB2312" w:hAnsi="Times New Roman" w:eastAsia="仿宋_GB2312" w:cs="仿宋_GB2312"/>
          <w:color w:val="auto"/>
          <w:kern w:val="0"/>
          <w:sz w:val="32"/>
          <w:szCs w:val="32"/>
          <w:shd w:val="clear" w:color="auto" w:fill="FFFFFF"/>
          <w:lang w:val="en-US" w:eastAsia="zh-CN"/>
        </w:rPr>
        <w:t>6</w:t>
      </w:r>
      <w:r>
        <w:rPr>
          <w:rFonts w:ascii="仿宋_GB2312" w:hAnsi="Times New Roman" w:eastAsia="仿宋_GB2312" w:cs="仿宋_GB2312"/>
          <w:color w:val="auto"/>
          <w:kern w:val="0"/>
          <w:sz w:val="32"/>
          <w:szCs w:val="32"/>
          <w:shd w:val="clear" w:color="auto" w:fill="FFFFFF"/>
        </w:rPr>
        <w:t>万元。</w:t>
      </w:r>
      <w:r>
        <w:rPr>
          <w:rFonts w:hint="eastAsia" w:ascii="仿宋_GB2312" w:hAnsi="Times New Roman" w:eastAsia="仿宋_GB2312" w:cs="仿宋_GB2312"/>
          <w:color w:val="auto"/>
          <w:kern w:val="0"/>
          <w:sz w:val="32"/>
          <w:szCs w:val="32"/>
          <w:shd w:val="clear" w:color="auto" w:fill="FFFFFF"/>
        </w:rPr>
        <w:t>202</w:t>
      </w:r>
      <w:r>
        <w:rPr>
          <w:rFonts w:hint="eastAsia" w:ascii="仿宋_GB2312" w:hAnsi="Times New Roman" w:eastAsia="仿宋_GB2312" w:cs="仿宋_GB2312"/>
          <w:color w:val="auto"/>
          <w:kern w:val="0"/>
          <w:sz w:val="32"/>
          <w:szCs w:val="32"/>
          <w:shd w:val="clear" w:color="auto" w:fill="FFFFFF"/>
          <w:lang w:val="en-US" w:eastAsia="zh-CN"/>
        </w:rPr>
        <w:t>2</w:t>
      </w:r>
      <w:r>
        <w:rPr>
          <w:rFonts w:hint="eastAsia" w:ascii="仿宋_GB2312" w:hAnsi="Times New Roman" w:eastAsia="仿宋_GB2312" w:cs="仿宋_GB2312"/>
          <w:color w:val="auto"/>
          <w:kern w:val="0"/>
          <w:sz w:val="32"/>
          <w:szCs w:val="32"/>
          <w:shd w:val="clear" w:color="auto" w:fill="FFFFFF"/>
        </w:rPr>
        <w:t>年财政申报</w:t>
      </w:r>
      <w:r>
        <w:rPr>
          <w:rFonts w:hint="eastAsia" w:ascii="仿宋_GB2312" w:hAnsi="Times New Roman" w:eastAsia="仿宋_GB2312" w:cs="仿宋_GB2312"/>
          <w:color w:val="auto"/>
          <w:kern w:val="0"/>
          <w:sz w:val="32"/>
          <w:szCs w:val="32"/>
          <w:shd w:val="clear" w:color="auto" w:fill="FFFFFF"/>
          <w:lang w:val="en-US" w:eastAsia="zh-CN"/>
        </w:rPr>
        <w:t>1284.4</w:t>
      </w:r>
      <w:r>
        <w:rPr>
          <w:rFonts w:hint="eastAsia" w:ascii="仿宋_GB2312" w:hAnsi="Times New Roman" w:eastAsia="仿宋_GB2312" w:cs="仿宋_GB2312"/>
          <w:color w:val="auto"/>
          <w:kern w:val="0"/>
          <w:sz w:val="32"/>
          <w:szCs w:val="32"/>
          <w:shd w:val="clear" w:color="auto" w:fill="FFFFFF"/>
        </w:rPr>
        <w:t>万元，实际拨款</w:t>
      </w:r>
      <w:r>
        <w:rPr>
          <w:rFonts w:hint="eastAsia" w:ascii="仿宋_GB2312" w:hAnsi="Times New Roman" w:eastAsia="仿宋_GB2312" w:cs="仿宋_GB2312"/>
          <w:color w:val="auto"/>
          <w:kern w:val="0"/>
          <w:sz w:val="32"/>
          <w:szCs w:val="32"/>
          <w:shd w:val="clear" w:color="auto" w:fill="FFFFFF"/>
          <w:lang w:val="en-US" w:eastAsia="zh-CN"/>
        </w:rPr>
        <w:t>1284.4</w:t>
      </w:r>
      <w:r>
        <w:rPr>
          <w:rFonts w:hint="eastAsia" w:ascii="仿宋_GB2312" w:hAnsi="Times New Roman" w:eastAsia="仿宋_GB2312" w:cs="仿宋_GB2312"/>
          <w:color w:val="auto"/>
          <w:kern w:val="0"/>
          <w:sz w:val="32"/>
          <w:szCs w:val="32"/>
          <w:shd w:val="clear" w:color="auto" w:fill="FFFFFF"/>
        </w:rPr>
        <w:t>万元。</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2．专项资金使用情况</w:t>
      </w:r>
    </w:p>
    <w:p>
      <w:pPr>
        <w:widowControl/>
        <w:spacing w:line="580" w:lineRule="exact"/>
        <w:ind w:firstLine="640"/>
        <w:rPr>
          <w:rFonts w:ascii="宋体" w:hAnsi="宋体" w:eastAsia="宋体" w:cs="宋体"/>
          <w:color w:val="auto"/>
          <w:sz w:val="24"/>
        </w:rPr>
      </w:pPr>
      <w:r>
        <w:rPr>
          <w:rFonts w:ascii="仿宋_GB2312" w:hAnsi="Times New Roman" w:eastAsia="仿宋_GB2312" w:cs="仿宋_GB2312"/>
          <w:color w:val="auto"/>
          <w:kern w:val="0"/>
          <w:sz w:val="32"/>
          <w:szCs w:val="32"/>
          <w:shd w:val="clear" w:color="auto" w:fill="FFFFFF"/>
        </w:rPr>
        <w:t>20</w:t>
      </w:r>
      <w:r>
        <w:rPr>
          <w:rFonts w:hint="eastAsia" w:ascii="仿宋_GB2312" w:hAnsi="Times New Roman" w:eastAsia="仿宋_GB2312" w:cs="仿宋_GB2312"/>
          <w:color w:val="auto"/>
          <w:kern w:val="0"/>
          <w:sz w:val="32"/>
          <w:szCs w:val="32"/>
          <w:shd w:val="clear" w:color="auto" w:fill="FFFFFF"/>
        </w:rPr>
        <w:t>2</w:t>
      </w:r>
      <w:r>
        <w:rPr>
          <w:rFonts w:hint="eastAsia" w:ascii="仿宋_GB2312" w:hAnsi="Times New Roman" w:eastAsia="仿宋_GB2312" w:cs="仿宋_GB2312"/>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年度警务辅助人员专项经费实际支出</w:t>
      </w:r>
      <w:r>
        <w:rPr>
          <w:rFonts w:hint="eastAsia" w:ascii="仿宋_GB2312" w:hAnsi="Times New Roman" w:eastAsia="仿宋_GB2312" w:cs="仿宋_GB2312"/>
          <w:color w:val="auto"/>
          <w:kern w:val="0"/>
          <w:sz w:val="32"/>
          <w:szCs w:val="32"/>
          <w:shd w:val="clear" w:color="auto" w:fill="FFFFFF"/>
          <w:lang w:val="en-US" w:eastAsia="zh-CN"/>
        </w:rPr>
        <w:t>1284.4</w:t>
      </w:r>
      <w:r>
        <w:rPr>
          <w:rFonts w:ascii="仿宋_GB2312" w:hAnsi="Times New Roman" w:eastAsia="仿宋_GB2312" w:cs="仿宋_GB2312"/>
          <w:color w:val="auto"/>
          <w:kern w:val="0"/>
          <w:sz w:val="32"/>
          <w:szCs w:val="32"/>
          <w:shd w:val="clear" w:color="auto" w:fill="FFFFFF"/>
        </w:rPr>
        <w:t>万元。</w:t>
      </w:r>
      <w:r>
        <w:rPr>
          <w:rFonts w:hint="eastAsia" w:ascii="仿宋_GB2312" w:hAnsi="Times New Roman" w:eastAsia="仿宋_GB2312" w:cs="仿宋_GB2312"/>
          <w:color w:val="auto"/>
          <w:kern w:val="0"/>
          <w:sz w:val="32"/>
          <w:szCs w:val="32"/>
          <w:shd w:val="clear" w:color="auto" w:fill="FFFFFF"/>
        </w:rPr>
        <w:t>主要</w:t>
      </w:r>
      <w:r>
        <w:rPr>
          <w:rFonts w:ascii="仿宋_GB2312" w:hAnsi="Times New Roman" w:eastAsia="仿宋_GB2312" w:cs="仿宋_GB2312"/>
          <w:color w:val="auto"/>
          <w:kern w:val="0"/>
          <w:sz w:val="32"/>
          <w:szCs w:val="32"/>
          <w:shd w:val="clear" w:color="auto" w:fill="FFFFFF"/>
        </w:rPr>
        <w:t>用于保障警务辅助人员的基本工资以及按国家规定可以享受的各项社会保险</w:t>
      </w:r>
      <w:r>
        <w:rPr>
          <w:rFonts w:hint="eastAsia" w:ascii="仿宋_GB2312" w:hAnsi="Times New Roman" w:eastAsia="仿宋_GB2312" w:cs="仿宋_GB2312"/>
          <w:color w:val="auto"/>
          <w:kern w:val="0"/>
          <w:sz w:val="32"/>
          <w:szCs w:val="32"/>
          <w:shd w:val="clear" w:color="auto" w:fill="FFFFFF"/>
        </w:rPr>
        <w:t>，以及工作经费、奖励经费</w:t>
      </w:r>
      <w:r>
        <w:rPr>
          <w:rFonts w:ascii="仿宋_GB2312" w:hAnsi="Times New Roman" w:eastAsia="仿宋_GB2312" w:cs="仿宋_GB2312"/>
          <w:color w:val="auto"/>
          <w:kern w:val="0"/>
          <w:sz w:val="32"/>
          <w:szCs w:val="32"/>
          <w:shd w:val="clear" w:color="auto" w:fill="FFFFFF"/>
        </w:rPr>
        <w:t>等</w:t>
      </w:r>
      <w:r>
        <w:rPr>
          <w:rFonts w:hint="eastAsia" w:ascii="仿宋_GB2312" w:hAnsi="Times New Roman" w:eastAsia="仿宋_GB2312" w:cs="仿宋_GB2312"/>
          <w:color w:val="auto"/>
          <w:kern w:val="0"/>
          <w:sz w:val="32"/>
          <w:szCs w:val="32"/>
          <w:shd w:val="clear" w:color="auto" w:fill="FFFFFF"/>
        </w:rPr>
        <w:t>。</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3.项目财务管理情况</w:t>
      </w:r>
    </w:p>
    <w:p>
      <w:pPr>
        <w:widowControl/>
        <w:spacing w:line="580" w:lineRule="exact"/>
        <w:ind w:firstLine="640"/>
        <w:rPr>
          <w:rFonts w:hint="eastAsia" w:ascii="Times New Roman" w:hAnsi="Times New Roman" w:eastAsia="宋体" w:cs="Times New Roman"/>
          <w:color w:val="auto"/>
          <w:sz w:val="32"/>
          <w:szCs w:val="32"/>
          <w:shd w:val="clear" w:color="auto" w:fill="FFFFFF"/>
        </w:rPr>
      </w:pPr>
      <w:r>
        <w:rPr>
          <w:rFonts w:hint="eastAsia" w:ascii="仿宋_GB2312" w:hAnsi="宋体" w:eastAsia="仿宋_GB2312" w:cs="仿宋_GB2312"/>
          <w:color w:val="auto"/>
          <w:sz w:val="32"/>
          <w:szCs w:val="32"/>
          <w:shd w:val="clear" w:color="auto" w:fill="FFFFFF"/>
        </w:rPr>
        <w:t>遂宁</w:t>
      </w:r>
      <w:r>
        <w:rPr>
          <w:rFonts w:ascii="仿宋_GB2312" w:hAnsi="宋体" w:eastAsia="仿宋_GB2312" w:cs="仿宋_GB2312"/>
          <w:color w:val="auto"/>
          <w:sz w:val="32"/>
          <w:szCs w:val="32"/>
          <w:shd w:val="clear" w:color="auto" w:fill="FFFFFF"/>
        </w:rPr>
        <w:t>市公安局未单独制定警务辅助人员专项资金管理办法，</w:t>
      </w:r>
      <w:r>
        <w:rPr>
          <w:rFonts w:hint="eastAsia" w:ascii="仿宋_GB2312" w:hAnsi="宋体" w:eastAsia="仿宋_GB2312" w:cs="仿宋_GB2312"/>
          <w:color w:val="auto"/>
          <w:sz w:val="32"/>
          <w:szCs w:val="32"/>
          <w:shd w:val="clear" w:color="auto" w:fill="FFFFFF"/>
        </w:rPr>
        <w:t>资金全部由警务保障处统一开支管理，202</w:t>
      </w:r>
      <w:r>
        <w:rPr>
          <w:rFonts w:hint="eastAsia" w:ascii="仿宋_GB2312" w:hAnsi="宋体" w:eastAsia="仿宋_GB2312" w:cs="仿宋_GB2312"/>
          <w:color w:val="auto"/>
          <w:sz w:val="32"/>
          <w:szCs w:val="32"/>
          <w:shd w:val="clear" w:color="auto" w:fill="FFFFFF"/>
          <w:lang w:val="en-US" w:eastAsia="zh-CN"/>
        </w:rPr>
        <w:t>2</w:t>
      </w:r>
      <w:r>
        <w:rPr>
          <w:rFonts w:hint="eastAsia" w:ascii="仿宋_GB2312" w:hAnsi="宋体" w:eastAsia="仿宋_GB2312" w:cs="仿宋_GB2312"/>
          <w:color w:val="auto"/>
          <w:sz w:val="32"/>
          <w:szCs w:val="32"/>
          <w:shd w:val="clear" w:color="auto" w:fill="FFFFFF"/>
        </w:rPr>
        <w:t>年专项资金结无结余</w:t>
      </w:r>
      <w:r>
        <w:rPr>
          <w:rFonts w:ascii="仿宋_GB2312" w:hAnsi="宋体" w:eastAsia="仿宋_GB2312" w:cs="仿宋_GB2312"/>
          <w:color w:val="auto"/>
          <w:sz w:val="32"/>
          <w:szCs w:val="32"/>
          <w:shd w:val="clear" w:color="auto" w:fill="FFFFFF"/>
        </w:rPr>
        <w:t>。</w:t>
      </w:r>
      <w:r>
        <w:rPr>
          <w:rFonts w:ascii="Times New Roman" w:hAnsi="Times New Roman" w:eastAsia="宋体" w:cs="Times New Roman"/>
          <w:color w:val="auto"/>
          <w:sz w:val="32"/>
          <w:szCs w:val="32"/>
          <w:shd w:val="clear" w:color="auto" w:fill="FFFFFF"/>
        </w:rPr>
        <w:t> </w:t>
      </w:r>
    </w:p>
    <w:p>
      <w:pPr>
        <w:adjustRightInd w:val="0"/>
        <w:snapToGrid w:val="0"/>
        <w:spacing w:line="580" w:lineRule="exact"/>
        <w:ind w:firstLine="720"/>
        <w:rPr>
          <w:rFonts w:hint="eastAsia" w:ascii="黑体" w:hAnsi="宋体" w:eastAsia="黑体"/>
          <w:color w:val="auto"/>
          <w:sz w:val="32"/>
          <w:szCs w:val="32"/>
        </w:rPr>
      </w:pPr>
      <w:r>
        <w:rPr>
          <w:rFonts w:hint="eastAsia" w:ascii="黑体" w:hAnsi="宋体" w:eastAsia="黑体"/>
          <w:color w:val="auto"/>
          <w:sz w:val="32"/>
          <w:szCs w:val="32"/>
        </w:rPr>
        <w:t>二、评价工作开展情况</w:t>
      </w:r>
    </w:p>
    <w:p>
      <w:pPr>
        <w:adjustRightInd w:val="0"/>
        <w:snapToGrid w:val="0"/>
        <w:spacing w:line="580" w:lineRule="exact"/>
        <w:ind w:firstLine="720"/>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遂宁市公安局成立</w:t>
      </w:r>
      <w:r>
        <w:rPr>
          <w:rFonts w:ascii="仿宋_GB2312" w:hAnsi="Times New Roman" w:eastAsia="仿宋_GB2312" w:cs="仿宋_GB2312"/>
          <w:color w:val="auto"/>
          <w:kern w:val="0"/>
          <w:sz w:val="32"/>
          <w:szCs w:val="32"/>
          <w:shd w:val="clear" w:color="auto" w:fill="FFFFFF"/>
        </w:rPr>
        <w:t>以党委委员、政治部主任聂洪为组长，政治部副主任朱庆宁、警务保障处处长王波、审计处处长谢成炀为副组长，相关科室负责同志为成员的</w:t>
      </w:r>
      <w:r>
        <w:rPr>
          <w:rFonts w:hint="eastAsia" w:ascii="仿宋_GB2312" w:hAnsi="Times New Roman" w:eastAsia="仿宋_GB2312" w:cs="仿宋_GB2312"/>
          <w:color w:val="auto"/>
          <w:kern w:val="0"/>
          <w:sz w:val="32"/>
          <w:szCs w:val="32"/>
          <w:shd w:val="clear" w:color="auto" w:fill="FFFFFF"/>
        </w:rPr>
        <w:t>警务辅助人员经费</w:t>
      </w:r>
      <w:r>
        <w:rPr>
          <w:rFonts w:ascii="仿宋_GB2312" w:hAnsi="Times New Roman" w:eastAsia="仿宋_GB2312" w:cs="仿宋_GB2312"/>
          <w:color w:val="auto"/>
          <w:kern w:val="0"/>
          <w:sz w:val="32"/>
          <w:szCs w:val="32"/>
          <w:shd w:val="clear" w:color="auto" w:fill="FFFFFF"/>
        </w:rPr>
        <w:t>评价工作领导小组，下设办公室在政治部人事处专职开展此项工作，对各项目进行分析评价，并结合现场评价情况，采取目标预定与实施效果比较法，对评价对象进行定量定性分析和综合汇总分析最终确定项目实施效果是否与年初计划相符，从而形成评价结论。通过开展项目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w:t>
      </w:r>
      <w:r>
        <w:rPr>
          <w:rFonts w:ascii="Times New Roman" w:hAnsi="Times New Roman" w:eastAsia="微软雅黑" w:cs="Times New Roman"/>
          <w:color w:val="auto"/>
          <w:kern w:val="0"/>
          <w:sz w:val="32"/>
          <w:szCs w:val="32"/>
          <w:shd w:val="clear" w:color="auto" w:fill="FFFFFF"/>
        </w:rPr>
        <w:t> </w:t>
      </w:r>
    </w:p>
    <w:p>
      <w:pPr>
        <w:widowControl/>
        <w:spacing w:line="580" w:lineRule="exact"/>
        <w:ind w:firstLine="640"/>
        <w:rPr>
          <w:rFonts w:ascii="黑体" w:hAnsi="宋体" w:eastAsia="黑体" w:cs="黑体"/>
          <w:color w:val="auto"/>
          <w:kern w:val="0"/>
          <w:sz w:val="32"/>
          <w:szCs w:val="32"/>
        </w:rPr>
      </w:pPr>
      <w:r>
        <w:rPr>
          <w:rFonts w:hint="eastAsia" w:ascii="黑体" w:hAnsi="宋体" w:eastAsia="黑体" w:cs="黑体"/>
          <w:color w:val="auto"/>
          <w:kern w:val="0"/>
          <w:sz w:val="32"/>
          <w:szCs w:val="32"/>
        </w:rPr>
        <w:t>三、项目绩效情况</w:t>
      </w:r>
    </w:p>
    <w:p>
      <w:pPr>
        <w:adjustRightInd w:val="0"/>
        <w:snapToGrid w:val="0"/>
        <w:spacing w:line="580" w:lineRule="exact"/>
        <w:ind w:firstLine="720"/>
        <w:rPr>
          <w:rFonts w:ascii="黑体" w:hAnsi="宋体" w:eastAsia="黑体" w:cs="黑体"/>
          <w:color w:val="auto"/>
          <w:kern w:val="0"/>
          <w:sz w:val="32"/>
          <w:szCs w:val="32"/>
        </w:rPr>
      </w:pPr>
      <w:r>
        <w:rPr>
          <w:rFonts w:hint="eastAsia" w:ascii="楷体_GB2312" w:hAnsi="宋体" w:eastAsia="楷体_GB2312"/>
          <w:b/>
          <w:color w:val="auto"/>
          <w:sz w:val="32"/>
          <w:szCs w:val="32"/>
          <w:lang w:val="zh-CN"/>
        </w:rPr>
        <w:t>（一）项目完成情况。</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为规范警务辅助人员管理，保障警务辅助人员的合法权益，充分发挥警务辅助人员在协助公安机关维护社会治安中的重要作用，对警务辅助人员的职责和权利、招聘、职业保障、考核和奖励、日常管理等进行了详细规定。</w:t>
      </w:r>
    </w:p>
    <w:p>
      <w:pPr>
        <w:widowControl/>
        <w:spacing w:line="580" w:lineRule="exact"/>
        <w:ind w:firstLine="604"/>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警务辅助人员招聘坚持公开、平等、竞争、择优原则，具体招聘工作由市公安局组织实施，统一发布招聘公告，通过报名、资格审查、笔试、面试、体能测试、体检、考察与政审、公示、岗前培训等程序后正式签订劳动合同。</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警务辅助人员均采取劳务派遣的方式，</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市公安局与</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w:t>
      </w:r>
      <w:r>
        <w:rPr>
          <w:rFonts w:hint="eastAsia" w:ascii="仿宋_GB2312" w:hAnsi="Times New Roman" w:eastAsia="仿宋_GB2312" w:cs="仿宋_GB2312"/>
          <w:color w:val="auto"/>
          <w:kern w:val="0"/>
          <w:sz w:val="32"/>
          <w:szCs w:val="32"/>
          <w:shd w:val="clear" w:color="auto" w:fill="FFFFFF"/>
        </w:rPr>
        <w:t>顺邦安保服务有限</w:t>
      </w:r>
      <w:r>
        <w:rPr>
          <w:rFonts w:ascii="仿宋_GB2312" w:hAnsi="Times New Roman" w:eastAsia="仿宋_GB2312" w:cs="仿宋_GB2312"/>
          <w:color w:val="auto"/>
          <w:kern w:val="0"/>
          <w:sz w:val="32"/>
          <w:szCs w:val="32"/>
          <w:shd w:val="clear" w:color="auto" w:fill="FFFFFF"/>
        </w:rPr>
        <w:t>公司</w:t>
      </w:r>
      <w:r>
        <w:rPr>
          <w:rFonts w:hint="eastAsia" w:ascii="仿宋_GB2312" w:hAnsi="Times New Roman" w:eastAsia="仿宋_GB2312" w:cs="仿宋_GB2312"/>
          <w:color w:val="auto"/>
          <w:kern w:val="0"/>
          <w:sz w:val="32"/>
          <w:szCs w:val="32"/>
          <w:shd w:val="clear" w:color="auto" w:fill="FFFFFF"/>
        </w:rPr>
        <w:t>、遂宁市忠卫安保服务有限公司</w:t>
      </w:r>
      <w:r>
        <w:rPr>
          <w:rFonts w:ascii="仿宋_GB2312" w:hAnsi="Times New Roman" w:eastAsia="仿宋_GB2312" w:cs="仿宋_GB2312"/>
          <w:color w:val="auto"/>
          <w:kern w:val="0"/>
          <w:sz w:val="32"/>
          <w:szCs w:val="32"/>
          <w:shd w:val="clear" w:color="auto" w:fill="FFFFFF"/>
        </w:rPr>
        <w:t>签订劳务派遣协议，</w:t>
      </w:r>
      <w:r>
        <w:rPr>
          <w:rFonts w:hint="eastAsia" w:ascii="仿宋_GB2312" w:hAnsi="Times New Roman" w:eastAsia="仿宋_GB2312" w:cs="仿宋_GB2312"/>
          <w:color w:val="auto"/>
          <w:kern w:val="0"/>
          <w:sz w:val="32"/>
          <w:szCs w:val="32"/>
          <w:shd w:val="clear" w:color="auto" w:fill="FFFFFF"/>
        </w:rPr>
        <w:t>由安保服务有限公司</w:t>
      </w:r>
      <w:r>
        <w:rPr>
          <w:rFonts w:ascii="仿宋_GB2312" w:hAnsi="Times New Roman" w:eastAsia="仿宋_GB2312" w:cs="仿宋_GB2312"/>
          <w:color w:val="auto"/>
          <w:kern w:val="0"/>
          <w:sz w:val="32"/>
          <w:szCs w:val="32"/>
          <w:shd w:val="clear" w:color="auto" w:fill="FFFFFF"/>
        </w:rPr>
        <w:t>与警务辅助人员签订劳动合同。</w:t>
      </w:r>
    </w:p>
    <w:p>
      <w:pPr>
        <w:adjustRightInd w:val="0"/>
        <w:snapToGrid w:val="0"/>
        <w:spacing w:line="580" w:lineRule="exact"/>
        <w:ind w:firstLine="720"/>
        <w:rPr>
          <w:rFonts w:ascii="仿宋_GB2312" w:hAnsi="Times New Roman" w:eastAsia="仿宋_GB2312" w:cs="仿宋_GB2312"/>
          <w:color w:val="auto"/>
          <w:kern w:val="0"/>
          <w:sz w:val="32"/>
          <w:szCs w:val="32"/>
          <w:shd w:val="clear" w:color="auto" w:fill="FFFFFF"/>
        </w:rPr>
      </w:pPr>
      <w:r>
        <w:rPr>
          <w:rFonts w:hint="eastAsia" w:ascii="楷体_GB2312" w:hAnsi="宋体" w:eastAsia="楷体_GB2312"/>
          <w:b/>
          <w:color w:val="auto"/>
          <w:sz w:val="32"/>
          <w:szCs w:val="32"/>
          <w:lang w:val="zh-CN"/>
        </w:rPr>
        <w:t>（二）项目效益情况。</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通过实施</w:t>
      </w:r>
      <w:r>
        <w:rPr>
          <w:rFonts w:hint="eastAsia" w:ascii="仿宋_GB2312" w:hAnsi="Times New Roman" w:eastAsia="仿宋_GB2312" w:cs="仿宋_GB2312"/>
          <w:color w:val="auto"/>
          <w:kern w:val="0"/>
          <w:sz w:val="32"/>
          <w:szCs w:val="32"/>
          <w:shd w:val="clear" w:color="auto" w:fill="FFFFFF"/>
        </w:rPr>
        <w:t>202</w:t>
      </w:r>
      <w:r>
        <w:rPr>
          <w:rFonts w:hint="eastAsia" w:ascii="仿宋_GB2312" w:hAnsi="Times New Roman" w:eastAsia="仿宋_GB2312" w:cs="仿宋_GB2312"/>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警务辅助人员专项资金项目，组建辅警队伍，协助民警开展治安巡逻、设关堵卡、接处警、维持大型公共活动及突发案件现场秩序、现行违法犯罪嫌疑人的扭送、查缉被通缉、追捕的违法犯罪嫌疑人员、纠纷调解、治安宣传教育等警务工作，有效缓解一线警力不足的现状。但在资金管理和项目管理方面还有待规范。</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根据《</w:t>
      </w:r>
      <w:r>
        <w:rPr>
          <w:rFonts w:ascii="Times New Roman" w:hAnsi="Times New Roman" w:eastAsia="微软雅黑" w:cs="Times New Roman"/>
          <w:color w:val="auto"/>
          <w:kern w:val="0"/>
          <w:sz w:val="32"/>
          <w:szCs w:val="32"/>
          <w:shd w:val="clear" w:color="auto" w:fill="FFFFFF"/>
        </w:rPr>
        <w:t>20</w:t>
      </w:r>
      <w:r>
        <w:rPr>
          <w:rFonts w:hint="eastAsia" w:ascii="Times New Roman" w:hAnsi="Times New Roman" w:eastAsia="微软雅黑" w:cs="Times New Roman"/>
          <w:color w:val="auto"/>
          <w:kern w:val="0"/>
          <w:sz w:val="32"/>
          <w:szCs w:val="32"/>
          <w:shd w:val="clear" w:color="auto" w:fill="FFFFFF"/>
        </w:rPr>
        <w:t>2</w:t>
      </w:r>
      <w:r>
        <w:rPr>
          <w:rFonts w:hint="eastAsia" w:ascii="Times New Roman" w:hAnsi="Times New Roman" w:eastAsia="微软雅黑" w:cs="Times New Roman"/>
          <w:color w:val="auto"/>
          <w:kern w:val="0"/>
          <w:sz w:val="32"/>
          <w:szCs w:val="32"/>
          <w:shd w:val="clear" w:color="auto" w:fill="FFFFFF"/>
          <w:lang w:val="en-US" w:eastAsia="zh-CN"/>
        </w:rPr>
        <w:t>3</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实际项目支出绩效评价指标体系</w:t>
      </w:r>
      <w:r>
        <w:rPr>
          <w:rFonts w:ascii="仿宋_GB2312" w:hAnsi="Times New Roman" w:eastAsia="仿宋_GB2312" w:cs="仿宋_GB2312"/>
          <w:color w:val="auto"/>
          <w:kern w:val="0"/>
          <w:sz w:val="32"/>
          <w:szCs w:val="32"/>
          <w:shd w:val="clear" w:color="auto" w:fill="FFFFFF"/>
        </w:rPr>
        <w:t>》，</w:t>
      </w:r>
      <w:r>
        <w:rPr>
          <w:rFonts w:ascii="Times New Roman" w:hAnsi="Times New Roman" w:eastAsia="微软雅黑" w:cs="Times New Roman"/>
          <w:color w:val="auto"/>
          <w:kern w:val="0"/>
          <w:sz w:val="32"/>
          <w:szCs w:val="32"/>
          <w:shd w:val="clear" w:color="auto" w:fill="FFFFFF"/>
        </w:rPr>
        <w:t>20</w:t>
      </w:r>
      <w:r>
        <w:rPr>
          <w:rFonts w:hint="eastAsia" w:ascii="Times New Roman" w:hAnsi="Times New Roman" w:eastAsia="微软雅黑" w:cs="Times New Roman"/>
          <w:color w:val="auto"/>
          <w:kern w:val="0"/>
          <w:sz w:val="32"/>
          <w:szCs w:val="32"/>
          <w:shd w:val="clear" w:color="auto" w:fill="FFFFFF"/>
        </w:rPr>
        <w:t>2</w:t>
      </w:r>
      <w:r>
        <w:rPr>
          <w:rFonts w:hint="eastAsia" w:ascii="Times New Roman" w:hAnsi="Times New Roman" w:eastAsia="微软雅黑" w:cs="Times New Roman"/>
          <w:color w:val="auto"/>
          <w:kern w:val="0"/>
          <w:sz w:val="32"/>
          <w:szCs w:val="32"/>
          <w:shd w:val="clear" w:color="auto" w:fill="FFFFFF"/>
          <w:lang w:val="en-US" w:eastAsia="zh-CN"/>
        </w:rPr>
        <w:t>2</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市公安局警务辅助人员专项资金绩效评价综合得分为</w:t>
      </w:r>
      <w:r>
        <w:rPr>
          <w:rFonts w:hint="eastAsia" w:ascii="仿宋_GB2312" w:hAnsi="Times New Roman" w:eastAsia="仿宋_GB2312" w:cs="仿宋_GB2312"/>
          <w:color w:val="auto"/>
          <w:kern w:val="0"/>
          <w:sz w:val="32"/>
          <w:szCs w:val="32"/>
          <w:shd w:val="clear" w:color="auto" w:fill="FFFFFF"/>
          <w:lang w:val="en-US" w:eastAsia="zh-CN"/>
        </w:rPr>
        <w:t>100</w:t>
      </w:r>
      <w:r>
        <w:rPr>
          <w:rFonts w:ascii="仿宋_GB2312" w:hAnsi="Times New Roman" w:eastAsia="仿宋_GB2312" w:cs="仿宋_GB2312"/>
          <w:color w:val="auto"/>
          <w:kern w:val="0"/>
          <w:sz w:val="32"/>
          <w:szCs w:val="32"/>
          <w:shd w:val="clear" w:color="auto" w:fill="FFFFFF"/>
        </w:rPr>
        <w:t>分。评价等级为</w:t>
      </w:r>
      <w:r>
        <w:rPr>
          <w:rFonts w:ascii="Times New Roman" w:hAnsi="Times New Roman" w:eastAsia="微软雅黑" w:cs="Times New Roman"/>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优</w:t>
      </w:r>
      <w:r>
        <w:rPr>
          <w:rFonts w:ascii="Times New Roman" w:hAnsi="Times New Roman" w:eastAsia="微软雅黑" w:cs="Times New Roman"/>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w:t>
      </w:r>
    </w:p>
    <w:p>
      <w:pPr>
        <w:pStyle w:val="3"/>
        <w:widowControl/>
        <w:spacing w:before="240" w:beforeAutospacing="0" w:afterAutospacing="0" w:line="580" w:lineRule="exact"/>
        <w:ind w:firstLine="643" w:firstLineChars="200"/>
        <w:jc w:val="both"/>
        <w:rPr>
          <w:rFonts w:hint="default" w:ascii="Times New Roman" w:hAnsi="Times New Roman"/>
          <w:color w:val="auto"/>
          <w:sz w:val="32"/>
          <w:szCs w:val="32"/>
        </w:rPr>
      </w:pPr>
      <w:r>
        <w:rPr>
          <w:rFonts w:ascii="黑体" w:eastAsia="黑体"/>
          <w:color w:val="auto"/>
          <w:sz w:val="32"/>
          <w:szCs w:val="32"/>
        </w:rPr>
        <w:t>四、评价结论及建议</w:t>
      </w:r>
      <w:r>
        <w:rPr>
          <w:rFonts w:hint="default" w:ascii="Times New Roman" w:hAnsi="Times New Roman"/>
          <w:b w:val="0"/>
          <w:color w:val="auto"/>
          <w:sz w:val="32"/>
          <w:szCs w:val="32"/>
        </w:rPr>
        <w:t>  </w:t>
      </w:r>
      <w:r>
        <w:rPr>
          <w:rFonts w:hint="default" w:ascii="Times New Roman" w:hAnsi="Times New Roman"/>
          <w:b w:val="0"/>
          <w:color w:val="auto"/>
          <w:sz w:val="30"/>
          <w:szCs w:val="30"/>
        </w:rPr>
        <w:t> </w:t>
      </w:r>
    </w:p>
    <w:p>
      <w:pPr>
        <w:pStyle w:val="4"/>
        <w:widowControl/>
        <w:spacing w:beforeAutospacing="0" w:afterAutospacing="0" w:line="580" w:lineRule="exact"/>
        <w:ind w:firstLine="620" w:firstLineChars="193"/>
        <w:rPr>
          <w:rFonts w:hint="default" w:ascii="微软雅黑" w:hAnsi="微软雅黑" w:eastAsia="楷体_GB2312" w:cs="微软雅黑"/>
          <w:b w:val="0"/>
          <w:color w:val="auto"/>
          <w:sz w:val="21"/>
          <w:szCs w:val="21"/>
        </w:rPr>
      </w:pPr>
      <w:r>
        <w:rPr>
          <w:rFonts w:hint="default" w:ascii="楷体_GB2312" w:hAnsi="微软雅黑" w:eastAsia="楷体_GB2312" w:cs="楷体_GB2312"/>
          <w:color w:val="auto"/>
          <w:sz w:val="32"/>
          <w:szCs w:val="32"/>
          <w:shd w:val="clear" w:color="auto" w:fill="FFFFFF"/>
        </w:rPr>
        <w:t>（一）</w:t>
      </w:r>
      <w:r>
        <w:rPr>
          <w:rFonts w:ascii="楷体_GB2312" w:hAnsi="微软雅黑" w:eastAsia="楷体_GB2312" w:cs="楷体_GB2312"/>
          <w:color w:val="auto"/>
          <w:sz w:val="32"/>
          <w:szCs w:val="32"/>
          <w:shd w:val="clear" w:color="auto" w:fill="FFFFFF"/>
        </w:rPr>
        <w:t>项目决策、管理情况</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巡逻辅警和特警辅警积极配合特巡警、治安等部门开展维稳工作，有效化解影响社会稳定的矛盾纠纷，积极稳妥处置群访集访、串联聚集、堵门堵路等涉稳事件，确保了重大活动安全有序进行。</w:t>
      </w:r>
    </w:p>
    <w:p>
      <w:pPr>
        <w:pStyle w:val="4"/>
        <w:widowControl/>
        <w:spacing w:beforeAutospacing="0" w:afterAutospacing="0" w:line="580" w:lineRule="exact"/>
        <w:ind w:firstLine="620" w:firstLineChars="193"/>
        <w:rPr>
          <w:rFonts w:hint="default" w:ascii="微软雅黑" w:hAnsi="微软雅黑" w:eastAsia="楷体_GB2312" w:cs="微软雅黑"/>
          <w:b w:val="0"/>
          <w:color w:val="auto"/>
          <w:sz w:val="21"/>
          <w:szCs w:val="21"/>
        </w:rPr>
      </w:pPr>
      <w:r>
        <w:rPr>
          <w:rFonts w:hint="default" w:ascii="楷体_GB2312" w:hAnsi="微软雅黑" w:eastAsia="楷体_GB2312" w:cs="楷体_GB2312"/>
          <w:color w:val="auto"/>
          <w:sz w:val="32"/>
          <w:szCs w:val="32"/>
          <w:shd w:val="clear" w:color="auto" w:fill="FFFFFF"/>
        </w:rPr>
        <w:t>（二）</w:t>
      </w:r>
      <w:r>
        <w:rPr>
          <w:rFonts w:ascii="楷体_GB2312" w:hAnsi="微软雅黑" w:eastAsia="楷体_GB2312" w:cs="楷体_GB2312"/>
          <w:color w:val="auto"/>
          <w:sz w:val="32"/>
          <w:szCs w:val="32"/>
          <w:shd w:val="clear" w:color="auto" w:fill="FFFFFF"/>
        </w:rPr>
        <w:t>项目产出、效益情况</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指挥中心辅警在民警带领下，开展接警工作，及时指令派出所、特警或交警开展处警工作；</w:t>
      </w:r>
      <w:r>
        <w:rPr>
          <w:rFonts w:ascii="仿宋_GB2312" w:hAnsi="Times New Roman" w:eastAsia="仿宋_GB2312" w:cs="仿宋_GB2312"/>
          <w:color w:val="auto"/>
          <w:kern w:val="0"/>
          <w:sz w:val="32"/>
          <w:szCs w:val="32"/>
          <w:shd w:val="clear" w:color="auto" w:fill="FFFFFF"/>
        </w:rPr>
        <w:t>巡逻或特警辅警在民警带领下，积极配合侦查破案和安全管理相关工作，在全市辅警队伍积极配合参与下，公众安全感指数增长率</w:t>
      </w:r>
      <w:r>
        <w:rPr>
          <w:rFonts w:hint="eastAsia" w:ascii="仿宋_GB2312" w:hAnsi="Times New Roman" w:eastAsia="仿宋_GB2312" w:cs="仿宋_GB2312"/>
          <w:color w:val="auto"/>
          <w:kern w:val="0"/>
          <w:sz w:val="32"/>
          <w:szCs w:val="32"/>
          <w:shd w:val="clear" w:color="auto" w:fill="FFFFFF"/>
        </w:rPr>
        <w:t>达到23</w:t>
      </w:r>
      <w:r>
        <w:rPr>
          <w:rFonts w:ascii="仿宋_GB2312" w:hAnsi="Times New Roman" w:eastAsia="仿宋_GB2312" w:cs="仿宋_GB2312"/>
          <w:color w:val="auto"/>
          <w:kern w:val="0"/>
          <w:sz w:val="32"/>
          <w:szCs w:val="32"/>
          <w:shd w:val="clear" w:color="auto" w:fill="FFFFFF"/>
        </w:rPr>
        <w:t>%</w:t>
      </w:r>
      <w:r>
        <w:rPr>
          <w:rFonts w:hint="eastAsia" w:ascii="仿宋_GB2312" w:hAnsi="Times New Roman" w:eastAsia="仿宋_GB2312" w:cs="仿宋_GB2312"/>
          <w:color w:val="auto"/>
          <w:kern w:val="0"/>
          <w:sz w:val="32"/>
          <w:szCs w:val="32"/>
          <w:shd w:val="clear" w:color="auto" w:fill="FFFFFF"/>
        </w:rPr>
        <w:t>，重大活动突发事件下降率达到12%，群体性事件成功处置率达到90%。</w:t>
      </w:r>
      <w:r>
        <w:rPr>
          <w:rFonts w:ascii="仿宋_GB2312" w:hAnsi="Times New Roman" w:eastAsia="仿宋_GB2312" w:cs="仿宋_GB2312"/>
          <w:color w:val="auto"/>
          <w:kern w:val="0"/>
          <w:sz w:val="32"/>
          <w:szCs w:val="32"/>
          <w:shd w:val="clear" w:color="auto" w:fill="FFFFFF"/>
        </w:rPr>
        <w:t>全市取得了发案下降、安全事故下降、破案率上升、群众安全感上升、满意度上升</w:t>
      </w:r>
      <w:r>
        <w:rPr>
          <w:rFonts w:ascii="Times New Roman" w:hAnsi="Times New Roman" w:eastAsia="微软雅黑" w:cs="Times New Roman"/>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两下降三上升</w:t>
      </w:r>
      <w:r>
        <w:rPr>
          <w:rFonts w:ascii="Times New Roman" w:hAnsi="Times New Roman" w:eastAsia="微软雅黑" w:cs="Times New Roman"/>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的好成绩。</w:t>
      </w:r>
    </w:p>
    <w:p>
      <w:pPr>
        <w:pStyle w:val="3"/>
        <w:widowControl/>
        <w:spacing w:before="240" w:beforeAutospacing="0" w:afterAutospacing="0" w:line="580" w:lineRule="exact"/>
        <w:ind w:firstLine="640" w:firstLineChars="200"/>
        <w:jc w:val="both"/>
        <w:rPr>
          <w:rFonts w:hint="default" w:ascii="黑体" w:eastAsia="黑体" w:cs="黑体"/>
          <w:b w:val="0"/>
          <w:color w:val="auto"/>
          <w:sz w:val="32"/>
          <w:szCs w:val="32"/>
        </w:rPr>
      </w:pPr>
      <w:r>
        <w:rPr>
          <w:rFonts w:hint="default" w:ascii="黑体" w:eastAsia="黑体" w:cs="黑体"/>
          <w:b w:val="0"/>
          <w:color w:val="auto"/>
          <w:sz w:val="32"/>
          <w:szCs w:val="32"/>
        </w:rPr>
        <w:t>五、存在的问题</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市公安局未单独制定警务辅助人员专项资金管理办法。</w:t>
      </w:r>
    </w:p>
    <w:p>
      <w:pPr>
        <w:pStyle w:val="3"/>
        <w:widowControl/>
        <w:spacing w:before="240" w:beforeAutospacing="0" w:afterAutospacing="0" w:line="580" w:lineRule="exact"/>
        <w:ind w:firstLine="640" w:firstLineChars="200"/>
        <w:jc w:val="both"/>
        <w:rPr>
          <w:rFonts w:hint="default" w:ascii="Times New Roman" w:hAnsi="Times New Roman"/>
          <w:color w:val="auto"/>
          <w:sz w:val="32"/>
          <w:szCs w:val="32"/>
        </w:rPr>
      </w:pPr>
      <w:r>
        <w:rPr>
          <w:rFonts w:ascii="黑体" w:eastAsia="黑体" w:cs="黑体"/>
          <w:b w:val="0"/>
          <w:color w:val="auto"/>
          <w:sz w:val="32"/>
          <w:szCs w:val="32"/>
        </w:rPr>
        <w:t>六、相关措施建议</w:t>
      </w:r>
    </w:p>
    <w:p>
      <w:pPr>
        <w:widowControl/>
        <w:spacing w:line="580" w:lineRule="exact"/>
        <w:ind w:firstLine="643"/>
        <w:rPr>
          <w:rFonts w:ascii="Times New Roman" w:hAnsi="Times New Roman" w:cs="Times New Roman"/>
          <w:color w:val="auto"/>
          <w:szCs w:val="21"/>
        </w:rPr>
      </w:pPr>
      <w:r>
        <w:rPr>
          <w:rFonts w:ascii="楷体_GB2312" w:hAnsi="Times New Roman" w:eastAsia="楷体_GB2312" w:cs="楷体_GB2312"/>
          <w:b/>
          <w:color w:val="auto"/>
          <w:kern w:val="0"/>
          <w:sz w:val="32"/>
          <w:szCs w:val="32"/>
        </w:rPr>
        <w:t>（</w:t>
      </w:r>
      <w:r>
        <w:rPr>
          <w:rFonts w:hint="eastAsia" w:ascii="楷体_GB2312" w:hAnsi="Times New Roman" w:eastAsia="楷体_GB2312" w:cs="楷体_GB2312"/>
          <w:b/>
          <w:color w:val="auto"/>
          <w:kern w:val="0"/>
          <w:sz w:val="32"/>
          <w:szCs w:val="32"/>
        </w:rPr>
        <w:t>一</w:t>
      </w:r>
      <w:r>
        <w:rPr>
          <w:rFonts w:ascii="楷体_GB2312" w:hAnsi="Times New Roman" w:eastAsia="楷体_GB2312" w:cs="楷体_GB2312"/>
          <w:b/>
          <w:color w:val="auto"/>
          <w:kern w:val="0"/>
          <w:sz w:val="32"/>
          <w:szCs w:val="32"/>
        </w:rPr>
        <w:t>）制定专项资金管理办法，加强资金监管力度</w:t>
      </w:r>
    </w:p>
    <w:p>
      <w:pPr>
        <w:widowControl/>
        <w:spacing w:line="580" w:lineRule="exact"/>
        <w:ind w:firstLine="640"/>
        <w:rPr>
          <w:rFonts w:ascii="Times New Roman" w:hAnsi="Times New Roman" w:cs="Times New Roman"/>
          <w:color w:val="auto"/>
          <w:szCs w:val="21"/>
        </w:rPr>
      </w:pPr>
      <w:r>
        <w:rPr>
          <w:rFonts w:ascii="仿宋_GB2312" w:hAnsi="Times New Roman" w:eastAsia="仿宋_GB2312" w:cs="仿宋_GB2312"/>
          <w:color w:val="auto"/>
          <w:kern w:val="0"/>
          <w:sz w:val="32"/>
          <w:szCs w:val="32"/>
          <w:shd w:val="clear" w:color="auto" w:fill="FFFFFF"/>
        </w:rPr>
        <w:t>警务辅助人员专项资金规模较大，且管理的警辅人员较多。制定专项资金管理办法，对资金申报、分配、管理、使用、公示、项目层级管理、绩效评价、后续监督检查等进行明确，进一步规范专项资金管理，确保资金专款专用、高效使用。</w:t>
      </w:r>
    </w:p>
    <w:p>
      <w:pPr>
        <w:widowControl/>
        <w:spacing w:line="580" w:lineRule="exact"/>
        <w:ind w:firstLine="643"/>
        <w:rPr>
          <w:rFonts w:ascii="Times New Roman" w:hAnsi="Times New Roman" w:cs="Times New Roman"/>
          <w:color w:val="auto"/>
          <w:szCs w:val="21"/>
        </w:rPr>
      </w:pPr>
      <w:r>
        <w:rPr>
          <w:rFonts w:ascii="楷体_GB2312" w:hAnsi="Times New Roman" w:eastAsia="楷体_GB2312" w:cs="楷体_GB2312"/>
          <w:b/>
          <w:color w:val="auto"/>
          <w:kern w:val="0"/>
          <w:sz w:val="32"/>
          <w:szCs w:val="32"/>
        </w:rPr>
        <w:t>（</w:t>
      </w:r>
      <w:r>
        <w:rPr>
          <w:rFonts w:hint="eastAsia" w:ascii="楷体_GB2312" w:hAnsi="Times New Roman" w:eastAsia="楷体_GB2312" w:cs="楷体_GB2312"/>
          <w:b/>
          <w:color w:val="auto"/>
          <w:kern w:val="0"/>
          <w:sz w:val="32"/>
          <w:szCs w:val="32"/>
        </w:rPr>
        <w:t>二</w:t>
      </w:r>
      <w:r>
        <w:rPr>
          <w:rFonts w:ascii="楷体_GB2312" w:hAnsi="Times New Roman" w:eastAsia="楷体_GB2312" w:cs="楷体_GB2312"/>
          <w:b/>
          <w:color w:val="auto"/>
          <w:kern w:val="0"/>
          <w:sz w:val="32"/>
          <w:szCs w:val="32"/>
        </w:rPr>
        <w:t>）提升群众满意度</w:t>
      </w:r>
    </w:p>
    <w:p>
      <w:pPr>
        <w:widowControl/>
        <w:spacing w:line="580" w:lineRule="exact"/>
        <w:ind w:firstLine="640"/>
        <w:rPr>
          <w:rFonts w:hint="eastAsia" w:eastAsia="仿宋_GB2312"/>
          <w:color w:val="auto"/>
          <w:lang w:eastAsia="zh-CN"/>
        </w:rPr>
      </w:pPr>
      <w:r>
        <w:rPr>
          <w:rFonts w:ascii="仿宋_GB2312" w:hAnsi="Times New Roman" w:eastAsia="仿宋_GB2312" w:cs="仿宋_GB2312"/>
          <w:color w:val="auto"/>
          <w:kern w:val="0"/>
          <w:sz w:val="32"/>
          <w:szCs w:val="32"/>
          <w:shd w:val="clear" w:color="auto" w:fill="FFFFFF"/>
        </w:rPr>
        <w:t>一是加强社区警务工作，创新便民利民措施，对各种利益群体诉求问题，积极开展教育疏导、调处化解工作，尽最大可能化解矛盾纠纷，消除隐患。二是加强警务辅助人员思想政治教育和宣传，塑造良好形象，加强舆论宣传引导工作，着重突出警务辅助人员在侦察破案、服务群众等方面取得的成绩和队伍中涌现的先进人物，积极引导群众真正了解、理解和支持公安工作，加强警民恳谈，着力纠正执法办案中存在的突出问题，不断提升群众的满意度</w:t>
      </w:r>
      <w:r>
        <w:rPr>
          <w:rFonts w:hint="eastAsia" w:ascii="仿宋_GB2312" w:eastAsia="仿宋_GB2312" w:cs="仿宋_GB2312"/>
          <w:color w:val="auto"/>
          <w:kern w:val="0"/>
          <w:sz w:val="32"/>
          <w:szCs w:val="32"/>
          <w:shd w:val="clear" w:color="auto" w:fill="FFFFFF"/>
          <w:lang w:eastAsia="zh-CN"/>
        </w:rPr>
        <w:t>。</w:t>
      </w: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04"/>
        <w:gridCol w:w="1705"/>
        <w:gridCol w:w="1783"/>
        <w:gridCol w:w="1974"/>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bookmarkStart w:id="62" w:name="_Toc15396618"/>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警务辅助人员专项经费</w:t>
            </w:r>
          </w:p>
        </w:tc>
        <w:tc>
          <w:tcPr>
            <w:tcW w:w="234" w:type="dxa"/>
            <w:tcBorders>
              <w:top w:val="nil"/>
              <w:left w:val="nil"/>
              <w:bottom w:val="nil"/>
              <w:right w:val="nil"/>
            </w:tcBorders>
            <w:shd w:val="clear" w:color="auto" w:fill="auto"/>
            <w:vAlign w:val="center"/>
          </w:tcPr>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1284.40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1284.40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1284.40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保障遂宁市公安局本级警务辅助人员的工资福利发放及服装装备购置，增强公安队伍力量建设，提高路面见警率，提升群众安全感。</w:t>
            </w:r>
          </w:p>
        </w:tc>
        <w:tc>
          <w:tcPr>
            <w:tcW w:w="37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rPr>
              <w:t>保障遂宁市公安局本级警务辅助人员的工资福利发放及服装装备购置，增强公安队伍力量建设，提高路面见警率，提升群众安全感。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招录人数</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214人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214人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入职条件</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 xml:space="preserve">严格按照《市政府办公室关于规范公安机关警务辅助人员管理工作的实施意见》  </w:t>
            </w:r>
            <w:r>
              <w:rPr>
                <w:rFonts w:hint="eastAsia" w:ascii="仿宋" w:hAnsi="仿宋" w:eastAsia="仿宋" w:cs="仿宋"/>
                <w:i w:val="0"/>
                <w:color w:val="auto"/>
                <w:kern w:val="0"/>
                <w:sz w:val="24"/>
                <w:szCs w:val="24"/>
                <w:u w:val="none"/>
                <w:lang w:val="en-US" w:eastAsia="zh-CN" w:bidi="ar"/>
              </w:rPr>
              <w:tab/>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严格按照《市政府办公室关于规范公安机关警务辅助人员管理工作的实施意见》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工资福利及社保</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5.2万元/人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5.2万元/人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服装被装费</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0.8万元/人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0.8万元/人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  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建设一支应急处突力量</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100人</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可持续影响指标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提高公安警用力量</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提高见警率、提升群众安全感</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提高见警率、提升群众安全感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增强公安机关实战能力</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pacing w:line="600" w:lineRule="exact"/>
        <w:jc w:val="both"/>
        <w:outlineLvl w:val="0"/>
        <w:rPr>
          <w:rFonts w:hint="eastAsia" w:ascii="黑体" w:hAnsi="黑体" w:eastAsia="黑体"/>
          <w:color w:val="auto"/>
          <w:sz w:val="44"/>
          <w:szCs w:val="44"/>
          <w:highlight w:val="none"/>
        </w:rPr>
      </w:pPr>
    </w:p>
    <w:p>
      <w:pPr>
        <w:pStyle w:val="2"/>
        <w:rPr>
          <w:rFonts w:hint="eastAsia"/>
          <w:color w:val="auto"/>
        </w:rPr>
      </w:pPr>
    </w:p>
    <w:p>
      <w:pPr>
        <w:pStyle w:val="2"/>
        <w:rPr>
          <w:rFonts w:hint="eastAsia"/>
          <w:color w:val="auto"/>
        </w:rPr>
      </w:pPr>
    </w:p>
    <w:p>
      <w:pPr>
        <w:spacing w:line="600" w:lineRule="exact"/>
        <w:jc w:val="center"/>
        <w:rPr>
          <w:rFonts w:hint="eastAsia" w:ascii="方正小标宋简体" w:hAnsi="宋体" w:eastAsia="方正小标宋简体"/>
          <w:color w:val="auto"/>
          <w:kern w:val="0"/>
          <w:sz w:val="44"/>
          <w:szCs w:val="44"/>
        </w:rPr>
      </w:pPr>
      <w:r>
        <w:rPr>
          <w:rFonts w:hint="eastAsia" w:ascii="方正小标宋简体" w:hAnsi="宋体" w:eastAsia="方正小标宋简体"/>
          <w:color w:val="auto"/>
          <w:kern w:val="0"/>
          <w:sz w:val="44"/>
          <w:szCs w:val="44"/>
          <w:lang w:val="zh-CN"/>
        </w:rPr>
        <w:t>部门预算项目支出绩效自评报告</w:t>
      </w:r>
    </w:p>
    <w:p>
      <w:pPr>
        <w:tabs>
          <w:tab w:val="left" w:pos="3885"/>
        </w:tabs>
        <w:snapToGrid w:val="0"/>
        <w:spacing w:line="600" w:lineRule="exact"/>
        <w:jc w:val="center"/>
        <w:rPr>
          <w:rFonts w:hAnsi="宋体"/>
          <w:b/>
          <w:bCs/>
          <w:color w:val="auto"/>
          <w:sz w:val="32"/>
          <w:szCs w:val="32"/>
        </w:rPr>
      </w:pPr>
      <w:r>
        <w:rPr>
          <w:rFonts w:hint="eastAsia" w:hAnsi="宋体"/>
          <w:b/>
          <w:bCs/>
          <w:color w:val="auto"/>
          <w:sz w:val="32"/>
          <w:szCs w:val="32"/>
        </w:rPr>
        <w:t>（交通治安综合卡口专项经费项目）</w:t>
      </w:r>
    </w:p>
    <w:p>
      <w:pPr>
        <w:tabs>
          <w:tab w:val="left" w:pos="3885"/>
        </w:tabs>
        <w:snapToGrid w:val="0"/>
        <w:spacing w:line="600" w:lineRule="exact"/>
        <w:ind w:firstLine="643" w:firstLineChars="200"/>
        <w:jc w:val="left"/>
        <w:rPr>
          <w:rFonts w:ascii="宋体" w:hAnsi="宋体"/>
          <w:b/>
          <w:color w:val="auto"/>
          <w:sz w:val="32"/>
          <w:szCs w:val="32"/>
        </w:rPr>
      </w:pPr>
    </w:p>
    <w:p>
      <w:pPr>
        <w:adjustRightInd w:val="0"/>
        <w:snapToGrid w:val="0"/>
        <w:spacing w:line="600" w:lineRule="exact"/>
        <w:ind w:firstLine="720"/>
        <w:rPr>
          <w:rFonts w:ascii="黑体" w:hAnsi="宋体" w:eastAsia="黑体"/>
          <w:color w:val="auto"/>
          <w:sz w:val="32"/>
          <w:szCs w:val="32"/>
          <w:lang w:val="zh-CN"/>
        </w:rPr>
      </w:pPr>
      <w:r>
        <w:rPr>
          <w:rFonts w:hint="eastAsia" w:ascii="黑体" w:hAnsi="宋体" w:eastAsia="黑体"/>
          <w:color w:val="auto"/>
          <w:sz w:val="32"/>
          <w:szCs w:val="32"/>
        </w:rPr>
        <w:t>一、</w:t>
      </w:r>
      <w:r>
        <w:rPr>
          <w:rFonts w:hint="eastAsia" w:ascii="黑体" w:hAnsi="宋体" w:eastAsia="黑体"/>
          <w:color w:val="auto"/>
          <w:sz w:val="32"/>
          <w:szCs w:val="32"/>
          <w:lang w:val="zh-CN"/>
        </w:rPr>
        <w:t>项目概况</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（一）项目基本情况。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按照省厅公安的指导和要求，报经市委市政府同意进行建设。于2013年建成并投入使用，项目投资3570万元，全市、区县根据建设卡点数支付租赁费，市本级每年支付140万元，租赁期10年。2022年严格按照合同要求进行付费，实际支付费用</w:t>
      </w:r>
      <w:r>
        <w:rPr>
          <w:rFonts w:ascii="仿宋_GB2312" w:hAnsi="Times New Roman" w:eastAsia="仿宋_GB2312" w:cs="仿宋_GB2312"/>
          <w:color w:val="auto"/>
          <w:kern w:val="0"/>
          <w:sz w:val="32"/>
          <w:szCs w:val="32"/>
          <w:shd w:val="clear" w:color="auto" w:fill="FFFFFF"/>
        </w:rPr>
        <w:t xml:space="preserve"> 14</w:t>
      </w:r>
      <w:r>
        <w:rPr>
          <w:rFonts w:hint="eastAsia" w:ascii="仿宋_GB2312" w:hAnsi="Times New Roman" w:eastAsia="仿宋_GB2312" w:cs="仿宋_GB2312"/>
          <w:color w:val="auto"/>
          <w:kern w:val="0"/>
          <w:sz w:val="32"/>
          <w:szCs w:val="32"/>
          <w:shd w:val="clear" w:color="auto" w:fill="FFFFFF"/>
          <w:lang w:val="en-US" w:eastAsia="zh-CN"/>
        </w:rPr>
        <w:t>0万</w:t>
      </w:r>
      <w:r>
        <w:rPr>
          <w:rFonts w:hint="eastAsia" w:ascii="仿宋_GB2312" w:hAnsi="Times New Roman" w:eastAsia="仿宋_GB2312" w:cs="仿宋_GB2312"/>
          <w:color w:val="auto"/>
          <w:kern w:val="0"/>
          <w:sz w:val="32"/>
          <w:szCs w:val="32"/>
          <w:shd w:val="clear" w:color="auto" w:fill="FFFFFF"/>
        </w:rPr>
        <w:t>元。</w:t>
      </w:r>
    </w:p>
    <w:p>
      <w:pPr>
        <w:adjustRightInd w:val="0"/>
        <w:snapToGrid w:val="0"/>
        <w:spacing w:line="600" w:lineRule="exact"/>
        <w:ind w:firstLine="72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（二）项目绩效目标。</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2022年交通治安综合卡口系统为案件侦办部门提供车辆查询280余次，提供有效有价值线索50余次，为案件侦办提供有效帮助，有效遏制交通肇事肇祸逃逸案件。目前该项目由市局党委决定相关数据统一由交警支队管理，负责维护数据考核，市局按照交警支队考核数据进行租赁费用支付。</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（三）项目自评步骤及方法。</w:t>
      </w:r>
    </w:p>
    <w:p>
      <w:pPr>
        <w:widowControl/>
        <w:spacing w:line="580" w:lineRule="exact"/>
        <w:ind w:firstLine="640"/>
        <w:rPr>
          <w:rFonts w:ascii="仿宋_GB2312" w:hAnsi="Times New Roman" w:eastAsia="仿宋_GB2312" w:cs="仿宋_GB2312"/>
          <w:color w:val="auto"/>
          <w:kern w:val="0"/>
          <w:sz w:val="32"/>
          <w:szCs w:val="32"/>
          <w:shd w:val="clear" w:color="auto" w:fill="FFFFFF"/>
        </w:rPr>
      </w:pPr>
      <w:r>
        <w:rPr>
          <w:rFonts w:ascii="仿宋_GB2312" w:hAnsi="Times New Roman" w:eastAsia="仿宋_GB2312" w:cs="仿宋_GB2312"/>
          <w:color w:val="auto"/>
          <w:kern w:val="0"/>
          <w:sz w:val="32"/>
          <w:szCs w:val="32"/>
          <w:shd w:val="clear" w:color="auto" w:fill="FFFFFF"/>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pPr>
        <w:widowControl/>
        <w:spacing w:line="580" w:lineRule="exact"/>
        <w:ind w:firstLine="640"/>
        <w:rPr>
          <w:rFonts w:hint="eastAsia" w:ascii="仿宋_GB2312" w:hAnsi="宋体" w:cs="宋体"/>
          <w:color w:val="auto"/>
          <w:kern w:val="0"/>
          <w:sz w:val="32"/>
          <w:szCs w:val="32"/>
        </w:rPr>
      </w:pPr>
      <w:r>
        <w:rPr>
          <w:rFonts w:ascii="仿宋_GB2312" w:hAnsi="Times New Roman" w:eastAsia="仿宋_GB2312" w:cs="仿宋_GB2312"/>
          <w:color w:val="auto"/>
          <w:kern w:val="0"/>
          <w:sz w:val="32"/>
          <w:szCs w:val="32"/>
          <w:shd w:val="clear" w:color="auto" w:fill="FFFFFF"/>
        </w:rPr>
        <w:t>根据《</w:t>
      </w:r>
      <w:r>
        <w:rPr>
          <w:rFonts w:hint="eastAsia" w:ascii="仿宋_GB2312" w:hAnsi="Times New Roman" w:eastAsia="仿宋_GB2312" w:cs="仿宋_GB2312"/>
          <w:color w:val="auto"/>
          <w:kern w:val="0"/>
          <w:sz w:val="32"/>
          <w:szCs w:val="32"/>
          <w:shd w:val="clear" w:color="auto" w:fill="FFFFFF"/>
        </w:rPr>
        <w:t>遂宁市财政局关于开展2022年部门、项目、政策支出绩效自评工作的通知（遂财绩[2023]2号）</w:t>
      </w:r>
      <w:r>
        <w:rPr>
          <w:rFonts w:ascii="仿宋_GB2312" w:hAnsi="Times New Roman" w:eastAsia="仿宋_GB2312" w:cs="仿宋_GB2312"/>
          <w:color w:val="auto"/>
          <w:kern w:val="0"/>
          <w:sz w:val="32"/>
          <w:szCs w:val="32"/>
          <w:shd w:val="clear" w:color="auto" w:fill="FFFFFF"/>
        </w:rPr>
        <w:t>文件精神，成立评价工作小组，及时研究开展绩效评价的有关工作，并按规定报送项目绩效自评报告</w:t>
      </w:r>
      <w:r>
        <w:rPr>
          <w:rFonts w:hint="eastAsia" w:ascii="仿宋_GB2312" w:hAnsi="Times New Roman" w:eastAsia="仿宋_GB2312" w:cs="仿宋_GB2312"/>
          <w:color w:val="auto"/>
          <w:kern w:val="0"/>
          <w:sz w:val="32"/>
          <w:szCs w:val="32"/>
          <w:shd w:val="clear" w:color="auto" w:fill="FFFFFF"/>
        </w:rPr>
        <w:t>。</w:t>
      </w:r>
      <w:r>
        <w:rPr>
          <w:rFonts w:ascii="仿宋_GB2312" w:hAnsi="Times New Roman" w:eastAsia="仿宋_GB2312" w:cs="仿宋_GB2312"/>
          <w:color w:val="auto"/>
          <w:kern w:val="0"/>
          <w:sz w:val="32"/>
          <w:szCs w:val="32"/>
          <w:shd w:val="clear" w:color="auto" w:fill="FFFFFF"/>
        </w:rPr>
        <w:t>评价小组对各项目进行分析评价，并结合现场评价情况，采取目标预定与实施效果比较法，对评价对象进行定量定性分析和综合汇总分析，最终确定项目实施效果是否与年初计划相符，从而形成评价结论。</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二、项目资金申报及使用情况</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（一）项目资金申报及批复情况。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该项目按照省厅公安的指导和要求，报经市委市政府同意进行建设。于2013年建成并投入使用，项目投资3570万元，全市、区县根据建设卡点数支付租赁费，市本级每年支付140万元，租赁期10年。</w:t>
      </w:r>
    </w:p>
    <w:p>
      <w:pPr>
        <w:adjustRightInd w:val="0"/>
        <w:snapToGrid w:val="0"/>
        <w:spacing w:line="600" w:lineRule="exact"/>
        <w:ind w:firstLine="720"/>
        <w:rPr>
          <w:rFonts w:hint="eastAsia" w:ascii="楷体_GB2312" w:hAnsi="宋体" w:eastAsia="楷体_GB2312"/>
          <w:b/>
          <w:color w:val="auto"/>
          <w:sz w:val="32"/>
          <w:szCs w:val="32"/>
          <w:lang w:val="zh-CN"/>
        </w:rPr>
      </w:pPr>
      <w:r>
        <w:rPr>
          <w:rFonts w:hint="eastAsia" w:ascii="楷体_GB2312" w:hAnsi="宋体" w:eastAsia="楷体_GB2312"/>
          <w:b/>
          <w:color w:val="auto"/>
          <w:sz w:val="32"/>
          <w:szCs w:val="32"/>
          <w:lang w:val="zh-CN"/>
        </w:rPr>
        <w:t>（二）资金计划、到位及使用情况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lang w:val="zh-CN"/>
        </w:rPr>
      </w:pPr>
      <w:r>
        <w:rPr>
          <w:rFonts w:hint="eastAsia" w:ascii="仿宋_GB2312" w:hAnsi="Times New Roman" w:eastAsia="仿宋_GB2312" w:cs="仿宋_GB2312"/>
          <w:color w:val="auto"/>
          <w:kern w:val="0"/>
          <w:sz w:val="32"/>
          <w:szCs w:val="32"/>
          <w:shd w:val="clear" w:color="auto" w:fill="FFFFFF"/>
        </w:rPr>
        <w:t>2022年我局严格按照合同要求对市本级租赁点位进行考核付费。预计支付费用140万，实际支付费用140万元。</w:t>
      </w:r>
    </w:p>
    <w:p>
      <w:pPr>
        <w:adjustRightInd w:val="0"/>
        <w:snapToGrid w:val="0"/>
        <w:spacing w:line="600" w:lineRule="exact"/>
        <w:ind w:firstLine="720"/>
        <w:rPr>
          <w:rFonts w:hint="eastAsia" w:ascii="黑体" w:hAnsi="宋体" w:eastAsia="黑体"/>
          <w:color w:val="auto"/>
          <w:sz w:val="32"/>
          <w:szCs w:val="32"/>
        </w:rPr>
      </w:pPr>
      <w:r>
        <w:rPr>
          <w:rFonts w:hint="eastAsia" w:ascii="黑体" w:hAnsi="宋体" w:eastAsia="黑体"/>
          <w:color w:val="auto"/>
          <w:sz w:val="32"/>
          <w:szCs w:val="32"/>
        </w:rPr>
        <w:t>三、项目实施及管理情况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2021年交通治安综合卡口系统为案件侦办部门提供车辆查询300余次，提供有效有价值线索72余次，为案件侦办提供有效帮助，有效遏制交通肇事肇祸逃逸案件。目前该项目由市局党委决定相关数据统一由交警支队管理，负责维护数据考核，市局按照交警支队考核数据进行租赁费用支付。</w:t>
      </w:r>
    </w:p>
    <w:p>
      <w:pPr>
        <w:widowControl/>
        <w:spacing w:line="580" w:lineRule="exact"/>
        <w:ind w:firstLine="640"/>
        <w:rPr>
          <w:rFonts w:hint="eastAsia" w:ascii="黑体" w:hAnsi="宋体" w:eastAsia="黑体"/>
          <w:color w:val="auto"/>
          <w:sz w:val="32"/>
          <w:szCs w:val="32"/>
        </w:rPr>
      </w:pPr>
      <w:r>
        <w:rPr>
          <w:rFonts w:ascii="仿宋_GB2312" w:hAnsi="Times New Roman" w:eastAsia="仿宋_GB2312" w:cs="仿宋_GB2312"/>
          <w:color w:val="auto"/>
          <w:kern w:val="0"/>
          <w:sz w:val="32"/>
          <w:szCs w:val="32"/>
          <w:shd w:val="clear" w:color="auto" w:fill="FFFFFF"/>
        </w:rPr>
        <w:t>根据《20</w:t>
      </w:r>
      <w:r>
        <w:rPr>
          <w:rFonts w:hint="eastAsia" w:ascii="仿宋_GB2312" w:hAnsi="Times New Roman" w:eastAsia="仿宋_GB2312" w:cs="仿宋_GB2312"/>
          <w:color w:val="auto"/>
          <w:kern w:val="0"/>
          <w:sz w:val="32"/>
          <w:szCs w:val="32"/>
          <w:shd w:val="clear" w:color="auto" w:fill="FFFFFF"/>
        </w:rPr>
        <w:t>23</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实际项目支出绩效评价指标体系</w:t>
      </w:r>
      <w:r>
        <w:rPr>
          <w:rFonts w:ascii="仿宋_GB2312" w:hAnsi="Times New Roman" w:eastAsia="仿宋_GB2312" w:cs="仿宋_GB2312"/>
          <w:color w:val="auto"/>
          <w:kern w:val="0"/>
          <w:sz w:val="32"/>
          <w:szCs w:val="32"/>
          <w:shd w:val="clear" w:color="auto" w:fill="FFFFFF"/>
        </w:rPr>
        <w:t>》，20</w:t>
      </w:r>
      <w:r>
        <w:rPr>
          <w:rFonts w:hint="eastAsia" w:ascii="仿宋_GB2312" w:hAnsi="Times New Roman" w:eastAsia="仿宋_GB2312" w:cs="仿宋_GB2312"/>
          <w:color w:val="auto"/>
          <w:kern w:val="0"/>
          <w:sz w:val="32"/>
          <w:szCs w:val="32"/>
          <w:shd w:val="clear" w:color="auto" w:fill="FFFFFF"/>
        </w:rPr>
        <w:t>22</w:t>
      </w:r>
      <w:r>
        <w:rPr>
          <w:rFonts w:ascii="仿宋_GB2312" w:hAnsi="Times New Roman" w:eastAsia="仿宋_GB2312" w:cs="仿宋_GB2312"/>
          <w:color w:val="auto"/>
          <w:kern w:val="0"/>
          <w:sz w:val="32"/>
          <w:szCs w:val="32"/>
          <w:shd w:val="clear" w:color="auto" w:fill="FFFFFF"/>
        </w:rPr>
        <w:t>年度</w:t>
      </w:r>
      <w:r>
        <w:rPr>
          <w:rFonts w:hint="eastAsia" w:ascii="仿宋_GB2312" w:hAnsi="Times New Roman" w:eastAsia="仿宋_GB2312" w:cs="仿宋_GB2312"/>
          <w:color w:val="auto"/>
          <w:kern w:val="0"/>
          <w:sz w:val="32"/>
          <w:szCs w:val="32"/>
          <w:shd w:val="clear" w:color="auto" w:fill="FFFFFF"/>
        </w:rPr>
        <w:t>遂宁</w:t>
      </w:r>
      <w:r>
        <w:rPr>
          <w:rFonts w:ascii="仿宋_GB2312" w:hAnsi="Times New Roman" w:eastAsia="仿宋_GB2312" w:cs="仿宋_GB2312"/>
          <w:color w:val="auto"/>
          <w:kern w:val="0"/>
          <w:sz w:val="32"/>
          <w:szCs w:val="32"/>
          <w:shd w:val="clear" w:color="auto" w:fill="FFFFFF"/>
        </w:rPr>
        <w:t>市公安局</w:t>
      </w:r>
      <w:r>
        <w:rPr>
          <w:rFonts w:hint="eastAsia" w:ascii="仿宋_GB2312" w:hAnsi="Times New Roman" w:eastAsia="仿宋_GB2312" w:cs="仿宋_GB2312"/>
          <w:color w:val="auto"/>
          <w:kern w:val="0"/>
          <w:sz w:val="32"/>
          <w:szCs w:val="32"/>
          <w:shd w:val="clear" w:color="auto" w:fill="FFFFFF"/>
        </w:rPr>
        <w:t>交通治安综合卡口专项经费项目</w:t>
      </w:r>
      <w:r>
        <w:rPr>
          <w:rFonts w:ascii="仿宋_GB2312" w:hAnsi="Times New Roman" w:eastAsia="仿宋_GB2312" w:cs="仿宋_GB2312"/>
          <w:color w:val="auto"/>
          <w:kern w:val="0"/>
          <w:sz w:val="32"/>
          <w:szCs w:val="32"/>
          <w:shd w:val="clear" w:color="auto" w:fill="FFFFFF"/>
        </w:rPr>
        <w:t>绩效评价综合得分为</w:t>
      </w:r>
      <w:r>
        <w:rPr>
          <w:rFonts w:hint="eastAsia" w:ascii="仿宋_GB2312" w:hAnsi="Times New Roman" w:eastAsia="仿宋_GB2312" w:cs="仿宋_GB2312"/>
          <w:color w:val="auto"/>
          <w:kern w:val="0"/>
          <w:sz w:val="32"/>
          <w:szCs w:val="32"/>
          <w:shd w:val="clear" w:color="auto" w:fill="FFFFFF"/>
        </w:rPr>
        <w:t>88.4</w:t>
      </w:r>
      <w:r>
        <w:rPr>
          <w:rFonts w:ascii="仿宋_GB2312" w:hAnsi="Times New Roman" w:eastAsia="仿宋_GB2312" w:cs="仿宋_GB2312"/>
          <w:color w:val="auto"/>
          <w:kern w:val="0"/>
          <w:sz w:val="32"/>
          <w:szCs w:val="32"/>
          <w:shd w:val="clear" w:color="auto" w:fill="FFFFFF"/>
        </w:rPr>
        <w:t>分。评价等级为“</w:t>
      </w:r>
      <w:r>
        <w:rPr>
          <w:rFonts w:hint="eastAsia" w:ascii="仿宋_GB2312" w:hAnsi="Times New Roman" w:eastAsia="仿宋_GB2312" w:cs="仿宋_GB2312"/>
          <w:color w:val="auto"/>
          <w:kern w:val="0"/>
          <w:sz w:val="32"/>
          <w:szCs w:val="32"/>
          <w:shd w:val="clear" w:color="auto" w:fill="FFFFFF"/>
        </w:rPr>
        <w:t>良</w:t>
      </w:r>
      <w:r>
        <w:rPr>
          <w:rFonts w:ascii="仿宋_GB2312" w:hAnsi="Times New Roman" w:eastAsia="仿宋_GB2312" w:cs="仿宋_GB2312"/>
          <w:color w:val="auto"/>
          <w:kern w:val="0"/>
          <w:sz w:val="32"/>
          <w:szCs w:val="32"/>
          <w:shd w:val="clear" w:color="auto" w:fill="FFFFFF"/>
        </w:rPr>
        <w:t>”。</w:t>
      </w:r>
    </w:p>
    <w:p>
      <w:pPr>
        <w:adjustRightInd w:val="0"/>
        <w:snapToGrid w:val="0"/>
        <w:spacing w:line="600" w:lineRule="exact"/>
        <w:ind w:firstLine="720"/>
        <w:rPr>
          <w:rFonts w:ascii="仿宋_GB2312" w:hAnsi="宋体"/>
          <w:color w:val="auto"/>
          <w:sz w:val="32"/>
          <w:szCs w:val="32"/>
          <w:lang w:val="zh-CN"/>
        </w:rPr>
      </w:pPr>
      <w:r>
        <w:rPr>
          <w:rFonts w:hint="eastAsia" w:ascii="黑体" w:hAnsi="宋体" w:eastAsia="黑体"/>
          <w:color w:val="auto"/>
          <w:sz w:val="32"/>
          <w:szCs w:val="32"/>
        </w:rPr>
        <w:t>四、项目绩效情况</w:t>
      </w:r>
      <w:r>
        <w:rPr>
          <w:rFonts w:ascii="仿宋_GB2312" w:hAnsi="宋体"/>
          <w:color w:val="auto"/>
          <w:sz w:val="32"/>
          <w:szCs w:val="32"/>
          <w:lang w:val="zh-CN"/>
        </w:rPr>
        <w:tab/>
      </w:r>
    </w:p>
    <w:p>
      <w:pPr>
        <w:adjustRightInd w:val="0"/>
        <w:snapToGrid w:val="0"/>
        <w:spacing w:line="600" w:lineRule="exact"/>
        <w:ind w:firstLine="720"/>
        <w:rPr>
          <w:rFonts w:hint="eastAsia" w:ascii="楷体_GB2312" w:hAnsi="宋体" w:eastAsia="楷体_GB2312"/>
          <w:b/>
          <w:color w:val="auto"/>
          <w:sz w:val="32"/>
          <w:szCs w:val="32"/>
        </w:rPr>
      </w:pPr>
      <w:r>
        <w:rPr>
          <w:rFonts w:hint="eastAsia" w:ascii="楷体_GB2312" w:hAnsi="宋体" w:eastAsia="楷体_GB2312"/>
          <w:b/>
          <w:color w:val="auto"/>
          <w:sz w:val="32"/>
          <w:szCs w:val="32"/>
          <w:lang w:val="zh-CN"/>
        </w:rPr>
        <w:t>（一）项目完成情况。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于2014年建成并投入使用，项目投资3570万元，全市、区县根据建设卡点数支付租赁费，市本级每年支付140万元，租赁期10年。建设车道监控数数量指标268，市本级支付交通治安卡口98车道租赁费140万/年，交通治安卡口在线率不低于92%，租赁2024年到期，项目按期完成率100% 。</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（二）项目效益情况。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对治安防控手段建设促进作用增加监控覆盖率，持续年限2024年到期，党委政府满意达到98%以上，人民群众满意率达到98%以上。</w:t>
      </w:r>
    </w:p>
    <w:p>
      <w:pPr>
        <w:adjustRightInd w:val="0"/>
        <w:snapToGrid w:val="0"/>
        <w:spacing w:line="600" w:lineRule="exact"/>
        <w:ind w:firstLine="720"/>
        <w:rPr>
          <w:rFonts w:ascii="黑体" w:hAnsi="宋体" w:eastAsia="黑体"/>
          <w:color w:val="auto"/>
          <w:sz w:val="32"/>
          <w:szCs w:val="32"/>
        </w:rPr>
      </w:pPr>
      <w:r>
        <w:rPr>
          <w:rFonts w:hint="eastAsia" w:ascii="黑体" w:hAnsi="宋体" w:eastAsia="黑体"/>
          <w:color w:val="auto"/>
          <w:sz w:val="32"/>
          <w:szCs w:val="32"/>
        </w:rPr>
        <w:t>五、评价结论及建议</w:t>
      </w:r>
    </w:p>
    <w:p>
      <w:pPr>
        <w:adjustRightInd w:val="0"/>
        <w:snapToGrid w:val="0"/>
        <w:spacing w:line="600" w:lineRule="exact"/>
        <w:ind w:firstLine="720"/>
        <w:rPr>
          <w:rFonts w:ascii="黑体" w:hAnsi="宋体" w:eastAsia="楷体_GB2312"/>
          <w:color w:val="auto"/>
          <w:sz w:val="32"/>
          <w:szCs w:val="32"/>
        </w:rPr>
      </w:pPr>
      <w:r>
        <w:rPr>
          <w:rFonts w:hint="eastAsia" w:ascii="楷体_GB2312" w:hAnsi="宋体" w:eastAsia="楷体_GB2312"/>
          <w:b/>
          <w:color w:val="auto"/>
          <w:sz w:val="32"/>
          <w:szCs w:val="32"/>
          <w:lang w:val="zh-CN"/>
        </w:rPr>
        <w:t>（一）评价结论</w:t>
      </w:r>
      <w:r>
        <w:rPr>
          <w:rFonts w:hint="eastAsia" w:ascii="楷体_GB2312" w:hAnsi="宋体" w:eastAsia="楷体_GB2312"/>
          <w:b/>
          <w:color w:val="auto"/>
          <w:sz w:val="32"/>
          <w:szCs w:val="32"/>
        </w:rPr>
        <w:t>及存在的问题</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该项目由2014年完成建设投入使用，部分设备使用年限已经达到使用极限，相关设备老化，故障率较高。</w:t>
      </w:r>
    </w:p>
    <w:p>
      <w:pPr>
        <w:adjustRightInd w:val="0"/>
        <w:snapToGrid w:val="0"/>
        <w:spacing w:line="600" w:lineRule="exact"/>
        <w:ind w:firstLine="720"/>
        <w:rPr>
          <w:rFonts w:ascii="楷体_GB2312" w:hAnsi="宋体" w:eastAsia="楷体_GB2312"/>
          <w:b/>
          <w:color w:val="auto"/>
          <w:sz w:val="32"/>
          <w:szCs w:val="32"/>
          <w:lang w:val="zh-CN"/>
        </w:rPr>
      </w:pPr>
      <w:r>
        <w:rPr>
          <w:rFonts w:hint="eastAsia" w:ascii="楷体_GB2312" w:hAnsi="宋体" w:eastAsia="楷体_GB2312"/>
          <w:b/>
          <w:color w:val="auto"/>
          <w:sz w:val="32"/>
          <w:szCs w:val="32"/>
          <w:lang w:val="zh-CN"/>
        </w:rPr>
        <w:t>（</w:t>
      </w:r>
      <w:r>
        <w:rPr>
          <w:rFonts w:hint="eastAsia" w:ascii="楷体_GB2312" w:hAnsi="宋体" w:eastAsia="楷体_GB2312"/>
          <w:b/>
          <w:color w:val="auto"/>
          <w:sz w:val="32"/>
          <w:szCs w:val="32"/>
        </w:rPr>
        <w:t>二</w:t>
      </w:r>
      <w:r>
        <w:rPr>
          <w:rFonts w:hint="eastAsia" w:ascii="楷体_GB2312" w:hAnsi="宋体" w:eastAsia="楷体_GB2312"/>
          <w:b/>
          <w:color w:val="auto"/>
          <w:sz w:val="32"/>
          <w:szCs w:val="32"/>
          <w:lang w:val="zh-CN"/>
        </w:rPr>
        <w:t>）相关建议。</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加强运维考核精心化管理，严格按照合同要求执行，要求乙方按照合同对相关设备进行更换，确保租赁效果。</w:t>
      </w:r>
    </w:p>
    <w:tbl>
      <w:tblPr>
        <w:tblStyle w:val="13"/>
        <w:tblpPr w:leftFromText="180" w:rightFromText="180" w:vertAnchor="text" w:horzAnchor="page" w:tblpX="1268" w:tblpY="656"/>
        <w:tblOverlap w:val="never"/>
        <w:tblW w:w="95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04"/>
        <w:gridCol w:w="1584"/>
        <w:gridCol w:w="1728"/>
        <w:gridCol w:w="21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交通治安综合卡口专项经费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298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140.00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140.00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140.00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完成情况</w:t>
            </w: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预期目标</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40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根据合同约定，每月对全市治安各卡口设备运行情况进行检查，根据设备运行情况进行费用支付。</w:t>
            </w:r>
          </w:p>
        </w:tc>
        <w:tc>
          <w:tcPr>
            <w:tcW w:w="38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保障了全市治安卡口正常运行。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trPr>
        <w:tc>
          <w:tcPr>
            <w:tcW w:w="16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车道监控数</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卡口在线率</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不低于90%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租赁费</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1194.78元/月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2"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对治安防控的促进作用</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增加监控覆盖率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可持续性</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持续年限</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长期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9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0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5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72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项目效果满意率</w:t>
            </w:r>
          </w:p>
        </w:tc>
        <w:tc>
          <w:tcPr>
            <w:tcW w:w="2150"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98%</w:t>
            </w:r>
          </w:p>
        </w:tc>
      </w:tr>
    </w:tbl>
    <w:p>
      <w:pPr>
        <w:tabs>
          <w:tab w:val="left" w:pos="1405"/>
        </w:tabs>
        <w:spacing w:line="600" w:lineRule="exact"/>
        <w:jc w:val="left"/>
        <w:outlineLvl w:val="0"/>
        <w:rPr>
          <w:rFonts w:hint="eastAsia" w:ascii="黑体" w:hAnsi="黑体" w:eastAsia="黑体"/>
          <w:color w:val="auto"/>
          <w:sz w:val="44"/>
          <w:szCs w:val="44"/>
          <w:highlight w:val="none"/>
          <w:lang w:eastAsia="zh-CN"/>
        </w:rPr>
      </w:pPr>
      <w:r>
        <w:rPr>
          <w:rFonts w:hint="eastAsia" w:ascii="黑体" w:hAnsi="黑体" w:eastAsia="黑体"/>
          <w:color w:val="auto"/>
          <w:sz w:val="44"/>
          <w:szCs w:val="44"/>
          <w:highlight w:val="none"/>
          <w:lang w:eastAsia="zh-CN"/>
        </w:rPr>
        <w:tab/>
      </w:r>
    </w:p>
    <w:p>
      <w:pPr>
        <w:pStyle w:val="2"/>
        <w:rPr>
          <w:rFonts w:hint="eastAsia"/>
          <w:color w:val="auto"/>
          <w:lang w:eastAsia="zh-CN"/>
        </w:rPr>
      </w:pPr>
    </w:p>
    <w:p>
      <w:pPr>
        <w:pStyle w:val="2"/>
        <w:rPr>
          <w:rFonts w:hint="eastAsia"/>
          <w:color w:val="auto"/>
          <w:lang w:eastAsia="zh-CN"/>
        </w:rPr>
      </w:pPr>
    </w:p>
    <w:p>
      <w:pPr>
        <w:pStyle w:val="2"/>
        <w:rPr>
          <w:rFonts w:hint="eastAsia"/>
          <w:color w:val="auto"/>
          <w:lang w:eastAsia="zh-CN"/>
        </w:rPr>
      </w:pPr>
    </w:p>
    <w:p>
      <w:pPr>
        <w:jc w:val="center"/>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遂宁市公安局项目支出绩效自评报告</w:t>
      </w:r>
    </w:p>
    <w:p>
      <w:pPr>
        <w:jc w:val="center"/>
        <w:rPr>
          <w:rFonts w:hint="eastAsia"/>
          <w:color w:val="auto"/>
          <w:sz w:val="32"/>
          <w:szCs w:val="32"/>
        </w:rPr>
      </w:pPr>
      <w:r>
        <w:rPr>
          <w:rFonts w:hint="eastAsia" w:ascii="仿宋_GB2312" w:hAnsi="仿宋_GB2312" w:cs="仿宋_GB2312"/>
          <w:color w:val="auto"/>
          <w:sz w:val="32"/>
          <w:szCs w:val="32"/>
        </w:rPr>
        <w:t>（遂宁市刑事诉讼涉案财物中心项目）</w:t>
      </w:r>
    </w:p>
    <w:p>
      <w:pPr>
        <w:rPr>
          <w:color w:val="auto"/>
          <w:sz w:val="32"/>
          <w:szCs w:val="32"/>
        </w:rPr>
      </w:pP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一、基本情况</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（一）项目概况。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按照省委政法委“四项重点工作”的安排部署，为规范刑事诉讼涉案财物管理处置工作，2016年8月，市委、市政府研究决定建设遂宁市刑事诉讼涉案财物中心，集中对市城区公、法、检八家执法部门的刑事案件涉案财物保管，中心在2007年建成的市公安局戒毒所的基础上改造而成，于2018年7月建成并投入使用。中心占地面积2300余平方米，室内使用面积1200余平方米，室外使用面积1700余平方米；设有24间物品保管室，车辆保管车位51个。</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（二）项目实施情况。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中心坚持按照“快速、高效、安全、服务、价值、一流”原则规范管理处置涉案财物。截至目前，中心入库涉案物品2940项、33784件；在库涉案物品2464项、29596件；出库处置476项、4188件。入库涉案资金19797825.6元，在库涉案资金13185175.1元，返还资金755466.5元，上缴国库资金5857184元。入库涉案汽车128辆，在库66辆，出库处置62辆（返还46辆、拍卖8辆、移交8辆），拍卖所得价款45.68万元。入库电瓶车、三轮车等68辆，在库68辆。处置海洛因、冰毒、氯胺酮等各类毒品147公斤，制毒原料麻黄素1060公斤，液态毒品、固液混合毒品110公斤，制毒辅料及加热套、真空泵、玻璃器皿等制毒工具约2.5吨。</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（三）资金使用情况。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2022年财政拨款1290000元，共支出1289915.42元。具体构成：办公费123275.20元，印刷费11501.60元，水费12699.96元，燃气费15097.11元，电费176185.71元，差旅费99346.24元，维修费79446.20元，劳务费443500.00元，委托业务费138705.00元，公务用车运行维护费10805.00元，其他商品服务支出129570.40元，办公设备购置43583.00元，专用设备购置6200.00元。</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（四）项目绩效目标。</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全面贯彻落实中、省关于规范刑事诉讼涉案财物管理处置工作，促进司法公正、提升司法公信力，最大限度的减少涉案财物的价值贬损。</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二、评价工作开展情况</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（一）评价组织情况。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自开展评价以来，警务保障处高度重视，组织相关人员仔细查阅文件，做好评价各项工作。</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（二）评价指标体系。</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按照市财政局下发的2023年市级项支出绩效指标体系，严格进行评价。</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（三）评价方法。</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按照评价指标体系中的通用指标（项目决策、项目实施、完成结果），共性指标（基础设施项目），特性指标（服务业、社会效益；设备购置、社会效益）。</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三、综合评价结论。</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支出绩效自评等级为“优”。</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四、绩效评价分析。</w:t>
      </w:r>
    </w:p>
    <w:p>
      <w:pPr>
        <w:ind w:firstLine="643" w:firstLineChars="200"/>
        <w:rPr>
          <w:rFonts w:hint="eastAsia" w:ascii="仿宋_GB2312" w:hAnsi="仿宋_GB2312" w:cs="仿宋_GB2312"/>
          <w:b/>
          <w:bCs/>
          <w:color w:val="auto"/>
          <w:sz w:val="32"/>
          <w:szCs w:val="32"/>
        </w:rPr>
      </w:pPr>
      <w:r>
        <w:rPr>
          <w:rFonts w:hint="eastAsia" w:ascii="楷体_GB2312" w:hAnsi="楷体_GB2312" w:eastAsia="楷体_GB2312" w:cs="楷体_GB2312"/>
          <w:b/>
          <w:bCs/>
          <w:color w:val="auto"/>
          <w:sz w:val="32"/>
          <w:szCs w:val="32"/>
        </w:rPr>
        <w:t>（一）项目决策情况</w:t>
      </w:r>
      <w:r>
        <w:rPr>
          <w:rFonts w:hint="eastAsia" w:ascii="仿宋_GB2312" w:hAnsi="仿宋_GB2312" w:cs="仿宋_GB2312"/>
          <w:b/>
          <w:bCs/>
          <w:color w:val="auto"/>
          <w:sz w:val="32"/>
          <w:szCs w:val="32"/>
        </w:rPr>
        <w:t>。</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该项目运行经费是通过遂公安【2018】8号文件请示市政府，得到同意后由市级财政列入市公安局部门预算经费予以保障。项目从立项到正式运行，通过各方认真研究，相关部门通力协作，呈报程序规范严谨。</w:t>
      </w:r>
    </w:p>
    <w:p>
      <w:pPr>
        <w:spacing w:line="580" w:lineRule="exact"/>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（二）项目管理情况。</w:t>
      </w:r>
    </w:p>
    <w:p>
      <w:pPr>
        <w:widowControl/>
        <w:spacing w:line="580" w:lineRule="exact"/>
        <w:ind w:firstLine="640"/>
        <w:rPr>
          <w:rFonts w:hint="eastAsia" w:ascii="仿宋_GB2312" w:hAnsi="Times New Roman" w:eastAsia="仿宋_GB2312" w:cs="仿宋_GB2312"/>
          <w:color w:val="auto"/>
          <w:kern w:val="0"/>
          <w:sz w:val="32"/>
          <w:szCs w:val="32"/>
          <w:shd w:val="clear" w:color="auto" w:fill="FFFFFF"/>
        </w:rPr>
      </w:pPr>
      <w:r>
        <w:rPr>
          <w:rFonts w:hint="eastAsia" w:ascii="仿宋_GB2312" w:hAnsi="Times New Roman" w:eastAsia="仿宋_GB2312" w:cs="仿宋_GB2312"/>
          <w:color w:val="auto"/>
          <w:kern w:val="0"/>
          <w:sz w:val="32"/>
          <w:szCs w:val="32"/>
          <w:shd w:val="clear" w:color="auto" w:fill="FFFFFF"/>
        </w:rPr>
        <w:t>目前中心依据《遂宁市刑事诉讼涉案财物中心涉案财物入库管理规定》、《遂宁市刑事诉讼涉案财物中心管理员职责》、《遂宁市刑事诉讼涉案财物处置办法》等制度进行涉案财物的提取、移交、保管、流转、处置、监督、问责等管理。对资金使用严格按照市公安局相关规定执行，对大笔资金使用从立项、申报、招标、实施等环节均按照市公安局“三重一大”及政府采购招投标相关规定办理。目前中心各项设施设备完好，均能正常运行。</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（三）项目产出情况。</w:t>
      </w:r>
    </w:p>
    <w:p>
      <w:pPr>
        <w:ind w:firstLine="640" w:firstLineChars="200"/>
        <w:rPr>
          <w:rFonts w:hint="eastAsia" w:ascii="仿宋_GB2312" w:hAnsi="仿宋_GB2312" w:cs="仿宋_GB2312"/>
          <w:color w:val="auto"/>
          <w:sz w:val="32"/>
          <w:szCs w:val="32"/>
        </w:rPr>
      </w:pPr>
      <w:r>
        <w:rPr>
          <w:rFonts w:hint="eastAsia" w:ascii="仿宋_GB2312" w:hAnsi="Times New Roman" w:eastAsia="仿宋_GB2312" w:cs="仿宋_GB2312"/>
          <w:color w:val="auto"/>
          <w:kern w:val="0"/>
          <w:sz w:val="32"/>
          <w:szCs w:val="32"/>
          <w:shd w:val="clear" w:color="auto" w:fill="FFFFFF"/>
        </w:rPr>
        <w:t>遂宁市刑事诉讼涉案财物中心运行以来，严格按照《遂宁市刑事诉讼涉案财物处置办法》对涉案财物进行规范管理处置，目前入库涉案资金19797825.6元，在库涉案资金13185175.1元，返还资金755466.5元，上缴国库资金5857184元。入库涉案汽车128辆，在库66辆，出库处置62辆（返还46辆、拍卖8辆、移交8辆），拍卖所得价款45.68万元。入库电瓶车、三轮车等68辆，在库68辆。</w:t>
      </w:r>
    </w:p>
    <w:p>
      <w:pPr>
        <w:ind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（四）项目效益情况。</w:t>
      </w:r>
    </w:p>
    <w:p>
      <w:pPr>
        <w:ind w:firstLine="640" w:firstLineChars="200"/>
        <w:rPr>
          <w:rFonts w:ascii="仿宋_GB2312" w:hAnsi="仿宋_GB2312" w:cs="仿宋_GB2312"/>
          <w:color w:val="auto"/>
          <w:sz w:val="32"/>
          <w:szCs w:val="32"/>
        </w:rPr>
      </w:pPr>
      <w:r>
        <w:rPr>
          <w:rFonts w:hint="eastAsia" w:ascii="仿宋_GB2312" w:hAnsi="Times New Roman" w:eastAsia="仿宋_GB2312" w:cs="仿宋_GB2312"/>
          <w:color w:val="auto"/>
          <w:kern w:val="0"/>
          <w:sz w:val="32"/>
          <w:szCs w:val="32"/>
          <w:shd w:val="clear" w:color="auto" w:fill="FFFFFF"/>
        </w:rPr>
        <w:t>对在库涉案车辆，严格按照要求清洗保养，对部分涉案车辆每十日发动一次，确保机械性能不快速下降，汽车保值率在50%以上。为确保涉案财物的安全，中心每日定时巡查每间保管室和机房，建立夜间巡查制度。每周进行清洁大扫除，定期使用除湿机对每间保管室进行除湿作业，控制相对湿度，避免涉案物品发霉损坏。最大限度的保障了涉案财物价值的贬损，保障了刑事诉讼当事人的合法权益。有效避免了涉案财物遗失、损坏、挪用等。</w:t>
      </w:r>
    </w:p>
    <w:p>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五、存在主要问题。</w:t>
      </w:r>
    </w:p>
    <w:p>
      <w:pPr>
        <w:spacing w:line="640" w:lineRule="exact"/>
        <w:ind w:firstLine="640" w:firstLineChars="200"/>
        <w:jc w:val="left"/>
        <w:rPr>
          <w:rFonts w:ascii="仿宋_GB2312" w:hAnsi="仿宋_GB2312" w:cs="仿宋_GB2312"/>
          <w:color w:val="auto"/>
          <w:sz w:val="32"/>
          <w:szCs w:val="32"/>
        </w:rPr>
      </w:pPr>
      <w:r>
        <w:rPr>
          <w:rFonts w:hint="eastAsia" w:ascii="仿宋_GB2312" w:hAnsi="Times New Roman" w:eastAsia="仿宋_GB2312" w:cs="仿宋_GB2312"/>
          <w:color w:val="auto"/>
          <w:kern w:val="0"/>
          <w:sz w:val="32"/>
          <w:szCs w:val="32"/>
          <w:shd w:val="clear" w:color="auto" w:fill="FFFFFF"/>
        </w:rPr>
        <w:t>中心场地有限，新增保管量大。室内保管区：24间保管室中，18间保管室已到达满载或超载状态，4间已达90%，2间已达80%，保管区综合使用率已超过85%。根据中心使用后日常接收涉案财物的情况，在2020年底就已达到库存极限了。室外保管区：51个车位已存放66台轿车和68台摩托车及少量大宗物品，停车库位太少，无大宗物品保管存放条件。目前仅船山公安分局就有20多台轿车和30多辆摩托车等待入库，还有约4吨扣押的涉案树木和大型货车未入库。</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六、相关措施建议。</w:t>
      </w:r>
    </w:p>
    <w:p>
      <w:pPr>
        <w:widowControl/>
        <w:spacing w:line="580" w:lineRule="exact"/>
        <w:ind w:firstLine="640"/>
        <w:rPr>
          <w:rFonts w:hint="default" w:ascii="仿宋_GB2312" w:hAnsi="Times New Roman" w:eastAsia="仿宋_GB2312" w:cs="仿宋_GB2312"/>
          <w:color w:val="auto"/>
          <w:kern w:val="0"/>
          <w:sz w:val="32"/>
          <w:szCs w:val="32"/>
          <w:shd w:val="clear" w:color="auto" w:fill="FFFFFF"/>
          <w:lang w:val="en-US" w:eastAsia="zh-CN"/>
        </w:rPr>
      </w:pPr>
      <w:r>
        <w:rPr>
          <w:rFonts w:hint="eastAsia" w:ascii="仿宋_GB2312" w:hAnsi="Times New Roman" w:eastAsia="仿宋_GB2312" w:cs="仿宋_GB2312"/>
          <w:color w:val="auto"/>
          <w:kern w:val="0"/>
          <w:sz w:val="32"/>
          <w:szCs w:val="32"/>
          <w:shd w:val="clear" w:color="auto" w:fill="FFFFFF"/>
        </w:rPr>
        <w:t>进一步加大资金投入，不断完善升级涉案财物管理系统引入信息化、智能化、机械化涉案财物管理系统，以实现高效、快速、精准规范管理涉案财物，提高涉案财物保值率。在对奢侈品、高档汽车、品牌手机等保管条件较高的物品，缺乏必要的保养条件，急需规划建立满足不同存放需要，功能更加齐全，信息化、智能化、精细化程度更高的涉案财物集中管理中心。对于涉案车辆停放问题以及新增保管量大，探索建立第三方托管方式或者从新规划选址，建立多功能的涉案财物分区分类存放，到达涉案财物管理新台阶。</w:t>
      </w: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p>
      <w:pPr>
        <w:pStyle w:val="2"/>
        <w:rPr>
          <w:rFonts w:hint="eastAsia"/>
          <w:color w:val="auto"/>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65"/>
        <w:gridCol w:w="1677"/>
        <w:gridCol w:w="1574"/>
        <w:gridCol w:w="215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刑事诉讼涉案财物管理中心运维经费</w:t>
            </w:r>
          </w:p>
        </w:tc>
        <w:tc>
          <w:tcPr>
            <w:tcW w:w="234" w:type="dxa"/>
            <w:tcBorders>
              <w:top w:val="nil"/>
              <w:left w:val="nil"/>
              <w:bottom w:val="nil"/>
              <w:right w:val="nil"/>
            </w:tcBorders>
            <w:shd w:val="clear" w:color="auto" w:fill="auto"/>
            <w:vAlign w:val="center"/>
          </w:tcPr>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 330001</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129.00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129.00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129.00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年度总体目标完成情况</w:t>
            </w: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1856"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6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 xml:space="preserve"> 全面贯彻落实中、省关于规范刑事诉讼涉案财物管理处置工作，促进司法公正、提升司法公信力，最大限度的减少涉案财物的价值贬损。</w:t>
            </w:r>
          </w:p>
        </w:tc>
        <w:tc>
          <w:tcPr>
            <w:tcW w:w="37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jc w:val="left"/>
              <w:textAlignment w:val="center"/>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 xml:space="preserve"> 全面贯彻落实中、省关于规范刑事诉讼涉案财物管理处置工作，促进司法公正、提升司法公信力，最大限度的减少涉案财物的价值贬损。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涉案财物系统流转率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涉案财物处置率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物业管理成本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软件管理配置及维护成本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30万元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人力资源成本</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29万元</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涉案财物保管符合规定</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符合规定</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涉案财物及时入库率</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经济效益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完善涉案财物处理</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依法及时处置</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依法及时处置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预防腐败问题</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防止挪用、侵占、替换</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防止挪用、侵占、替换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6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pacing w:line="600" w:lineRule="exact"/>
        <w:jc w:val="center"/>
        <w:outlineLvl w:val="0"/>
        <w:rPr>
          <w:rFonts w:hint="eastAsia" w:ascii="黑体" w:hAnsi="黑体" w:eastAsia="黑体"/>
          <w:color w:val="auto"/>
          <w:sz w:val="44"/>
          <w:szCs w:val="44"/>
          <w:highlight w:val="none"/>
        </w:rPr>
      </w:pPr>
    </w:p>
    <w:p>
      <w:pPr>
        <w:snapToGrid w:val="0"/>
        <w:spacing w:line="600" w:lineRule="exact"/>
        <w:jc w:val="center"/>
        <w:rPr>
          <w:rFonts w:ascii="方正小标宋简体" w:hAnsi="宋体" w:eastAsia="方正小标宋简体" w:cs="Times New Roman"/>
          <w:color w:val="auto"/>
          <w:sz w:val="44"/>
          <w:szCs w:val="44"/>
        </w:rPr>
      </w:pPr>
      <w:r>
        <w:rPr>
          <w:rFonts w:hint="eastAsia" w:ascii="方正小标宋简体" w:hAnsi="宋体" w:eastAsia="方正小标宋简体" w:cs="Times New Roman"/>
          <w:color w:val="auto"/>
          <w:sz w:val="44"/>
          <w:szCs w:val="44"/>
        </w:rPr>
        <w:t>遂宁市公安局项目支出绩效自评报告</w:t>
      </w:r>
    </w:p>
    <w:p>
      <w:pPr>
        <w:spacing w:line="620" w:lineRule="exact"/>
        <w:jc w:val="center"/>
        <w:rPr>
          <w:rFonts w:ascii="Times New Roman" w:hAnsi="Times New Roman" w:eastAsia="方正小标宋简体" w:cs="Times New Roman"/>
          <w:color w:val="auto"/>
          <w:sz w:val="40"/>
          <w:szCs w:val="40"/>
          <w:lang w:val="zh-CN"/>
        </w:rPr>
      </w:pPr>
      <w:r>
        <w:rPr>
          <w:rFonts w:hint="eastAsia" w:ascii="Times New Roman" w:hAnsi="宋体" w:eastAsia="仿宋_GB2312" w:cs="Times New Roman"/>
          <w:color w:val="auto"/>
          <w:sz w:val="32"/>
          <w:szCs w:val="24"/>
        </w:rPr>
        <w:t>（DNA实验室耗材购置项目）</w:t>
      </w:r>
    </w:p>
    <w:p>
      <w:pPr>
        <w:spacing w:line="620" w:lineRule="exact"/>
        <w:ind w:firstLine="640"/>
        <w:jc w:val="center"/>
        <w:rPr>
          <w:rFonts w:ascii="Times New Roman" w:hAnsi="Times New Roman" w:eastAsia="宋体" w:cs="Times New Roman"/>
          <w:color w:val="auto"/>
          <w:sz w:val="32"/>
          <w:szCs w:val="32"/>
          <w:lang w:val="zh-CN"/>
        </w:rPr>
      </w:pPr>
    </w:p>
    <w:p>
      <w:pPr>
        <w:adjustRightInd w:val="0"/>
        <w:snapToGrid w:val="0"/>
        <w:spacing w:line="590" w:lineRule="exact"/>
        <w:ind w:firstLine="640" w:firstLineChars="200"/>
        <w:rPr>
          <w:rFonts w:ascii="Times New Roman" w:hAnsi="Times New Roman" w:eastAsia="黑体" w:cs="Times New Roman"/>
          <w:color w:val="auto"/>
          <w:sz w:val="32"/>
          <w:szCs w:val="24"/>
          <w:lang w:val="zh-CN"/>
        </w:rPr>
      </w:pPr>
      <w:r>
        <w:rPr>
          <w:rFonts w:ascii="Times New Roman" w:hAnsi="Times New Roman" w:eastAsia="黑体" w:cs="Times New Roman"/>
          <w:color w:val="auto"/>
          <w:sz w:val="32"/>
          <w:szCs w:val="24"/>
        </w:rPr>
        <w:t>一、</w:t>
      </w:r>
      <w:r>
        <w:rPr>
          <w:rFonts w:ascii="Times New Roman" w:hAnsi="Times New Roman" w:eastAsia="黑体" w:cs="Times New Roman"/>
          <w:color w:val="auto"/>
          <w:sz w:val="32"/>
          <w:szCs w:val="24"/>
          <w:lang w:val="zh-CN"/>
        </w:rPr>
        <w:t>项目概况</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（一）项目基本情况。</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rPr>
        <w:t>遂宁市公安局DNA实验室创建于2008年6月，从建立以来，我市DNA技术室一直担负着技术导侦、精确打击、攻坚克难，为各类刑事诉讼中提供科学依据的重任，破获了一大批重特大案件。遂宁市公安局刑科所负责日常验收、管理职能，遂宁市公安局刑科DNA实验室负责使用人体生物识别耗材。以案件数量与检材数量为资金分配原则，以检材类型为考虑因素，</w:t>
      </w:r>
      <w:r>
        <w:rPr>
          <w:rFonts w:ascii="Times New Roman" w:hAnsi="Times New Roman" w:eastAsia="仿宋_GB2312" w:cs="Times New Roman"/>
          <w:color w:val="auto"/>
          <w:sz w:val="32"/>
          <w:szCs w:val="24"/>
        </w:rPr>
        <w:t>2016年实行“一长四必”以来，现场生物物证提取送检明显增加，以微量疑难现场生物物证为主，微量疑难现场生物检材占全部检材的70%～80%</w:t>
      </w:r>
      <w:r>
        <w:rPr>
          <w:rFonts w:hint="eastAsia" w:ascii="Times New Roman" w:hAnsi="Times New Roman" w:eastAsia="仿宋_GB2312" w:cs="Times New Roman"/>
          <w:color w:val="auto"/>
          <w:sz w:val="32"/>
          <w:szCs w:val="24"/>
        </w:rPr>
        <w:t>，</w:t>
      </w:r>
      <w:r>
        <w:rPr>
          <w:rFonts w:ascii="Times New Roman" w:hAnsi="Times New Roman" w:eastAsia="仿宋_GB2312" w:cs="Times New Roman"/>
          <w:color w:val="auto"/>
          <w:sz w:val="32"/>
          <w:szCs w:val="24"/>
        </w:rPr>
        <w:t>年送检案件数已达1800余件、检材数量8000余份。</w:t>
      </w:r>
      <w:r>
        <w:rPr>
          <w:rFonts w:hint="eastAsia" w:ascii="Times New Roman" w:hAnsi="Times New Roman" w:eastAsia="仿宋_GB2312" w:cs="Times New Roman"/>
          <w:color w:val="auto"/>
          <w:sz w:val="32"/>
          <w:szCs w:val="24"/>
        </w:rPr>
        <w:t>经遂宁市公安局局党委研究决定，2018年开始，DNA案件耗材购置成为市级财政资金支付的常年性项目。</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（二）项目绩效目标。</w:t>
      </w:r>
    </w:p>
    <w:p>
      <w:pPr>
        <w:adjustRightInd w:val="0"/>
        <w:snapToGrid w:val="0"/>
        <w:spacing w:line="590" w:lineRule="exact"/>
        <w:ind w:firstLine="640" w:firstLineChars="200"/>
        <w:rPr>
          <w:rFonts w:ascii="Times New Roman" w:hAnsi="Times New Roman" w:eastAsia="仿宋_GB2312" w:cs="Times New Roman"/>
          <w:color w:val="auto"/>
          <w:sz w:val="32"/>
          <w:szCs w:val="24"/>
        </w:rPr>
      </w:pPr>
      <w:r>
        <w:rPr>
          <w:rFonts w:ascii="Times New Roman" w:hAnsi="Times New Roman" w:eastAsia="仿宋_GB2312" w:cs="Times New Roman"/>
          <w:color w:val="auto"/>
          <w:sz w:val="32"/>
          <w:szCs w:val="24"/>
          <w:lang w:val="zh-CN"/>
        </w:rPr>
        <w:t>项目主要内容</w:t>
      </w:r>
      <w:r>
        <w:rPr>
          <w:rFonts w:hint="eastAsia" w:ascii="Times New Roman" w:hAnsi="Times New Roman" w:eastAsia="仿宋_GB2312" w:cs="Times New Roman"/>
          <w:color w:val="auto"/>
          <w:sz w:val="32"/>
          <w:szCs w:val="24"/>
          <w:lang w:val="zh-CN"/>
        </w:rPr>
        <w:t>为</w:t>
      </w:r>
      <w:r>
        <w:rPr>
          <w:rFonts w:hint="eastAsia" w:ascii="Times New Roman" w:hAnsi="Times New Roman" w:eastAsia="仿宋_GB2312" w:cs="Times New Roman"/>
          <w:color w:val="auto"/>
          <w:sz w:val="32"/>
          <w:szCs w:val="24"/>
        </w:rPr>
        <w:t>150万元购买2022年DNA实验室人体生物识别耗材，经政府采购需求论证专家论证会综合论证、财政评审、招投标、验收等评价申报。主要以技术导侦、精确打击、攻坚克难，维持社会稳定，增强人民幸福感、满意度这个核心目标开展</w:t>
      </w:r>
      <w:r>
        <w:rPr>
          <w:rFonts w:ascii="Times New Roman" w:hAnsi="Times New Roman" w:eastAsia="仿宋_GB2312" w:cs="Times New Roman"/>
          <w:color w:val="auto"/>
          <w:sz w:val="32"/>
          <w:szCs w:val="24"/>
          <w:lang w:val="zh-CN"/>
        </w:rPr>
        <w:t>绩效目标</w:t>
      </w:r>
      <w:r>
        <w:rPr>
          <w:rFonts w:hint="eastAsia" w:ascii="Times New Roman" w:hAnsi="Times New Roman" w:eastAsia="仿宋_GB2312" w:cs="Times New Roman"/>
          <w:color w:val="auto"/>
          <w:sz w:val="32"/>
          <w:szCs w:val="24"/>
          <w:lang w:val="zh-CN"/>
        </w:rPr>
        <w:t>量化</w:t>
      </w:r>
      <w:r>
        <w:rPr>
          <w:rFonts w:hint="eastAsia" w:ascii="Times New Roman" w:hAnsi="Times New Roman" w:eastAsia="仿宋_GB2312" w:cs="Times New Roman"/>
          <w:color w:val="auto"/>
          <w:sz w:val="32"/>
          <w:szCs w:val="24"/>
        </w:rPr>
        <w:t>，具体以重特大案件破获率、受理案件检验率、提供有效证据率等为细化要求，现目前已经全部大部分带到预计目标，预算项目支出绩效评价指标自评得分为91.2分。</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（三）项目自评步骤及方法。</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lang w:val="zh-CN"/>
        </w:rPr>
        <w:t>该项目</w:t>
      </w:r>
      <w:r>
        <w:rPr>
          <w:rFonts w:ascii="Times New Roman" w:hAnsi="Times New Roman" w:eastAsia="仿宋_GB2312" w:cs="Times New Roman"/>
          <w:color w:val="auto"/>
          <w:sz w:val="32"/>
          <w:szCs w:val="24"/>
          <w:lang w:val="zh-CN"/>
        </w:rPr>
        <w:t>绩效自评</w:t>
      </w:r>
      <w:r>
        <w:rPr>
          <w:rFonts w:hint="eastAsia" w:ascii="Times New Roman" w:hAnsi="Times New Roman" w:eastAsia="仿宋_GB2312" w:cs="Times New Roman"/>
          <w:color w:val="auto"/>
          <w:sz w:val="32"/>
          <w:szCs w:val="24"/>
          <w:lang w:val="zh-CN"/>
        </w:rPr>
        <w:t>基本</w:t>
      </w:r>
      <w:r>
        <w:rPr>
          <w:rFonts w:ascii="Times New Roman" w:hAnsi="Times New Roman" w:eastAsia="仿宋_GB2312" w:cs="Times New Roman"/>
          <w:color w:val="auto"/>
          <w:sz w:val="32"/>
          <w:szCs w:val="24"/>
          <w:lang w:val="zh-CN"/>
        </w:rPr>
        <w:t>采用</w:t>
      </w:r>
      <w:r>
        <w:rPr>
          <w:rFonts w:hint="eastAsia" w:ascii="Times New Roman" w:hAnsi="Times New Roman" w:eastAsia="仿宋_GB2312" w:cs="Times New Roman"/>
          <w:color w:val="auto"/>
          <w:sz w:val="32"/>
          <w:szCs w:val="24"/>
          <w:lang w:val="zh-CN"/>
        </w:rPr>
        <w:t>数据统计法，通过统计案件、检材、报告数得出实际数据计算。</w:t>
      </w:r>
    </w:p>
    <w:p>
      <w:pPr>
        <w:adjustRightInd w:val="0"/>
        <w:snapToGrid w:val="0"/>
        <w:spacing w:line="590" w:lineRule="exact"/>
        <w:ind w:firstLine="640" w:firstLineChars="200"/>
        <w:rPr>
          <w:rFonts w:ascii="Times New Roman" w:hAnsi="Times New Roman" w:eastAsia="黑体" w:cs="Times New Roman"/>
          <w:color w:val="auto"/>
          <w:sz w:val="32"/>
          <w:szCs w:val="24"/>
        </w:rPr>
      </w:pPr>
      <w:r>
        <w:rPr>
          <w:rFonts w:ascii="Times New Roman" w:hAnsi="Times New Roman" w:eastAsia="黑体" w:cs="Times New Roman"/>
          <w:color w:val="auto"/>
          <w:sz w:val="32"/>
          <w:szCs w:val="24"/>
        </w:rPr>
        <w:t>二、项目资金申报及使用情况</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（一）项目资金申报及批复情况。</w:t>
      </w:r>
    </w:p>
    <w:p>
      <w:pPr>
        <w:adjustRightInd w:val="0"/>
        <w:snapToGrid w:val="0"/>
        <w:spacing w:line="590" w:lineRule="exact"/>
        <w:ind w:firstLine="640" w:firstLineChars="200"/>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DNA实验室耗材购置项目是经过遂宁市公安局局党委研究决定，由市级财政资金支付的常年性项目。2022年度DNA实验室耗材购置严格按照市局采购项目要求于2022年5月19日提请申报购买。2022年10月20日委托代理公司采购，并与2022年12月6日完成了采购任务，随后严格按照合同进行验收和付款。资金申报及批复下达和使用符合遂宁市财政资金管理办法。</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楷体_GB2312" w:cs="Times New Roman"/>
          <w:b/>
          <w:color w:val="auto"/>
          <w:sz w:val="32"/>
          <w:szCs w:val="24"/>
          <w:lang w:val="zh-CN"/>
        </w:rPr>
        <w:t>（二）资金计划、到位及使用情况（可用表格形式反映）。</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仿宋_GB2312" w:cs="Times New Roman"/>
          <w:b/>
          <w:color w:val="auto"/>
          <w:sz w:val="32"/>
          <w:szCs w:val="24"/>
          <w:lang w:val="zh-CN"/>
        </w:rPr>
        <w:t>1</w:t>
      </w:r>
      <w:r>
        <w:rPr>
          <w:rFonts w:hint="eastAsia" w:ascii="Times New Roman" w:hAnsi="Times New Roman" w:eastAsia="仿宋_GB2312" w:cs="Times New Roman"/>
          <w:b/>
          <w:color w:val="auto"/>
          <w:sz w:val="32"/>
          <w:szCs w:val="24"/>
          <w:lang w:val="zh-CN"/>
        </w:rPr>
        <w:t xml:space="preserve">. </w:t>
      </w:r>
      <w:r>
        <w:rPr>
          <w:rFonts w:ascii="Times New Roman" w:hAnsi="Times New Roman" w:eastAsia="仿宋_GB2312" w:cs="Times New Roman"/>
          <w:b/>
          <w:color w:val="auto"/>
          <w:sz w:val="32"/>
          <w:szCs w:val="24"/>
          <w:lang w:val="zh-CN"/>
        </w:rPr>
        <w:t>资金计划。</w:t>
      </w:r>
      <w:r>
        <w:rPr>
          <w:rFonts w:hint="eastAsia" w:ascii="Times New Roman" w:hAnsi="Times New Roman" w:eastAsia="仿宋_GB2312" w:cs="Times New Roman"/>
          <w:color w:val="auto"/>
          <w:sz w:val="32"/>
          <w:szCs w:val="24"/>
        </w:rPr>
        <w:t>2022年DNA实验室耗材购置项目预算150万元。</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仿宋_GB2312" w:cs="Times New Roman"/>
          <w:b/>
          <w:color w:val="auto"/>
          <w:sz w:val="32"/>
          <w:szCs w:val="24"/>
          <w:lang w:val="zh-CN"/>
        </w:rPr>
        <w:t>2</w:t>
      </w:r>
      <w:r>
        <w:rPr>
          <w:rFonts w:hint="eastAsia" w:ascii="Times New Roman" w:hAnsi="Times New Roman" w:eastAsia="仿宋_GB2312" w:cs="Times New Roman"/>
          <w:b/>
          <w:color w:val="auto"/>
          <w:sz w:val="32"/>
          <w:szCs w:val="24"/>
          <w:lang w:val="zh-CN"/>
        </w:rPr>
        <w:t xml:space="preserve">. </w:t>
      </w:r>
      <w:r>
        <w:rPr>
          <w:rFonts w:ascii="Times New Roman" w:hAnsi="Times New Roman" w:eastAsia="仿宋_GB2312" w:cs="Times New Roman"/>
          <w:b/>
          <w:color w:val="auto"/>
          <w:sz w:val="32"/>
          <w:szCs w:val="24"/>
          <w:lang w:val="zh-CN"/>
        </w:rPr>
        <w:t>资金到位。</w:t>
      </w:r>
      <w:r>
        <w:rPr>
          <w:rFonts w:hint="eastAsia" w:ascii="Times New Roman" w:hAnsi="Times New Roman" w:eastAsia="仿宋_GB2312" w:cs="Times New Roman"/>
          <w:color w:val="auto"/>
          <w:sz w:val="32"/>
          <w:szCs w:val="24"/>
        </w:rPr>
        <w:t>2022年市级财政资金支付拨款48.89万元,转移支付91.310503万元。</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仿宋_GB2312" w:cs="Times New Roman"/>
          <w:b/>
          <w:color w:val="auto"/>
          <w:sz w:val="32"/>
          <w:szCs w:val="24"/>
          <w:lang w:val="zh-CN"/>
        </w:rPr>
        <w:t>3</w:t>
      </w:r>
      <w:r>
        <w:rPr>
          <w:rFonts w:hint="eastAsia" w:ascii="Times New Roman" w:hAnsi="Times New Roman" w:eastAsia="仿宋_GB2312" w:cs="Times New Roman"/>
          <w:b/>
          <w:color w:val="auto"/>
          <w:sz w:val="32"/>
          <w:szCs w:val="24"/>
          <w:lang w:val="zh-CN"/>
        </w:rPr>
        <w:t xml:space="preserve">. </w:t>
      </w:r>
      <w:r>
        <w:rPr>
          <w:rFonts w:ascii="Times New Roman" w:hAnsi="Times New Roman" w:eastAsia="仿宋_GB2312" w:cs="Times New Roman"/>
          <w:b/>
          <w:color w:val="auto"/>
          <w:sz w:val="32"/>
          <w:szCs w:val="24"/>
          <w:lang w:val="zh-CN"/>
        </w:rPr>
        <w:t>资金使用。</w:t>
      </w:r>
      <w:r>
        <w:rPr>
          <w:rFonts w:hint="eastAsia" w:ascii="Times New Roman" w:hAnsi="Times New Roman" w:eastAsia="仿宋_GB2312" w:cs="Times New Roman"/>
          <w:color w:val="auto"/>
          <w:sz w:val="32"/>
          <w:szCs w:val="24"/>
        </w:rPr>
        <w:t>2022年12月底我局根据合同约定合规合法支付供应商耗材采购经费：1399800.00元。市级财政资金余额2205.03元。</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（三）项目财务管理情况。</w:t>
      </w:r>
    </w:p>
    <w:p>
      <w:pPr>
        <w:adjustRightInd w:val="0"/>
        <w:snapToGrid w:val="0"/>
        <w:spacing w:line="590" w:lineRule="exact"/>
        <w:ind w:firstLine="640" w:firstLineChars="200"/>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我局强化内控制度建设，相继建立和完善了各项财经管理制度，如《遂宁市公安局财务管理办法》、《遂宁市公安局政府采购和招投标管理办法》等，以严肃和规范财经行为。遂宁市公安局警务保障处为公安局财务管理内设机构，设置有专门财务人员，会计核算及财务处理均严格执行行政事业单位会计准则。</w:t>
      </w:r>
    </w:p>
    <w:p>
      <w:pPr>
        <w:adjustRightInd w:val="0"/>
        <w:snapToGrid w:val="0"/>
        <w:spacing w:line="590" w:lineRule="exact"/>
        <w:ind w:firstLine="640" w:firstLineChars="200"/>
        <w:rPr>
          <w:rFonts w:ascii="Times New Roman" w:hAnsi="Times New Roman" w:eastAsia="黑体" w:cs="Times New Roman"/>
          <w:color w:val="auto"/>
          <w:sz w:val="32"/>
          <w:szCs w:val="24"/>
        </w:rPr>
      </w:pPr>
      <w:r>
        <w:rPr>
          <w:rFonts w:ascii="Times New Roman" w:hAnsi="Times New Roman" w:eastAsia="黑体" w:cs="Times New Roman"/>
          <w:color w:val="auto"/>
          <w:sz w:val="32"/>
          <w:szCs w:val="24"/>
        </w:rPr>
        <w:t>三、项目实施及管理情况</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（一）项目组织架构及实施流程。</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lang w:val="zh-CN"/>
        </w:rPr>
        <w:t>DNA实验室耗材购置项目组织管理部门为遂宁市公安局刑警支队，主要负责项目方案参数、采购计划、招标文件及政府采购实施等，市公安局纪检监察部门、审计处、警务保障处为项目建设监督检查和采购服务指导部门。其项目在立项、申报、招标、实施等环节均按照市公安局“三重一大”及政府采购招投标相关规定执行。</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楷体_GB2312" w:cs="Times New Roman"/>
          <w:b/>
          <w:color w:val="auto"/>
          <w:sz w:val="32"/>
          <w:szCs w:val="24"/>
          <w:lang w:val="zh-CN"/>
        </w:rPr>
        <w:t>（二）项目管理情况。</w:t>
      </w:r>
      <w:r>
        <w:rPr>
          <w:rFonts w:hint="eastAsia" w:ascii="Times New Roman" w:hAnsi="Times New Roman" w:eastAsia="仿宋_GB2312" w:cs="Times New Roman"/>
          <w:color w:val="auto"/>
          <w:sz w:val="32"/>
          <w:szCs w:val="24"/>
          <w:lang w:val="zh-CN"/>
        </w:rPr>
        <w:t>本项目严格按照《遂宁市公安局财务管理办法》、《遂宁市公安局政府采购和招投标管理办法》等执行</w:t>
      </w:r>
      <w:r>
        <w:rPr>
          <w:rFonts w:ascii="Times New Roman" w:hAnsi="Times New Roman" w:eastAsia="仿宋_GB2312" w:cs="Times New Roman"/>
          <w:color w:val="auto"/>
          <w:sz w:val="32"/>
          <w:szCs w:val="24"/>
          <w:lang w:val="zh-CN"/>
        </w:rPr>
        <w:t>。</w:t>
      </w:r>
      <w:r>
        <w:rPr>
          <w:rFonts w:hint="eastAsia" w:ascii="Times New Roman" w:hAnsi="Times New Roman" w:eastAsia="仿宋_GB2312" w:cs="Times New Roman"/>
          <w:color w:val="auto"/>
          <w:sz w:val="32"/>
          <w:szCs w:val="24"/>
          <w:lang w:val="zh-CN"/>
        </w:rPr>
        <w:t>其项目在立项、申报、招标、实施等环节均按照市公安局“三重一大”及政府采购招投标相关规定执行。</w:t>
      </w:r>
    </w:p>
    <w:p>
      <w:pPr>
        <w:adjustRightInd w:val="0"/>
        <w:snapToGrid w:val="0"/>
        <w:spacing w:line="590" w:lineRule="exact"/>
        <w:ind w:firstLine="643" w:firstLineChars="200"/>
        <w:rPr>
          <w:rFonts w:ascii="Times New Roman" w:hAnsi="Times New Roman" w:eastAsia="仿宋_GB2312" w:cs="Times New Roman"/>
          <w:color w:val="auto"/>
          <w:sz w:val="32"/>
          <w:szCs w:val="24"/>
          <w:lang w:val="zh-CN"/>
        </w:rPr>
      </w:pPr>
      <w:r>
        <w:rPr>
          <w:rFonts w:ascii="Times New Roman" w:hAnsi="Times New Roman" w:eastAsia="楷体_GB2312" w:cs="Times New Roman"/>
          <w:b/>
          <w:color w:val="auto"/>
          <w:sz w:val="32"/>
          <w:szCs w:val="24"/>
          <w:lang w:val="zh-CN"/>
        </w:rPr>
        <w:t>（三）项目监管情况。</w:t>
      </w:r>
      <w:r>
        <w:rPr>
          <w:rFonts w:hint="eastAsia" w:ascii="Times New Roman" w:hAnsi="Times New Roman" w:eastAsia="仿宋_GB2312" w:cs="Times New Roman"/>
          <w:color w:val="auto"/>
          <w:sz w:val="32"/>
          <w:szCs w:val="24"/>
          <w:lang w:val="zh-CN"/>
        </w:rPr>
        <w:t>由市公安局纪检监察部门、审计处、警务保障处为项目建设监督检查部门，严格按照市公安局“三重一大”及政府采购招投标相关规定执行。市公安局纪检监察部门、审计处，监督把关采购招投标流程，市公安局警务保障处负责监督耗材的验收情况。</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ascii="Times New Roman" w:hAnsi="Times New Roman" w:eastAsia="黑体" w:cs="Times New Roman"/>
          <w:color w:val="auto"/>
          <w:sz w:val="32"/>
          <w:szCs w:val="24"/>
        </w:rPr>
        <w:t>四、项目绩效情况</w:t>
      </w:r>
      <w:r>
        <w:rPr>
          <w:rFonts w:ascii="Times New Roman" w:hAnsi="Times New Roman" w:eastAsia="仿宋_GB2312" w:cs="Times New Roman"/>
          <w:color w:val="auto"/>
          <w:sz w:val="32"/>
          <w:szCs w:val="24"/>
          <w:lang w:val="zh-CN"/>
        </w:rPr>
        <w:tab/>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（一）项目完成情况。</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lang w:val="zh-CN"/>
        </w:rPr>
        <w:t>项目于2022年12月完成建设，保证了DNA实验室完成日常受理案件的检验，保障了遂宁市所有刑事案件的生物检材检验，对重特大案件的破获与诉讼起到重要作用。</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（二）项目效益情况。</w:t>
      </w:r>
    </w:p>
    <w:p>
      <w:pPr>
        <w:adjustRightInd w:val="0"/>
        <w:snapToGrid w:val="0"/>
        <w:spacing w:line="590" w:lineRule="exact"/>
        <w:ind w:firstLine="640" w:firstLineChars="200"/>
        <w:rPr>
          <w:rFonts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该项目</w:t>
      </w:r>
      <w:r>
        <w:rPr>
          <w:rFonts w:ascii="Times New Roman" w:hAnsi="Times New Roman" w:eastAsia="仿宋_GB2312" w:cs="Times New Roman"/>
          <w:color w:val="auto"/>
          <w:sz w:val="32"/>
          <w:szCs w:val="24"/>
        </w:rPr>
        <w:t>有一级绩效指标3个，二级绩效指标</w:t>
      </w:r>
      <w:r>
        <w:rPr>
          <w:rFonts w:hint="eastAsia" w:ascii="Times New Roman" w:hAnsi="Times New Roman" w:eastAsia="仿宋_GB2312" w:cs="Times New Roman"/>
          <w:color w:val="auto"/>
          <w:sz w:val="32"/>
          <w:szCs w:val="24"/>
        </w:rPr>
        <w:t>8</w:t>
      </w:r>
      <w:r>
        <w:rPr>
          <w:rFonts w:ascii="Times New Roman" w:hAnsi="Times New Roman" w:eastAsia="仿宋_GB2312" w:cs="Times New Roman"/>
          <w:color w:val="auto"/>
          <w:sz w:val="32"/>
          <w:szCs w:val="24"/>
        </w:rPr>
        <w:t>个，三级绩效指标</w:t>
      </w:r>
      <w:r>
        <w:rPr>
          <w:rFonts w:hint="eastAsia" w:ascii="Times New Roman" w:hAnsi="Times New Roman" w:eastAsia="仿宋_GB2312" w:cs="Times New Roman"/>
          <w:color w:val="auto"/>
          <w:sz w:val="32"/>
          <w:szCs w:val="24"/>
        </w:rPr>
        <w:t>9</w:t>
      </w:r>
      <w:r>
        <w:rPr>
          <w:rFonts w:ascii="Times New Roman" w:hAnsi="Times New Roman" w:eastAsia="仿宋_GB2312" w:cs="Times New Roman"/>
          <w:color w:val="auto"/>
          <w:sz w:val="32"/>
          <w:szCs w:val="24"/>
        </w:rPr>
        <w:t>个，已经做到指标值合理，权重合理分配，可细化、量化、衡量、考核指标。</w:t>
      </w:r>
      <w:r>
        <w:rPr>
          <w:rFonts w:hint="eastAsia" w:ascii="Times New Roman" w:hAnsi="Times New Roman" w:eastAsia="仿宋_GB2312" w:cs="Times New Roman"/>
          <w:color w:val="auto"/>
          <w:sz w:val="32"/>
          <w:szCs w:val="24"/>
        </w:rPr>
        <w:t>其中产出指标中的三级指标为5个，分别达标情况为：全年完成检测达到83%，严格遵守DNA实验室相关规范，受案检验率100%，年耗材使用费用139.98万，项目完成时间1年。效益指标中的三级指标为3个，分别达标情况为：公众安全感增长率达到75%，重大案件破案率100%，破获案件提供有效证据91%。满意度中的三级指标为1个，分别达标情况为：人民群众满意度90%。大多数均已经达到预计目标。</w:t>
      </w:r>
    </w:p>
    <w:p>
      <w:pPr>
        <w:adjustRightInd w:val="0"/>
        <w:snapToGrid w:val="0"/>
        <w:spacing w:line="590" w:lineRule="exact"/>
        <w:ind w:firstLine="640" w:firstLineChars="200"/>
        <w:rPr>
          <w:rFonts w:ascii="Times New Roman" w:hAnsi="Times New Roman" w:eastAsia="黑体" w:cs="Times New Roman"/>
          <w:color w:val="auto"/>
          <w:sz w:val="32"/>
          <w:szCs w:val="24"/>
        </w:rPr>
      </w:pPr>
      <w:r>
        <w:rPr>
          <w:rFonts w:ascii="Times New Roman" w:hAnsi="Times New Roman" w:eastAsia="黑体" w:cs="Times New Roman"/>
          <w:color w:val="auto"/>
          <w:sz w:val="32"/>
          <w:szCs w:val="24"/>
        </w:rPr>
        <w:t>五、评价结论及建议</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（一）评价结论。</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rPr>
        <w:t>人体生物识别耗材购置</w:t>
      </w:r>
      <w:r>
        <w:rPr>
          <w:rFonts w:ascii="Times New Roman" w:hAnsi="Times New Roman" w:eastAsia="仿宋_GB2312" w:cs="Times New Roman"/>
          <w:color w:val="auto"/>
          <w:sz w:val="32"/>
          <w:szCs w:val="24"/>
        </w:rPr>
        <w:t>项目以保障</w:t>
      </w:r>
      <w:r>
        <w:rPr>
          <w:rFonts w:hint="eastAsia" w:ascii="Times New Roman" w:hAnsi="Times New Roman" w:eastAsia="仿宋_GB2312" w:cs="Times New Roman"/>
          <w:color w:val="auto"/>
          <w:sz w:val="32"/>
          <w:szCs w:val="24"/>
        </w:rPr>
        <w:t>全市案事件生物检材检验、贫困户亲缘鉴定等</w:t>
      </w:r>
      <w:r>
        <w:rPr>
          <w:rFonts w:ascii="Times New Roman" w:hAnsi="Times New Roman" w:eastAsia="仿宋_GB2312" w:cs="Times New Roman"/>
          <w:color w:val="auto"/>
          <w:sz w:val="32"/>
          <w:szCs w:val="24"/>
        </w:rPr>
        <w:t>工作正常运作为目的</w:t>
      </w:r>
      <w:r>
        <w:rPr>
          <w:rFonts w:hint="eastAsia" w:ascii="Times New Roman" w:hAnsi="Times New Roman" w:eastAsia="仿宋_GB2312" w:cs="Times New Roman"/>
          <w:color w:val="auto"/>
          <w:sz w:val="32"/>
          <w:szCs w:val="24"/>
        </w:rPr>
        <w:t>。对日常耗材的验收进库、出库使用有相关资质认定标准，严格规范使用。对</w:t>
      </w:r>
      <w:r>
        <w:rPr>
          <w:rFonts w:ascii="Times New Roman" w:hAnsi="Times New Roman" w:eastAsia="仿宋_GB2312" w:cs="Times New Roman"/>
          <w:color w:val="auto"/>
          <w:sz w:val="32"/>
          <w:szCs w:val="24"/>
          <w:lang w:val="zh-CN"/>
        </w:rPr>
        <w:t>专项项目支出绩效评价指标体系</w:t>
      </w:r>
      <w:r>
        <w:rPr>
          <w:rFonts w:hint="eastAsia" w:ascii="Times New Roman" w:hAnsi="Times New Roman" w:eastAsia="仿宋_GB2312" w:cs="Times New Roman"/>
          <w:color w:val="auto"/>
          <w:sz w:val="32"/>
          <w:szCs w:val="24"/>
          <w:lang w:val="zh-CN"/>
        </w:rPr>
        <w:t>具体指标量化科学、迎合实战、紧系群众，对该项目产生的作用数据化体现出来。</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（二）存在的问题。</w:t>
      </w:r>
    </w:p>
    <w:p>
      <w:pPr>
        <w:adjustRightInd w:val="0"/>
        <w:snapToGrid w:val="0"/>
        <w:spacing w:line="590" w:lineRule="exact"/>
        <w:ind w:firstLine="640" w:firstLineChars="200"/>
        <w:rPr>
          <w:rFonts w:ascii="Times New Roman" w:hAnsi="Times New Roman" w:eastAsia="仿宋_GB2312" w:cs="Times New Roman"/>
          <w:color w:val="auto"/>
          <w:sz w:val="32"/>
          <w:szCs w:val="24"/>
          <w:lang w:val="zh-CN"/>
        </w:rPr>
      </w:pPr>
      <w:r>
        <w:rPr>
          <w:rFonts w:hint="eastAsia" w:ascii="Times New Roman" w:hAnsi="Times New Roman" w:eastAsia="仿宋_GB2312" w:cs="Times New Roman"/>
          <w:color w:val="auto"/>
          <w:sz w:val="32"/>
          <w:szCs w:val="24"/>
        </w:rPr>
        <w:t>DNA实验室耗材购置投入相对较少，与德阳、宜宾等同类城市相比，我们还存在较大差异，德阳每年投入DNA实验室耗材购置500余万。</w:t>
      </w:r>
    </w:p>
    <w:p>
      <w:pPr>
        <w:adjustRightInd w:val="0"/>
        <w:snapToGrid w:val="0"/>
        <w:spacing w:line="590" w:lineRule="exact"/>
        <w:ind w:firstLine="643" w:firstLineChars="200"/>
        <w:rPr>
          <w:rFonts w:ascii="Times New Roman" w:hAnsi="Times New Roman" w:eastAsia="楷体_GB2312" w:cs="Times New Roman"/>
          <w:b/>
          <w:color w:val="auto"/>
          <w:sz w:val="32"/>
          <w:szCs w:val="24"/>
          <w:lang w:val="zh-CN"/>
        </w:rPr>
      </w:pPr>
      <w:r>
        <w:rPr>
          <w:rFonts w:ascii="Times New Roman" w:hAnsi="Times New Roman" w:eastAsia="楷体_GB2312" w:cs="Times New Roman"/>
          <w:b/>
          <w:color w:val="auto"/>
          <w:sz w:val="32"/>
          <w:szCs w:val="24"/>
          <w:lang w:val="zh-CN"/>
        </w:rPr>
        <w:t>（三）相关建议。</w:t>
      </w:r>
    </w:p>
    <w:p>
      <w:pPr>
        <w:adjustRightInd w:val="0"/>
        <w:snapToGrid w:val="0"/>
        <w:spacing w:line="590" w:lineRule="exact"/>
        <w:ind w:firstLine="640" w:firstLineChars="200"/>
        <w:rPr>
          <w:color w:val="auto"/>
        </w:rPr>
      </w:pPr>
      <w:r>
        <w:rPr>
          <w:rFonts w:hint="eastAsia" w:ascii="Times New Roman" w:hAnsi="Times New Roman" w:eastAsia="仿宋_GB2312" w:cs="Times New Roman"/>
          <w:color w:val="auto"/>
          <w:sz w:val="32"/>
          <w:szCs w:val="24"/>
          <w:lang w:val="zh-CN"/>
        </w:rPr>
        <w:t>目前未发现问题，无法给出建议。</w:t>
      </w: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465"/>
        <w:gridCol w:w="1680"/>
        <w:gridCol w:w="1664"/>
        <w:gridCol w:w="2057"/>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eastAsia="宋体" w:cs="宋体"/>
                <w:b/>
                <w:i w:val="0"/>
                <w:color w:val="auto"/>
                <w:sz w:val="32"/>
                <w:szCs w:val="32"/>
                <w:u w:val="none"/>
                <w:lang w:val="en-US" w:eastAsia="zh-CN"/>
              </w:rPr>
              <w:t>DNA实验室耗材购置</w:t>
            </w:r>
          </w:p>
        </w:tc>
        <w:tc>
          <w:tcPr>
            <w:tcW w:w="234" w:type="dxa"/>
            <w:tcBorders>
              <w:top w:val="nil"/>
              <w:left w:val="nil"/>
              <w:bottom w:val="nil"/>
              <w:right w:val="nil"/>
            </w:tcBorders>
            <w:shd w:val="clear" w:color="auto" w:fill="auto"/>
            <w:vAlign w:val="center"/>
          </w:tcPr>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31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 330001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遂宁市看守所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139.00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139.00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48.89</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48.89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90.11</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90.11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3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416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全市案事件生物检材检验、侦查破案、贫困户亲缘鉴定</w:t>
            </w:r>
          </w:p>
        </w:tc>
        <w:tc>
          <w:tcPr>
            <w:tcW w:w="37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全市案事件生物检材检验、侦查破案、贫困户亲缘鉴定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每年耗材费用</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150万元</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sz w:val="28"/>
                <w:szCs w:val="28"/>
                <w:u w:val="none"/>
                <w:lang w:val="en-US" w:eastAsia="zh-CN"/>
              </w:rPr>
              <w:t>48.89万元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完成时间</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28"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DNA实验室相关规范</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96"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全年完成检测</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10000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重大案件破案率（%）</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≥85%</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提高人民满意度</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c>
          <w:tcPr>
            <w:tcW w:w="20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≥80%</w:t>
            </w:r>
          </w:p>
        </w:tc>
      </w:tr>
    </w:tbl>
    <w:p>
      <w:pPr>
        <w:snapToGrid w:val="0"/>
        <w:spacing w:line="600" w:lineRule="exact"/>
        <w:jc w:val="center"/>
        <w:rPr>
          <w:rFonts w:ascii="方正小标宋简体" w:hAnsi="宋体" w:eastAsia="方正小标宋简体"/>
          <w:sz w:val="44"/>
          <w:szCs w:val="44"/>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部门预算项目支出绩效自评报告</w:t>
      </w:r>
    </w:p>
    <w:p>
      <w:pPr>
        <w:jc w:val="center"/>
        <w:rPr>
          <w:rFonts w:ascii="宋体" w:hAnsi="宋体" w:eastAsia="宋体" w:cs="宋体"/>
          <w:color w:val="000000"/>
          <w:kern w:val="0"/>
          <w:sz w:val="32"/>
          <w:szCs w:val="32"/>
        </w:rPr>
      </w:pPr>
      <w:r>
        <w:rPr>
          <w:rFonts w:hint="eastAsia" w:hAnsi="宋体"/>
          <w:sz w:val="32"/>
          <w:szCs w:val="32"/>
        </w:rPr>
        <w:t>（</w:t>
      </w:r>
      <w:r>
        <w:rPr>
          <w:rFonts w:hint="eastAsia" w:ascii="仿宋_GB2312" w:hAnsi="宋体" w:cs="宋体"/>
          <w:color w:val="000000"/>
          <w:kern w:val="0"/>
          <w:sz w:val="32"/>
          <w:szCs w:val="32"/>
        </w:rPr>
        <w:t>天网工程专项经费</w:t>
      </w:r>
      <w:r>
        <w:rPr>
          <w:rFonts w:hint="eastAsia" w:hAnsi="宋体"/>
          <w:sz w:val="32"/>
          <w:szCs w:val="32"/>
        </w:rPr>
        <w:t>项目）</w:t>
      </w:r>
    </w:p>
    <w:p>
      <w:pPr>
        <w:tabs>
          <w:tab w:val="left" w:pos="3885"/>
        </w:tabs>
        <w:snapToGrid w:val="0"/>
        <w:spacing w:line="600" w:lineRule="exact"/>
        <w:ind w:firstLine="643" w:firstLineChars="200"/>
        <w:jc w:val="left"/>
        <w:rPr>
          <w:rFonts w:ascii="宋体" w:hAnsi="宋体"/>
          <w:b/>
          <w:sz w:val="32"/>
          <w:szCs w:val="32"/>
        </w:rPr>
      </w:pPr>
    </w:p>
    <w:p>
      <w:pPr>
        <w:numPr>
          <w:ilvl w:val="0"/>
          <w:numId w:val="4"/>
        </w:numPr>
        <w:tabs>
          <w:tab w:val="left" w:pos="3885"/>
        </w:tabs>
        <w:snapToGrid w:val="0"/>
        <w:spacing w:line="600" w:lineRule="exact"/>
        <w:ind w:firstLine="640" w:firstLineChars="200"/>
        <w:jc w:val="left"/>
        <w:rPr>
          <w:rFonts w:hint="eastAsia" w:ascii="黑体" w:hAnsi="宋体" w:eastAsia="黑体"/>
          <w:sz w:val="32"/>
          <w:szCs w:val="32"/>
        </w:rPr>
      </w:pPr>
      <w:r>
        <w:rPr>
          <w:rFonts w:hint="eastAsia" w:ascii="黑体" w:hAnsi="宋体" w:eastAsia="黑体"/>
          <w:sz w:val="32"/>
          <w:szCs w:val="32"/>
        </w:rPr>
        <w:t>基本情况</w:t>
      </w:r>
    </w:p>
    <w:p>
      <w:pPr>
        <w:rPr>
          <w:rFonts w:hint="eastAsia" w:ascii="Times New Roman" w:hAnsi="Times New Roman" w:eastAsia="仿宋_GB2312" w:cs="Times New Roman"/>
          <w:color w:val="auto"/>
          <w:sz w:val="32"/>
          <w:szCs w:val="24"/>
        </w:rPr>
      </w:pPr>
      <w:r>
        <w:rPr>
          <w:rFonts w:hint="eastAsia" w:ascii="仿宋_GB2312" w:hAnsi="仿宋_GB2312" w:cs="仿宋_GB2312"/>
          <w:sz w:val="32"/>
          <w:szCs w:val="32"/>
        </w:rPr>
        <w:t xml:space="preserve">   </w:t>
      </w:r>
      <w:r>
        <w:rPr>
          <w:rFonts w:hint="eastAsia" w:ascii="Times New Roman" w:hAnsi="Times New Roman" w:eastAsia="仿宋_GB2312" w:cs="Times New Roman"/>
          <w:color w:val="auto"/>
          <w:sz w:val="32"/>
          <w:szCs w:val="24"/>
        </w:rPr>
        <w:t xml:space="preserve"> 为满足市区城市治安防控和城市管理需要，对固定区域进行实时监控和信息记录，强化城市综合管理、预防打击犯罪和突发性治安灾害事故。根据市相关领导及财经领导小组研究，对天网一、二期以及治安卡口中增建的40个视频监控点位续租。根据要求2022年完成天网监控一期200个点位招标，2020年完成天网监控二期274个点位续租招标以及治安卡口项目中增建的40个监控点位续租招标工作。天网三期合同尚未到期，继续按照原合同执行。三期天网每年预计支付费用3,350,000.00 元， 2022年我局严格按照合同要求对市本级租赁点位进行考核付费，实际支付费用3969922.4 元。2022年城市与报警监控系统为案件侦办部门提供视频监控录像、人脸查询310余次，提供有效有价值线索80余次，为案件侦办提供有效帮助，有效遏制街面案件的发生，提升人民群众安全感。 </w:t>
      </w:r>
    </w:p>
    <w:p>
      <w:pPr>
        <w:snapToGrid w:val="0"/>
        <w:spacing w:line="600" w:lineRule="exact"/>
        <w:ind w:firstLine="640" w:firstLineChars="200"/>
        <w:rPr>
          <w:rFonts w:hint="eastAsia" w:ascii="宋体" w:hAnsi="宋体"/>
          <w:sz w:val="32"/>
          <w:szCs w:val="32"/>
        </w:rPr>
      </w:pPr>
      <w:r>
        <w:rPr>
          <w:rFonts w:hint="eastAsia" w:ascii="黑体" w:hAnsi="黑体" w:eastAsia="黑体" w:cs="黑体"/>
          <w:sz w:val="32"/>
          <w:szCs w:val="32"/>
        </w:rPr>
        <w:t>二、评价工作开展情况</w:t>
      </w:r>
    </w:p>
    <w:p>
      <w:pPr>
        <w:snapToGrid w:val="0"/>
        <w:spacing w:line="600" w:lineRule="exact"/>
        <w:ind w:firstLine="643" w:firstLineChars="200"/>
        <w:rPr>
          <w:rFonts w:hint="eastAsia" w:ascii="微软雅黑" w:hAnsi="微软雅黑" w:eastAsia="微软雅黑" w:cs="微软雅黑"/>
          <w:color w:val="307BBB"/>
          <w:sz w:val="32"/>
          <w:szCs w:val="32"/>
        </w:rPr>
      </w:pPr>
      <w:r>
        <w:rPr>
          <w:rFonts w:ascii="楷体_GB2312" w:hAnsi="微软雅黑" w:eastAsia="楷体_GB2312" w:cs="楷体_GB2312"/>
          <w:b/>
          <w:color w:val="000000"/>
          <w:sz w:val="32"/>
          <w:szCs w:val="32"/>
          <w:shd w:val="clear" w:color="auto" w:fill="FFFFFF"/>
        </w:rPr>
        <w:t>（一）绩效评价目的</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通过开展项目绩效评价工作，及时发现项目的申报审批、项目资金落实、业务管理、财务管理、项目产出及实施效果中的薄弱环节，及时改进、加强控制和管理，总结推广好的做法和经验，进一步推进项目顺利实施，规范项目管理，切实提高专项资金使用效率。同时，通过资金的使用情况进行绩效评价，衡量项目资金的产出与绩效，了解、分析、检验项目是否达到预期目标，资金使用是否有效，为以后年度项目安排及资金管理提供重要依据。 </w:t>
      </w:r>
    </w:p>
    <w:p>
      <w:pPr>
        <w:pStyle w:val="4"/>
        <w:widowControl/>
        <w:wordWrap w:val="0"/>
        <w:spacing w:before="0" w:beforeAutospacing="0" w:after="0" w:afterAutospacing="0" w:line="480" w:lineRule="atLeast"/>
        <w:ind w:firstLine="643" w:firstLineChars="200"/>
        <w:rPr>
          <w:rFonts w:ascii="微软雅黑" w:hAnsi="微软雅黑" w:eastAsia="微软雅黑" w:cs="微软雅黑"/>
          <w:b w:val="0"/>
          <w:color w:val="307BBB"/>
          <w:sz w:val="32"/>
          <w:szCs w:val="32"/>
        </w:rPr>
      </w:pPr>
      <w:r>
        <w:rPr>
          <w:rFonts w:hint="default" w:ascii="楷体_GB2312" w:hAnsi="微软雅黑" w:eastAsia="楷体_GB2312" w:cs="楷体_GB2312"/>
          <w:color w:val="000000"/>
          <w:sz w:val="32"/>
          <w:szCs w:val="32"/>
          <w:shd w:val="clear" w:color="auto" w:fill="FFFFFF"/>
        </w:rPr>
        <w:t>（二）绩效评价过程</w:t>
      </w:r>
    </w:p>
    <w:p>
      <w:pPr>
        <w:snapToGrid w:val="0"/>
        <w:spacing w:line="600" w:lineRule="exact"/>
        <w:ind w:firstLine="640" w:firstLineChars="200"/>
        <w:rPr>
          <w:rFonts w:hint="eastAsia" w:ascii="宋体" w:hAnsi="宋体" w:eastAsia="黑体"/>
          <w:sz w:val="32"/>
          <w:szCs w:val="32"/>
        </w:rPr>
      </w:pPr>
      <w:r>
        <w:rPr>
          <w:rFonts w:hint="eastAsia" w:ascii="Times New Roman" w:hAnsi="Times New Roman" w:eastAsia="仿宋_GB2312" w:cs="Times New Roman"/>
          <w:color w:val="auto"/>
          <w:sz w:val="32"/>
          <w:szCs w:val="24"/>
        </w:rPr>
        <w:t>根据《遂宁市财政局关于开展2023年部门、项目、政策支出绩效自评工作的通知（遂财绩[2023]2号）文件精神，成立评价工作小组，及时研究开展绩效评价的有关工作，并按规定报送项目绩效自评报告。评价小组对各项目进行分析评价，并结合现场评价情况，采取目标预定与实施效果比较法，对评价对象进行定量定性分析和综合汇总分析，最终确定项目实施效果是否与年初计划相符，从而形成评价结论。</w:t>
      </w:r>
    </w:p>
    <w:p>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三</w:t>
      </w:r>
      <w:r>
        <w:rPr>
          <w:rFonts w:ascii="黑体" w:hAnsi="宋体" w:eastAsia="黑体"/>
          <w:sz w:val="32"/>
          <w:szCs w:val="32"/>
        </w:rPr>
        <w:t>、</w:t>
      </w:r>
      <w:r>
        <w:rPr>
          <w:rFonts w:hint="eastAsia" w:ascii="黑体" w:hAnsi="宋体" w:eastAsia="黑体"/>
          <w:sz w:val="32"/>
          <w:szCs w:val="32"/>
        </w:rPr>
        <w:t>综合评价结论</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根据《2023年市级专项预算项目支出绩效评价指标体系》，2022年度遂宁市公安局天网一、二期以及治安卡口中增建的40个视频监控点位续租、天网三期绩效评价综合得分为93.5分。评价等级为“优”。</w:t>
      </w:r>
    </w:p>
    <w:p>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四、绩效评价分析</w:t>
      </w:r>
    </w:p>
    <w:p>
      <w:pPr>
        <w:snapToGrid w:val="0"/>
        <w:spacing w:line="60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（一）项目决策管理情况</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为满足市区城市治安防控和城市管理需要，对固定区域进行实时监控和信息记录，强化城市综合管理、预防打击犯罪和突发性治安灾害事故。根据市相关领导及财经领导小组研究，对天网一、二期以及治安卡口中增建的40个视频监控点位续租。天网三期合同尚未到期，继续按照原合同执行。</w:t>
      </w:r>
    </w:p>
    <w:p>
      <w:pPr>
        <w:snapToGrid w:val="0"/>
        <w:spacing w:line="600" w:lineRule="exact"/>
        <w:ind w:firstLine="643" w:firstLineChars="200"/>
        <w:rPr>
          <w:rFonts w:hint="eastAsia" w:ascii="楷体_GB2312" w:hAnsi="宋体" w:eastAsia="楷体_GB2312"/>
          <w:b/>
          <w:sz w:val="32"/>
          <w:szCs w:val="32"/>
        </w:rPr>
      </w:pPr>
      <w:r>
        <w:rPr>
          <w:rFonts w:hint="eastAsia" w:ascii="楷体_GB2312" w:hAnsi="宋体" w:eastAsia="楷体_GB2312"/>
          <w:b/>
          <w:sz w:val="32"/>
          <w:szCs w:val="32"/>
        </w:rPr>
        <w:t>（二）项目产出效益情况</w:t>
      </w:r>
    </w:p>
    <w:p>
      <w:pPr>
        <w:snapToGrid w:val="0"/>
        <w:spacing w:line="600" w:lineRule="exact"/>
        <w:ind w:firstLine="640" w:firstLineChars="200"/>
        <w:rPr>
          <w:rFonts w:hint="eastAsia" w:ascii="仿宋_GB2312" w:cs="仿宋_GB2312"/>
          <w:color w:val="000000"/>
          <w:kern w:val="0"/>
          <w:sz w:val="32"/>
          <w:szCs w:val="32"/>
          <w:shd w:val="clear" w:color="auto" w:fill="FFFFFF"/>
          <w:lang w:bidi="ar"/>
        </w:rPr>
      </w:pPr>
      <w:r>
        <w:rPr>
          <w:rFonts w:hint="eastAsia" w:ascii="Times New Roman" w:hAnsi="Times New Roman" w:eastAsia="仿宋_GB2312" w:cs="Times New Roman"/>
          <w:color w:val="auto"/>
          <w:sz w:val="32"/>
          <w:szCs w:val="24"/>
        </w:rPr>
        <w:t>社会治安防控、群众安全感不低于88%，预防打击犯罪不低于81%，党委政府满意率达到85%，人民群众满意率达到85%</w:t>
      </w:r>
      <w:r>
        <w:rPr>
          <w:rFonts w:hint="eastAsia" w:ascii="Times New Roman" w:hAnsi="Times New Roman" w:eastAsia="仿宋_GB2312" w:cs="Times New Roman"/>
          <w:color w:val="auto"/>
          <w:sz w:val="32"/>
          <w:szCs w:val="24"/>
        </w:rPr>
        <w:tab/>
      </w:r>
      <w:r>
        <w:rPr>
          <w:rFonts w:hint="eastAsia" w:ascii="仿宋_GB2312" w:cs="仿宋_GB2312"/>
          <w:color w:val="000000"/>
          <w:kern w:val="0"/>
          <w:sz w:val="32"/>
          <w:szCs w:val="32"/>
          <w:shd w:val="clear" w:color="auto" w:fill="FFFFFF"/>
          <w:lang w:bidi="ar"/>
        </w:rPr>
        <w:t>。</w:t>
      </w:r>
    </w:p>
    <w:p>
      <w:pPr>
        <w:snapToGrid w:val="0"/>
        <w:spacing w:line="600" w:lineRule="exact"/>
        <w:ind w:firstLine="640" w:firstLineChars="200"/>
        <w:rPr>
          <w:rFonts w:hint="eastAsia" w:ascii="黑体" w:hAnsi="宋体" w:eastAsia="黑体"/>
          <w:sz w:val="32"/>
          <w:szCs w:val="32"/>
        </w:rPr>
      </w:pPr>
      <w:r>
        <w:rPr>
          <w:rFonts w:hint="eastAsia" w:ascii="黑体" w:hAnsi="宋体" w:eastAsia="黑体"/>
          <w:sz w:val="32"/>
          <w:szCs w:val="32"/>
        </w:rPr>
        <w:t>五、存在主要问题</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目前三期天网监控视频由于部分点位开展视频图像实时解析，导致前端点位带宽不能满足实际工作需求，图像时有卡顿情况发生。天网一、二及治安卡口增建40个卡都是5米杆体监控，摄像机像数为200兆，实时视频流解析效果较差，不能满足实战需求。</w:t>
      </w:r>
    </w:p>
    <w:p>
      <w:pPr>
        <w:snapToGrid w:val="0"/>
        <w:spacing w:line="600" w:lineRule="exact"/>
        <w:ind w:firstLine="640" w:firstLineChars="200"/>
        <w:rPr>
          <w:rFonts w:ascii="黑体" w:hAnsi="宋体" w:eastAsia="黑体"/>
          <w:sz w:val="32"/>
          <w:szCs w:val="32"/>
        </w:rPr>
      </w:pPr>
      <w:r>
        <w:rPr>
          <w:rFonts w:hint="eastAsia" w:ascii="黑体" w:hAnsi="宋体" w:eastAsia="黑体"/>
          <w:sz w:val="32"/>
          <w:szCs w:val="32"/>
        </w:rPr>
        <w:t>六、相关措施建议</w:t>
      </w:r>
    </w:p>
    <w:p>
      <w:pPr>
        <w:adjustRightInd w:val="0"/>
        <w:snapToGrid w:val="0"/>
        <w:spacing w:line="590" w:lineRule="exact"/>
        <w:ind w:firstLine="640" w:firstLineChars="200"/>
        <w:rPr>
          <w:rFonts w:hint="eastAsia" w:ascii="Times New Roman" w:hAnsi="Times New Roman" w:eastAsia="仿宋_GB2312" w:cs="Times New Roman"/>
          <w:color w:val="auto"/>
          <w:sz w:val="32"/>
          <w:szCs w:val="24"/>
        </w:rPr>
      </w:pPr>
      <w:r>
        <w:rPr>
          <w:rFonts w:hint="eastAsia" w:ascii="Times New Roman" w:hAnsi="Times New Roman" w:eastAsia="仿宋_GB2312" w:cs="Times New Roman"/>
          <w:color w:val="auto"/>
          <w:sz w:val="32"/>
          <w:szCs w:val="24"/>
        </w:rPr>
        <w:t>加强运维考核精心化管理，严格按照合同要求执行。要求各运营商对前端点位网络进行全面梳理排查，提高前端点位的带宽已满足公安工作的需要。在后期项目的续租中，增加建设经费更换前端点位球机，并根据实战需求对部分点位进行降杆处理。</w:t>
      </w:r>
    </w:p>
    <w:p>
      <w:pPr>
        <w:pStyle w:val="2"/>
        <w:ind w:left="0"/>
        <w:rPr>
          <w:rFonts w:hint="eastAsia"/>
          <w:b/>
          <w:sz w:val="32"/>
          <w:szCs w:val="32"/>
          <w:lang w:eastAsia="zh-CN"/>
        </w:rPr>
      </w:pPr>
    </w:p>
    <w:p>
      <w:pPr>
        <w:pStyle w:val="2"/>
        <w:rPr>
          <w:rFonts w:hint="eastAsia" w:ascii="仿宋" w:hAnsi="仿宋" w:eastAsia="仿宋" w:cs="仿宋"/>
          <w:color w:val="auto"/>
          <w:kern w:val="2"/>
          <w:sz w:val="32"/>
          <w:szCs w:val="32"/>
          <w:lang w:val="en-US" w:eastAsia="zh-CN" w:bidi="ar-SA"/>
        </w:rPr>
      </w:pPr>
    </w:p>
    <w:p>
      <w:pPr>
        <w:pStyle w:val="2"/>
        <w:rPr>
          <w:rFonts w:hint="eastAsia" w:ascii="仿宋" w:hAnsi="仿宋" w:eastAsia="仿宋" w:cs="仿宋"/>
          <w:color w:val="auto"/>
          <w:kern w:val="2"/>
          <w:sz w:val="32"/>
          <w:szCs w:val="32"/>
          <w:lang w:val="en-US" w:eastAsia="zh-CN" w:bidi="ar-SA"/>
        </w:rPr>
      </w:pPr>
    </w:p>
    <w:tbl>
      <w:tblPr>
        <w:tblStyle w:val="13"/>
        <w:tblpPr w:leftFromText="180" w:rightFromText="180" w:vertAnchor="text" w:horzAnchor="page" w:tblpX="1268" w:tblpY="656"/>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1"/>
        <w:gridCol w:w="1020"/>
        <w:gridCol w:w="1345"/>
        <w:gridCol w:w="1512"/>
        <w:gridCol w:w="2028"/>
        <w:gridCol w:w="1981"/>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u w:val="none"/>
              </w:rPr>
            </w:pPr>
            <w:r>
              <w:rPr>
                <w:rFonts w:hint="eastAsia" w:ascii="宋体" w:hAnsi="宋体" w:eastAsia="宋体" w:cs="宋体"/>
                <w:b/>
                <w:i w:val="0"/>
                <w:color w:val="auto"/>
                <w:sz w:val="32"/>
                <w:szCs w:val="32"/>
                <w:u w:val="none"/>
                <w:lang w:val="en-US" w:eastAsia="zh-CN"/>
              </w:rPr>
              <w:t>202</w:t>
            </w:r>
            <w:r>
              <w:rPr>
                <w:rFonts w:hint="eastAsia" w:ascii="宋体" w:hAnsi="宋体" w:cs="宋体"/>
                <w:b/>
                <w:i w:val="0"/>
                <w:color w:val="auto"/>
                <w:sz w:val="32"/>
                <w:szCs w:val="32"/>
                <w:u w:val="none"/>
                <w:lang w:val="en-US" w:eastAsia="zh-CN"/>
              </w:rPr>
              <w:t>2</w:t>
            </w:r>
            <w:r>
              <w:rPr>
                <w:rFonts w:hint="eastAsia" w:ascii="宋体" w:hAnsi="宋体" w:eastAsia="宋体" w:cs="宋体"/>
                <w:b/>
                <w:i w:val="0"/>
                <w:color w:val="auto"/>
                <w:sz w:val="32"/>
                <w:szCs w:val="32"/>
                <w:u w:val="none"/>
                <w:lang w:val="en-US" w:eastAsia="zh-CN"/>
              </w:rPr>
              <w:t>年100万元以上（含）特定目标类部门预算项目绩效目标自评</w:t>
            </w:r>
          </w:p>
        </w:tc>
        <w:tc>
          <w:tcPr>
            <w:tcW w:w="234" w:type="dxa"/>
            <w:tcBorders>
              <w:top w:val="nil"/>
              <w:left w:val="nil"/>
              <w:bottom w:val="nil"/>
              <w:right w:val="nil"/>
            </w:tcBorders>
            <w:shd w:val="clear" w:color="auto" w:fill="auto"/>
            <w:vAlign w:val="center"/>
          </w:tcPr>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center"/>
              <w:textAlignment w:val="center"/>
              <w:rPr>
                <w:rFonts w:hint="default" w:ascii="宋体" w:hAnsi="宋体" w:eastAsia="宋体" w:cs="宋体"/>
                <w:b/>
                <w:i w:val="0"/>
                <w:color w:val="auto"/>
                <w:sz w:val="32"/>
                <w:szCs w:val="32"/>
                <w:u w:val="none"/>
                <w:lang w:val="en-US" w:eastAsia="zh-CN"/>
              </w:rPr>
            </w:pPr>
            <w:r>
              <w:rPr>
                <w:rFonts w:hint="eastAsia" w:ascii="宋体" w:hAnsi="宋体" w:cs="宋体"/>
                <w:b/>
                <w:i w:val="0"/>
                <w:color w:val="auto"/>
                <w:sz w:val="32"/>
                <w:szCs w:val="32"/>
                <w:u w:val="none"/>
                <w:lang w:val="en-US" w:eastAsia="zh-CN"/>
              </w:rPr>
              <w:t>天网工程专项经费</w:t>
            </w:r>
          </w:p>
        </w:tc>
        <w:tc>
          <w:tcPr>
            <w:tcW w:w="234" w:type="dxa"/>
            <w:tcBorders>
              <w:top w:val="nil"/>
              <w:left w:val="nil"/>
              <w:bottom w:val="nil"/>
              <w:right w:val="nil"/>
            </w:tcBorders>
            <w:shd w:val="clear" w:color="auto" w:fill="auto"/>
            <w:vAlign w:val="center"/>
          </w:tcPr>
          <w:p>
            <w:pPr>
              <w:pStyle w:val="2"/>
              <w:rPr>
                <w:rFonts w:hint="eastAsia"/>
                <w:color w:val="auto"/>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271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主管部门及代码</w:t>
            </w:r>
          </w:p>
        </w:tc>
        <w:tc>
          <w:tcPr>
            <w:tcW w:w="28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遂宁市公安局330001</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实施单位</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遂宁市强医所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项目预算</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执行情况</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（万元）</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预算数：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397.00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 xml:space="preserve"> 执行数：</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397.00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555"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397.00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财政拨款</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397.00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341" w:hRule="atLeast"/>
        </w:trPr>
        <w:tc>
          <w:tcPr>
            <w:tcW w:w="271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lang w:val="en-US" w:eastAsia="zh-CN"/>
              </w:rPr>
            </w:pPr>
            <w:r>
              <w:rPr>
                <w:rFonts w:hint="eastAsia" w:ascii="仿宋" w:hAnsi="仿宋" w:eastAsia="仿宋" w:cs="仿宋"/>
                <w:i w:val="0"/>
                <w:color w:val="auto"/>
                <w:sz w:val="28"/>
                <w:szCs w:val="28"/>
                <w:u w:val="none"/>
                <w:lang w:val="en-US" w:eastAsia="zh-CN"/>
              </w:rPr>
              <w:t>0.00</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其他资金</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2"/>
                <w:sz w:val="28"/>
                <w:szCs w:val="28"/>
                <w:u w:val="none"/>
                <w:lang w:val="en-US" w:eastAsia="zh-CN" w:bidi="ar-SA"/>
              </w:rPr>
            </w:pPr>
            <w:r>
              <w:rPr>
                <w:rFonts w:hint="eastAsia" w:ascii="仿宋" w:hAnsi="仿宋" w:eastAsia="仿宋" w:cs="仿宋"/>
                <w:i w:val="0"/>
                <w:color w:val="auto"/>
                <w:sz w:val="28"/>
                <w:szCs w:val="28"/>
                <w:u w:val="none"/>
                <w:lang w:val="en-US" w:eastAsia="zh-CN"/>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17" w:hRule="atLeast"/>
        </w:trPr>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完成情况</w:t>
            </w: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预期目标</w:t>
            </w:r>
          </w:p>
        </w:tc>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 w:hAnsi="仿宋" w:eastAsia="仿宋" w:cs="仿宋"/>
                <w:i w:val="0"/>
                <w:color w:val="auto"/>
                <w:sz w:val="28"/>
                <w:szCs w:val="28"/>
                <w:u w:val="none"/>
              </w:rPr>
            </w:pPr>
            <w:r>
              <w:rPr>
                <w:rFonts w:hint="eastAsia" w:ascii="仿宋" w:hAnsi="仿宋" w:eastAsia="仿宋" w:cs="仿宋"/>
                <w:i w:val="0"/>
                <w:color w:val="auto"/>
                <w:kern w:val="0"/>
                <w:sz w:val="28"/>
                <w:szCs w:val="28"/>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797" w:hRule="atLeast"/>
        </w:trPr>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 w:hAnsi="仿宋" w:eastAsia="仿宋" w:cs="仿宋"/>
                <w:i w:val="0"/>
                <w:color w:val="auto"/>
                <w:sz w:val="28"/>
                <w:szCs w:val="28"/>
                <w:u w:val="none"/>
              </w:rPr>
            </w:pPr>
          </w:p>
        </w:tc>
        <w:tc>
          <w:tcPr>
            <w:tcW w:w="387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依据合同约定支付天网点位续租项目、联通卡口增建的40个点位续租项目、天网三期100点位租赁费用。</w:t>
            </w:r>
          </w:p>
        </w:tc>
        <w:tc>
          <w:tcPr>
            <w:tcW w:w="40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sz w:val="28"/>
                <w:szCs w:val="28"/>
                <w:lang w:val="en-US" w:eastAsia="zh-CN"/>
              </w:rPr>
              <w:t>依据合同约定支付天网点位续租项目、联通卡口增建的40个点位续租项目、天网三期100点位租赁费用。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693" w:hRule="atLeast"/>
        </w:trPr>
        <w:tc>
          <w:tcPr>
            <w:tcW w:w="1691"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年度绩效指标完成情况</w:t>
            </w:r>
          </w:p>
        </w:tc>
        <w:tc>
          <w:tcPr>
            <w:tcW w:w="102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预期指标值</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时效指标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项目完成时限</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数量指标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每月提供解析视频图像</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25万条</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25万条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15"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成本指标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前端维护、链路租赁、电费</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397万元</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397万元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质量指标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视频图像正常率</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default"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691"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效益</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社会效益</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震慑打击防范街面犯罪</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691"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w:t>
            </w:r>
            <w:r>
              <w:rPr>
                <w:rFonts w:hint="eastAsia" w:ascii="仿宋" w:hAnsi="仿宋" w:eastAsia="仿宋" w:cs="仿宋"/>
                <w:i w:val="0"/>
                <w:color w:val="auto"/>
                <w:kern w:val="0"/>
                <w:sz w:val="28"/>
                <w:szCs w:val="28"/>
                <w:u w:val="none"/>
                <w:lang w:val="en-US" w:eastAsia="zh-CN" w:bidi="ar"/>
              </w:rPr>
              <w:br w:type="textWrapping"/>
            </w:r>
            <w:r>
              <w:rPr>
                <w:rFonts w:hint="eastAsia" w:ascii="仿宋" w:hAnsi="仿宋" w:eastAsia="仿宋" w:cs="仿宋"/>
                <w:i w:val="0"/>
                <w:color w:val="auto"/>
                <w:kern w:val="0"/>
                <w:sz w:val="28"/>
                <w:szCs w:val="28"/>
                <w:u w:val="none"/>
                <w:lang w:val="en-US" w:eastAsia="zh-CN" w:bidi="ar"/>
              </w:rPr>
              <w:t>度指标</w:t>
            </w:r>
          </w:p>
        </w:tc>
        <w:tc>
          <w:tcPr>
            <w:tcW w:w="13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满意度指标</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群众满意度</w:t>
            </w:r>
          </w:p>
        </w:tc>
        <w:tc>
          <w:tcPr>
            <w:tcW w:w="2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c>
          <w:tcPr>
            <w:tcW w:w="1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仿宋" w:hAnsi="仿宋" w:eastAsia="仿宋" w:cs="仿宋"/>
                <w:i w:val="0"/>
                <w:color w:val="auto"/>
                <w:kern w:val="0"/>
                <w:sz w:val="28"/>
                <w:szCs w:val="28"/>
                <w:u w:val="none"/>
                <w:lang w:val="en-US" w:eastAsia="zh-CN" w:bidi="ar"/>
              </w:rPr>
            </w:pPr>
            <w:r>
              <w:rPr>
                <w:rFonts w:hint="eastAsia" w:ascii="仿宋" w:hAnsi="仿宋" w:eastAsia="仿宋" w:cs="仿宋"/>
                <w:i w:val="0"/>
                <w:color w:val="auto"/>
                <w:kern w:val="0"/>
                <w:sz w:val="28"/>
                <w:szCs w:val="28"/>
                <w:u w:val="none"/>
                <w:lang w:val="en-US" w:eastAsia="zh-CN" w:bidi="ar"/>
              </w:rPr>
              <w:t>≥95%</w:t>
            </w:r>
          </w:p>
        </w:tc>
      </w:tr>
    </w:tbl>
    <w:p>
      <w:pPr>
        <w:spacing w:line="600" w:lineRule="exact"/>
        <w:jc w:val="center"/>
        <w:outlineLvl w:val="0"/>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p>
    <w:p>
      <w:pPr>
        <w:pStyle w:val="2"/>
        <w:rPr>
          <w:rFonts w:hint="eastAsia"/>
          <w:color w:val="auto"/>
        </w:rPr>
      </w:pPr>
    </w:p>
    <w:bookmarkEnd w:id="62"/>
    <w:p>
      <w:pPr>
        <w:spacing w:line="600" w:lineRule="exact"/>
        <w:jc w:val="center"/>
        <w:outlineLvl w:val="0"/>
        <w:rPr>
          <w:rFonts w:hint="eastAsia" w:ascii="仿宋" w:hAnsi="仿宋" w:eastAsia="仿宋"/>
          <w:b w:val="0"/>
          <w:color w:val="auto"/>
          <w:highlight w:val="none"/>
        </w:rPr>
      </w:pPr>
      <w:r>
        <w:rPr>
          <w:rFonts w:hint="eastAsia" w:ascii="黑体" w:hAnsi="黑体" w:eastAsia="黑体"/>
          <w:color w:val="auto"/>
          <w:sz w:val="44"/>
          <w:szCs w:val="44"/>
          <w:highlight w:val="none"/>
        </w:rPr>
        <w:t>第</w:t>
      </w:r>
      <w:r>
        <w:rPr>
          <w:rStyle w:val="26"/>
          <w:rFonts w:hint="eastAsia" w:ascii="黑体" w:hAnsi="黑体" w:eastAsia="黑体"/>
          <w:b w:val="0"/>
          <w:color w:val="auto"/>
          <w:highlight w:val="none"/>
        </w:rPr>
        <w:t>五部分 附表</w:t>
      </w:r>
      <w:bookmarkStart w:id="63" w:name="_Toc15396619"/>
    </w:p>
    <w:p>
      <w:pPr>
        <w:pStyle w:val="4"/>
        <w:spacing w:line="480" w:lineRule="auto"/>
        <w:rPr>
          <w:rFonts w:ascii="仿宋" w:hAnsi="仿宋" w:eastAsia="仿宋"/>
          <w:color w:val="auto"/>
          <w:highlight w:val="none"/>
        </w:rPr>
      </w:pPr>
      <w:r>
        <w:rPr>
          <w:rFonts w:hint="eastAsia" w:ascii="仿宋" w:hAnsi="仿宋" w:eastAsia="仿宋"/>
          <w:b w:val="0"/>
          <w:color w:val="auto"/>
          <w:highlight w:val="none"/>
        </w:rPr>
        <w:t>一、收</w:t>
      </w:r>
      <w:r>
        <w:rPr>
          <w:rStyle w:val="27"/>
          <w:rFonts w:hint="eastAsia" w:ascii="仿宋" w:hAnsi="仿宋" w:eastAsia="仿宋"/>
          <w:b w:val="0"/>
          <w:bCs w:val="0"/>
          <w:color w:val="auto"/>
          <w:highlight w:val="none"/>
        </w:rPr>
        <w:t>入支出决算总表</w:t>
      </w:r>
      <w:bookmarkEnd w:id="63"/>
    </w:p>
    <w:p>
      <w:pPr>
        <w:pStyle w:val="4"/>
        <w:spacing w:line="480" w:lineRule="auto"/>
        <w:rPr>
          <w:rFonts w:ascii="仿宋" w:hAnsi="仿宋" w:eastAsia="仿宋"/>
          <w:color w:val="auto"/>
          <w:highlight w:val="none"/>
        </w:rPr>
      </w:pPr>
      <w:bookmarkStart w:id="64" w:name="_Toc15396620"/>
      <w:r>
        <w:rPr>
          <w:rFonts w:hint="eastAsia" w:ascii="仿宋" w:hAnsi="仿宋" w:eastAsia="仿宋"/>
          <w:b w:val="0"/>
          <w:color w:val="auto"/>
          <w:highlight w:val="none"/>
        </w:rPr>
        <w:t>二、收</w:t>
      </w:r>
      <w:r>
        <w:rPr>
          <w:rStyle w:val="27"/>
          <w:rFonts w:hint="eastAsia" w:ascii="仿宋" w:hAnsi="仿宋" w:eastAsia="仿宋"/>
          <w:b w:val="0"/>
          <w:bCs w:val="0"/>
          <w:color w:val="auto"/>
          <w:highlight w:val="none"/>
        </w:rPr>
        <w:t>入决算表</w:t>
      </w:r>
      <w:bookmarkEnd w:id="64"/>
    </w:p>
    <w:p>
      <w:pPr>
        <w:pStyle w:val="4"/>
        <w:spacing w:line="480" w:lineRule="auto"/>
        <w:rPr>
          <w:rFonts w:ascii="仿宋" w:hAnsi="仿宋" w:eastAsia="仿宋"/>
          <w:color w:val="auto"/>
          <w:highlight w:val="none"/>
        </w:rPr>
      </w:pPr>
      <w:bookmarkStart w:id="65" w:name="_Toc15396621"/>
      <w:r>
        <w:rPr>
          <w:rStyle w:val="27"/>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7"/>
          <w:rFonts w:hint="eastAsia" w:ascii="仿宋" w:hAnsi="仿宋" w:eastAsia="仿宋"/>
          <w:b w:val="0"/>
          <w:bCs w:val="0"/>
          <w:color w:val="auto"/>
          <w:highlight w:val="none"/>
        </w:rPr>
        <w:t>出决算表</w:t>
      </w:r>
      <w:bookmarkEnd w:id="65"/>
    </w:p>
    <w:p>
      <w:pPr>
        <w:pStyle w:val="4"/>
        <w:spacing w:line="480" w:lineRule="auto"/>
        <w:rPr>
          <w:rFonts w:ascii="仿宋" w:hAnsi="仿宋" w:eastAsia="仿宋"/>
          <w:b w:val="0"/>
          <w:color w:val="auto"/>
          <w:highlight w:val="none"/>
        </w:rPr>
      </w:pPr>
      <w:bookmarkStart w:id="66" w:name="_Toc15396622"/>
      <w:r>
        <w:rPr>
          <w:rStyle w:val="27"/>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政拨款收入支出决算总表</w:t>
      </w:r>
      <w:bookmarkEnd w:id="66"/>
    </w:p>
    <w:p>
      <w:pPr>
        <w:pStyle w:val="4"/>
        <w:spacing w:line="480" w:lineRule="auto"/>
        <w:rPr>
          <w:rStyle w:val="27"/>
          <w:rFonts w:ascii="仿宋" w:hAnsi="仿宋" w:eastAsia="仿宋"/>
          <w:b w:val="0"/>
          <w:bCs w:val="0"/>
          <w:color w:val="auto"/>
          <w:highlight w:val="none"/>
        </w:rPr>
      </w:pPr>
      <w:bookmarkStart w:id="67" w:name="_Toc15396623"/>
      <w:r>
        <w:rPr>
          <w:rStyle w:val="27"/>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7"/>
          <w:rFonts w:hint="eastAsia" w:ascii="仿宋" w:hAnsi="仿宋" w:eastAsia="仿宋"/>
          <w:b w:val="0"/>
          <w:bCs w:val="0"/>
          <w:color w:val="auto"/>
          <w:highlight w:val="none"/>
        </w:rPr>
        <w:t>政拨款支出决算明细表</w:t>
      </w:r>
      <w:bookmarkEnd w:id="67"/>
      <w:bookmarkStart w:id="68" w:name="_Toc15396624"/>
    </w:p>
    <w:p>
      <w:pPr>
        <w:pStyle w:val="4"/>
        <w:spacing w:line="480" w:lineRule="auto"/>
        <w:rPr>
          <w:rFonts w:ascii="仿宋" w:hAnsi="仿宋" w:eastAsia="仿宋"/>
          <w:color w:val="auto"/>
          <w:highlight w:val="none"/>
        </w:rPr>
      </w:pPr>
      <w:r>
        <w:rPr>
          <w:rStyle w:val="27"/>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般公共预算财政拨款支出决算表</w:t>
      </w:r>
      <w:bookmarkEnd w:id="68"/>
    </w:p>
    <w:p>
      <w:pPr>
        <w:pStyle w:val="4"/>
        <w:spacing w:line="480" w:lineRule="auto"/>
        <w:rPr>
          <w:rFonts w:ascii="仿宋" w:hAnsi="仿宋" w:eastAsia="仿宋"/>
          <w:color w:val="auto"/>
          <w:highlight w:val="none"/>
        </w:rPr>
      </w:pPr>
      <w:bookmarkStart w:id="69" w:name="_Toc15396625"/>
      <w:r>
        <w:rPr>
          <w:rStyle w:val="27"/>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般公共预算财政拨款支出决算明细表</w:t>
      </w:r>
      <w:bookmarkEnd w:id="69"/>
    </w:p>
    <w:p>
      <w:pPr>
        <w:pStyle w:val="4"/>
        <w:spacing w:line="480" w:lineRule="auto"/>
        <w:rPr>
          <w:rFonts w:ascii="仿宋" w:hAnsi="仿宋" w:eastAsia="仿宋"/>
          <w:color w:val="auto"/>
          <w:highlight w:val="none"/>
        </w:rPr>
      </w:pPr>
      <w:bookmarkStart w:id="70" w:name="_Toc15396626"/>
      <w:r>
        <w:rPr>
          <w:rStyle w:val="27"/>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般公共预算财政拨款基本支出决算表</w:t>
      </w:r>
      <w:bookmarkEnd w:id="70"/>
    </w:p>
    <w:p>
      <w:pPr>
        <w:pStyle w:val="4"/>
        <w:spacing w:line="480" w:lineRule="auto"/>
        <w:rPr>
          <w:rFonts w:ascii="仿宋" w:hAnsi="仿宋" w:eastAsia="仿宋"/>
          <w:color w:val="auto"/>
          <w:highlight w:val="none"/>
        </w:rPr>
      </w:pPr>
      <w:bookmarkStart w:id="71" w:name="_Toc15396627"/>
      <w:r>
        <w:rPr>
          <w:rStyle w:val="27"/>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7"/>
          <w:rFonts w:hint="eastAsia" w:ascii="仿宋" w:hAnsi="仿宋" w:eastAsia="仿宋"/>
          <w:b w:val="0"/>
          <w:bCs w:val="0"/>
          <w:color w:val="auto"/>
          <w:highlight w:val="none"/>
        </w:rPr>
        <w:t>般公共预算财政拨款项目支出决算表</w:t>
      </w:r>
      <w:bookmarkEnd w:id="71"/>
    </w:p>
    <w:p>
      <w:pPr>
        <w:pStyle w:val="4"/>
        <w:spacing w:line="480" w:lineRule="auto"/>
        <w:rPr>
          <w:rFonts w:ascii="仿宋" w:hAnsi="仿宋" w:eastAsia="仿宋"/>
          <w:color w:val="auto"/>
          <w:highlight w:val="none"/>
        </w:rPr>
      </w:pPr>
      <w:bookmarkStart w:id="72" w:name="_Toc15396629"/>
      <w:r>
        <w:rPr>
          <w:rStyle w:val="27"/>
          <w:rFonts w:hint="eastAsia" w:ascii="仿宋" w:hAnsi="仿宋" w:eastAsia="仿宋"/>
          <w:b w:val="0"/>
          <w:bCs w:val="0"/>
          <w:color w:val="auto"/>
          <w:highlight w:val="none"/>
        </w:rPr>
        <w:t>十、</w:t>
      </w:r>
      <w:r>
        <w:rPr>
          <w:rFonts w:hint="eastAsia" w:ascii="仿宋" w:hAnsi="仿宋" w:eastAsia="仿宋"/>
          <w:b w:val="0"/>
          <w:color w:val="auto"/>
          <w:highlight w:val="none"/>
        </w:rPr>
        <w:t>政</w:t>
      </w:r>
      <w:r>
        <w:rPr>
          <w:rStyle w:val="27"/>
          <w:rFonts w:hint="eastAsia" w:ascii="仿宋" w:hAnsi="仿宋" w:eastAsia="仿宋"/>
          <w:b w:val="0"/>
          <w:bCs w:val="0"/>
          <w:color w:val="auto"/>
          <w:highlight w:val="none"/>
        </w:rPr>
        <w:t>府性基金预算财政拨款收入支出决算表</w:t>
      </w:r>
      <w:bookmarkEnd w:id="72"/>
    </w:p>
    <w:p>
      <w:pPr>
        <w:pStyle w:val="4"/>
        <w:spacing w:line="480" w:lineRule="auto"/>
        <w:rPr>
          <w:rStyle w:val="27"/>
          <w:rFonts w:hint="eastAsia" w:ascii="仿宋" w:hAnsi="仿宋" w:eastAsia="仿宋"/>
          <w:b w:val="0"/>
          <w:bCs w:val="0"/>
          <w:color w:val="auto"/>
          <w:highlight w:val="none"/>
        </w:rPr>
      </w:pPr>
      <w:bookmarkStart w:id="73" w:name="_Toc15396631"/>
      <w:r>
        <w:rPr>
          <w:rStyle w:val="27"/>
          <w:rFonts w:hint="eastAsia" w:ascii="仿宋" w:hAnsi="仿宋" w:eastAsia="仿宋"/>
          <w:b w:val="0"/>
          <w:bCs w:val="0"/>
          <w:color w:val="auto"/>
          <w:highlight w:val="none"/>
        </w:rPr>
        <w:t>十</w:t>
      </w:r>
      <w:r>
        <w:rPr>
          <w:rStyle w:val="27"/>
          <w:rFonts w:hint="eastAsia" w:ascii="仿宋" w:hAnsi="仿宋" w:eastAsia="仿宋"/>
          <w:b w:val="0"/>
          <w:bCs w:val="0"/>
          <w:color w:val="auto"/>
          <w:highlight w:val="none"/>
          <w:lang w:val="en-US" w:eastAsia="zh-CN"/>
        </w:rPr>
        <w:t>一</w:t>
      </w:r>
      <w:r>
        <w:rPr>
          <w:rStyle w:val="27"/>
          <w:rFonts w:hint="eastAsia" w:ascii="仿宋" w:hAnsi="仿宋" w:eastAsia="仿宋"/>
          <w:b w:val="0"/>
          <w:bCs w:val="0"/>
          <w:color w:val="auto"/>
          <w:highlight w:val="none"/>
        </w:rPr>
        <w:t>、</w:t>
      </w:r>
      <w:r>
        <w:rPr>
          <w:rFonts w:hint="eastAsia" w:ascii="仿宋" w:hAnsi="仿宋" w:eastAsia="仿宋"/>
          <w:b w:val="0"/>
          <w:color w:val="auto"/>
          <w:highlight w:val="none"/>
        </w:rPr>
        <w:t>国</w:t>
      </w:r>
      <w:r>
        <w:rPr>
          <w:rStyle w:val="27"/>
          <w:rFonts w:hint="eastAsia" w:ascii="仿宋" w:hAnsi="仿宋" w:eastAsia="仿宋"/>
          <w:b w:val="0"/>
          <w:bCs w:val="0"/>
          <w:color w:val="auto"/>
          <w:highlight w:val="none"/>
        </w:rPr>
        <w:t>有资本经营预算</w:t>
      </w:r>
      <w:r>
        <w:rPr>
          <w:rStyle w:val="27"/>
          <w:rFonts w:hint="eastAsia" w:ascii="仿宋" w:hAnsi="仿宋" w:eastAsia="仿宋"/>
          <w:b w:val="0"/>
          <w:bCs w:val="0"/>
          <w:color w:val="auto"/>
          <w:highlight w:val="none"/>
          <w:lang w:eastAsia="zh-CN"/>
        </w:rPr>
        <w:t>财政拨款收入</w:t>
      </w:r>
      <w:r>
        <w:rPr>
          <w:rStyle w:val="27"/>
          <w:rFonts w:hint="eastAsia" w:ascii="仿宋" w:hAnsi="仿宋" w:eastAsia="仿宋"/>
          <w:b w:val="0"/>
          <w:bCs w:val="0"/>
          <w:color w:val="auto"/>
          <w:highlight w:val="none"/>
        </w:rPr>
        <w:t>支出决算表</w:t>
      </w:r>
      <w:bookmarkEnd w:id="73"/>
    </w:p>
    <w:p>
      <w:pPr>
        <w:spacing w:line="480" w:lineRule="auto"/>
        <w:rPr>
          <w:rFonts w:hint="eastAsia"/>
          <w:lang w:eastAsia="zh-CN"/>
        </w:rPr>
      </w:pPr>
      <w:r>
        <w:rPr>
          <w:rStyle w:val="27"/>
          <w:rFonts w:hint="eastAsia" w:ascii="仿宋" w:hAnsi="仿宋" w:eastAsia="仿宋"/>
          <w:b w:val="0"/>
          <w:bCs w:val="0"/>
          <w:color w:val="auto"/>
          <w:highlight w:val="none"/>
          <w:lang w:eastAsia="zh-CN"/>
        </w:rPr>
        <w:t>十</w:t>
      </w:r>
      <w:r>
        <w:rPr>
          <w:rStyle w:val="27"/>
          <w:rFonts w:hint="eastAsia" w:ascii="仿宋" w:hAnsi="仿宋" w:eastAsia="仿宋"/>
          <w:b w:val="0"/>
          <w:bCs w:val="0"/>
          <w:color w:val="auto"/>
          <w:highlight w:val="none"/>
          <w:lang w:val="en-US" w:eastAsia="zh-CN"/>
        </w:rPr>
        <w:t>二</w:t>
      </w:r>
      <w:r>
        <w:rPr>
          <w:rStyle w:val="27"/>
          <w:rFonts w:hint="eastAsia" w:ascii="仿宋" w:hAnsi="仿宋" w:eastAsia="仿宋"/>
          <w:b w:val="0"/>
          <w:bCs w:val="0"/>
          <w:color w:val="auto"/>
          <w:highlight w:val="none"/>
          <w:lang w:eastAsia="zh-CN"/>
        </w:rPr>
        <w:t>、国有资本经营预算财政拨款支出决算表</w:t>
      </w:r>
    </w:p>
    <w:p>
      <w:pPr>
        <w:pStyle w:val="2"/>
        <w:spacing w:line="480" w:lineRule="auto"/>
        <w:rPr>
          <w:rFonts w:hint="default"/>
          <w:lang w:val="en-US" w:eastAsia="zh-CN"/>
        </w:rPr>
      </w:pPr>
      <w:r>
        <w:rPr>
          <w:rStyle w:val="27"/>
          <w:rFonts w:hint="eastAsia" w:ascii="仿宋" w:hAnsi="仿宋" w:eastAsia="仿宋"/>
          <w:b w:val="0"/>
          <w:bCs w:val="0"/>
          <w:color w:val="auto"/>
          <w:highlight w:val="none"/>
          <w:lang w:val="en-US" w:eastAsia="zh-CN"/>
        </w:rPr>
        <w:t>十三、财政拨款“三公”经费支出决算表</w:t>
      </w:r>
    </w:p>
    <w:p>
      <w:pPr>
        <w:spacing w:line="480" w:lineRule="auto"/>
        <w:rPr>
          <w:rFonts w:hint="eastAsia" w:eastAsia="仿宋"/>
          <w:color w:val="auto"/>
          <w:highlight w:val="none"/>
          <w:lang w:eastAsia="zh-CN"/>
        </w:rPr>
      </w:pPr>
    </w:p>
    <w:sectPr>
      <w:headerReference r:id="rId5" w:type="default"/>
      <w:footerReference r:id="rId6"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62BD6AC-D0FA-4602-9E89-EE447F3A1687}"/>
  </w:font>
  <w:font w:name="黑体">
    <w:panose1 w:val="02010600030101010101"/>
    <w:charset w:val="86"/>
    <w:family w:val="auto"/>
    <w:pitch w:val="default"/>
    <w:sig w:usb0="800002BF" w:usb1="38CF7CFA" w:usb2="00000016" w:usb3="00000000" w:csb0="00040001" w:csb1="00000000"/>
    <w:embedRegular r:id="rId2" w:fontKey="{5CCF91D8-7081-43FF-BA09-5A9E3612DB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3" w:fontKey="{C12E3C05-085C-44B8-B9B3-342BF1D4F4DE}"/>
  </w:font>
  <w:font w:name="仿宋_GB2312">
    <w:panose1 w:val="02010609030101010101"/>
    <w:charset w:val="86"/>
    <w:family w:val="modern"/>
    <w:pitch w:val="default"/>
    <w:sig w:usb0="00000001" w:usb1="080E0000" w:usb2="00000000" w:usb3="00000000" w:csb0="00040000" w:csb1="00000000"/>
    <w:embedRegular r:id="rId4" w:fontKey="{B8B17787-30A2-4141-8F9C-B41F3A14B1E7}"/>
  </w:font>
  <w:font w:name="仿宋">
    <w:panose1 w:val="02010609060101010101"/>
    <w:charset w:val="86"/>
    <w:family w:val="auto"/>
    <w:pitch w:val="default"/>
    <w:sig w:usb0="800002BF" w:usb1="38CF7CFA" w:usb2="00000016" w:usb3="00000000" w:csb0="00040001" w:csb1="00000000"/>
    <w:embedRegular r:id="rId5" w:fontKey="{8D0E178B-71B0-41DF-8D07-FBA7C429F459}"/>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script"/>
    <w:pitch w:val="default"/>
    <w:sig w:usb0="00000001" w:usb1="08000000" w:usb2="00000000" w:usb3="00000000" w:csb0="00040000" w:csb1="00000000"/>
    <w:embedRegular r:id="rId6" w:fontKey="{39D77488-AF9E-48E3-8E5A-490CFE02430B}"/>
  </w:font>
  <w:font w:name="楷体_GB2312">
    <w:panose1 w:val="02010609030101010101"/>
    <w:charset w:val="86"/>
    <w:family w:val="auto"/>
    <w:pitch w:val="default"/>
    <w:sig w:usb0="00000001" w:usb1="080E0000" w:usb2="00000000" w:usb3="00000000" w:csb0="00040000" w:csb1="00000000"/>
    <w:embedRegular r:id="rId7" w:fontKey="{A87F96E8-54CF-4BB0-BB3F-28B7A326CCC7}"/>
  </w:font>
  <w:font w:name="微软雅黑">
    <w:panose1 w:val="020B0503020204020204"/>
    <w:charset w:val="86"/>
    <w:family w:val="auto"/>
    <w:pitch w:val="default"/>
    <w:sig w:usb0="80000287" w:usb1="2ACF3C50" w:usb2="00000016" w:usb3="00000000" w:csb0="0004001F" w:csb1="00000000"/>
    <w:embedRegular r:id="rId8" w:fontKey="{577DCB49-4A54-4B33-B9A4-ACB61C259208}"/>
  </w:font>
  <w:font w:name="新宋体">
    <w:panose1 w:val="02010609030101010101"/>
    <w:charset w:val="86"/>
    <w:family w:val="decorative"/>
    <w:pitch w:val="default"/>
    <w:sig w:usb0="00000283" w:usb1="288F0000" w:usb2="00000006" w:usb3="00000000" w:csb0="00040001" w:csb1="00000000"/>
    <w:embedRegular r:id="rId9" w:fontKey="{48CE3883-061C-40BF-8E8E-FAEB4A1DB4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30</w:t>
                          </w:r>
                          <w:r>
                            <w:fldChar w:fldCharType="end"/>
                          </w:r>
                          <w:r>
                            <w:t xml:space="preserve"> 页 共 </w:t>
                          </w:r>
                          <w:r>
                            <w:rPr>
                              <w:rFonts w:hint="eastAsia"/>
                              <w:lang w:val="en-US" w:eastAsia="zh-CN"/>
                            </w:rPr>
                            <w:t>59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30</w:t>
                    </w:r>
                    <w:r>
                      <w:fldChar w:fldCharType="end"/>
                    </w:r>
                    <w:r>
                      <w:t xml:space="preserve"> 页 共 </w:t>
                    </w:r>
                    <w:r>
                      <w:rPr>
                        <w:rFonts w:hint="eastAsia"/>
                        <w:lang w:val="en-US" w:eastAsia="zh-CN"/>
                      </w:rPr>
                      <w:t>59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064A595"/>
    <w:multiLevelType w:val="singleLevel"/>
    <w:tmpl w:val="3064A595"/>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kZGFmMDBjYTE4MWY2YTMzZmQwNjdlZWJhMzM3YW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233263C"/>
    <w:rsid w:val="03342B8A"/>
    <w:rsid w:val="036865E7"/>
    <w:rsid w:val="05A70A57"/>
    <w:rsid w:val="066E0107"/>
    <w:rsid w:val="0676248F"/>
    <w:rsid w:val="07996F6E"/>
    <w:rsid w:val="07E318A6"/>
    <w:rsid w:val="09D0372A"/>
    <w:rsid w:val="0A2032A3"/>
    <w:rsid w:val="0E951830"/>
    <w:rsid w:val="0F2C2936"/>
    <w:rsid w:val="101860EC"/>
    <w:rsid w:val="10C055FF"/>
    <w:rsid w:val="114E00FF"/>
    <w:rsid w:val="118107EC"/>
    <w:rsid w:val="11F34DC7"/>
    <w:rsid w:val="13D50BC4"/>
    <w:rsid w:val="15190362"/>
    <w:rsid w:val="15325C06"/>
    <w:rsid w:val="16BB723D"/>
    <w:rsid w:val="17EB0325"/>
    <w:rsid w:val="1AF92891"/>
    <w:rsid w:val="1B023BE8"/>
    <w:rsid w:val="1BE8440E"/>
    <w:rsid w:val="1C483E31"/>
    <w:rsid w:val="1CC345FD"/>
    <w:rsid w:val="1CCD53EF"/>
    <w:rsid w:val="1D155CEE"/>
    <w:rsid w:val="1FE31ABA"/>
    <w:rsid w:val="237630DB"/>
    <w:rsid w:val="23860B96"/>
    <w:rsid w:val="240371BF"/>
    <w:rsid w:val="279F64F7"/>
    <w:rsid w:val="29FD04D3"/>
    <w:rsid w:val="2C8A61B5"/>
    <w:rsid w:val="2DEB616A"/>
    <w:rsid w:val="2DF04E50"/>
    <w:rsid w:val="319F7F4E"/>
    <w:rsid w:val="31C457EC"/>
    <w:rsid w:val="320A495B"/>
    <w:rsid w:val="34020C54"/>
    <w:rsid w:val="345215FC"/>
    <w:rsid w:val="36815EB8"/>
    <w:rsid w:val="36AA5135"/>
    <w:rsid w:val="37E16F03"/>
    <w:rsid w:val="384A3617"/>
    <w:rsid w:val="39F01A68"/>
    <w:rsid w:val="3C7F0361"/>
    <w:rsid w:val="3D98207C"/>
    <w:rsid w:val="40A24A92"/>
    <w:rsid w:val="40B3069A"/>
    <w:rsid w:val="435B28D8"/>
    <w:rsid w:val="43E763CE"/>
    <w:rsid w:val="44E268DA"/>
    <w:rsid w:val="46ED58F6"/>
    <w:rsid w:val="475666E6"/>
    <w:rsid w:val="48467B16"/>
    <w:rsid w:val="494435AF"/>
    <w:rsid w:val="4A627F82"/>
    <w:rsid w:val="4B49651F"/>
    <w:rsid w:val="4B4F25DA"/>
    <w:rsid w:val="4BE068DB"/>
    <w:rsid w:val="4BF568A2"/>
    <w:rsid w:val="4CC6303A"/>
    <w:rsid w:val="4D577224"/>
    <w:rsid w:val="4EAB630A"/>
    <w:rsid w:val="4ECE2238"/>
    <w:rsid w:val="503F6122"/>
    <w:rsid w:val="516F0888"/>
    <w:rsid w:val="53ED3C3A"/>
    <w:rsid w:val="549E4D45"/>
    <w:rsid w:val="56340765"/>
    <w:rsid w:val="565008D2"/>
    <w:rsid w:val="5AF92295"/>
    <w:rsid w:val="5C0827EA"/>
    <w:rsid w:val="5CD71FC4"/>
    <w:rsid w:val="5D4D0284"/>
    <w:rsid w:val="5EE34A59"/>
    <w:rsid w:val="5F3B27FD"/>
    <w:rsid w:val="605D3477"/>
    <w:rsid w:val="62A661B6"/>
    <w:rsid w:val="64CD4750"/>
    <w:rsid w:val="66864BA0"/>
    <w:rsid w:val="66A669F1"/>
    <w:rsid w:val="67893694"/>
    <w:rsid w:val="684830DC"/>
    <w:rsid w:val="688B291B"/>
    <w:rsid w:val="69E51A73"/>
    <w:rsid w:val="6AD40BB5"/>
    <w:rsid w:val="6C4A05C8"/>
    <w:rsid w:val="6C914A51"/>
    <w:rsid w:val="6CE301ED"/>
    <w:rsid w:val="6D6F02B0"/>
    <w:rsid w:val="6D9A3EE4"/>
    <w:rsid w:val="6E086BB4"/>
    <w:rsid w:val="6E3E0D66"/>
    <w:rsid w:val="6E7E3605"/>
    <w:rsid w:val="6FF5CC65"/>
    <w:rsid w:val="715C0E4B"/>
    <w:rsid w:val="71AE3D7E"/>
    <w:rsid w:val="723E3406"/>
    <w:rsid w:val="72734D90"/>
    <w:rsid w:val="739A5B36"/>
    <w:rsid w:val="73AD73D5"/>
    <w:rsid w:val="73B6EB34"/>
    <w:rsid w:val="73D70FC8"/>
    <w:rsid w:val="75446F94"/>
    <w:rsid w:val="768333FB"/>
    <w:rsid w:val="76DF3298"/>
    <w:rsid w:val="79EE5BA4"/>
    <w:rsid w:val="7A894339"/>
    <w:rsid w:val="7C7F141A"/>
    <w:rsid w:val="7CC42EDF"/>
    <w:rsid w:val="7D761FEF"/>
    <w:rsid w:val="7EE574E3"/>
    <w:rsid w:val="7EEF11D3"/>
    <w:rsid w:val="7F062761"/>
    <w:rsid w:val="7F7B7695"/>
    <w:rsid w:val="7FA30C79"/>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0"/>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3"/>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9"/>
    <w:semiHidden/>
    <w:unhideWhenUsed/>
    <w:qFormat/>
    <w:uiPriority w:val="99"/>
    <w:rPr>
      <w:sz w:val="18"/>
      <w:szCs w:val="18"/>
    </w:rPr>
  </w:style>
  <w:style w:type="paragraph" w:styleId="8">
    <w:name w:val="footer"/>
    <w:basedOn w:val="1"/>
    <w:link w:val="21"/>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9"/>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qFormat/>
    <w:uiPriority w:val="0"/>
    <w:pPr>
      <w:spacing w:beforeAutospacing="1" w:afterAutospacing="1"/>
      <w:jc w:val="left"/>
    </w:pPr>
    <w:rPr>
      <w:rFonts w:cs="Times New Roman"/>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paragraph" w:customStyle="1" w:styleId="17">
    <w:name w:val="常用样式（方正仿宋简）"/>
    <w:basedOn w:val="1"/>
    <w:next w:val="1"/>
    <w:qFormat/>
    <w:uiPriority w:val="0"/>
    <w:pPr>
      <w:spacing w:line="560" w:lineRule="exact"/>
      <w:ind w:firstLine="640" w:firstLineChars="200"/>
    </w:pPr>
    <w:rPr>
      <w:rFonts w:eastAsia="方正仿宋简体"/>
      <w:sz w:val="32"/>
    </w:rPr>
  </w:style>
  <w:style w:type="character" w:customStyle="1" w:styleId="18">
    <w:name w:val="Header Char"/>
    <w:basedOn w:val="14"/>
    <w:semiHidden/>
    <w:qFormat/>
    <w:uiPriority w:val="99"/>
    <w:rPr>
      <w:rFonts w:ascii="Times New Roman" w:hAnsi="Times New Roman"/>
      <w:sz w:val="18"/>
      <w:szCs w:val="18"/>
    </w:rPr>
  </w:style>
  <w:style w:type="character" w:customStyle="1" w:styleId="19">
    <w:name w:val="页眉 Char"/>
    <w:link w:val="9"/>
    <w:semiHidden/>
    <w:qFormat/>
    <w:locked/>
    <w:uiPriority w:val="99"/>
    <w:rPr>
      <w:sz w:val="18"/>
    </w:rPr>
  </w:style>
  <w:style w:type="character" w:customStyle="1" w:styleId="20">
    <w:name w:val="Footer Char"/>
    <w:basedOn w:val="14"/>
    <w:semiHidden/>
    <w:qFormat/>
    <w:uiPriority w:val="99"/>
    <w:rPr>
      <w:rFonts w:ascii="Times New Roman" w:hAnsi="Times New Roman"/>
      <w:sz w:val="18"/>
      <w:szCs w:val="18"/>
    </w:rPr>
  </w:style>
  <w:style w:type="character" w:customStyle="1" w:styleId="21">
    <w:name w:val="页脚 Char"/>
    <w:link w:val="8"/>
    <w:qFormat/>
    <w:locked/>
    <w:uiPriority w:val="99"/>
    <w:rPr>
      <w:sz w:val="18"/>
    </w:rPr>
  </w:style>
  <w:style w:type="character" w:customStyle="1" w:styleId="22">
    <w:name w:val="Body Text Char"/>
    <w:basedOn w:val="14"/>
    <w:semiHidden/>
    <w:qFormat/>
    <w:uiPriority w:val="99"/>
    <w:rPr>
      <w:rFonts w:ascii="Times New Roman" w:hAnsi="Times New Roman"/>
      <w:szCs w:val="24"/>
    </w:rPr>
  </w:style>
  <w:style w:type="character" w:customStyle="1" w:styleId="23">
    <w:name w:val="正文文本 Char"/>
    <w:link w:val="2"/>
    <w:qFormat/>
    <w:locked/>
    <w:uiPriority w:val="99"/>
    <w:rPr>
      <w:rFonts w:ascii="仿宋_GB2312" w:hAnsi="Times New Roman" w:eastAsia="仿宋_GB2312"/>
      <w:sz w:val="24"/>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5">
    <w:name w:val="List Paragraph"/>
    <w:basedOn w:val="1"/>
    <w:qFormat/>
    <w:uiPriority w:val="34"/>
    <w:pPr>
      <w:ind w:firstLine="420" w:firstLineChars="200"/>
    </w:pPr>
  </w:style>
  <w:style w:type="character" w:customStyle="1" w:styleId="26">
    <w:name w:val="标题 1 Char"/>
    <w:basedOn w:val="14"/>
    <w:link w:val="3"/>
    <w:qFormat/>
    <w:uiPriority w:val="9"/>
    <w:rPr>
      <w:rFonts w:ascii="Times New Roman" w:hAnsi="Times New Roman"/>
      <w:b/>
      <w:bCs/>
      <w:kern w:val="44"/>
      <w:sz w:val="44"/>
      <w:szCs w:val="44"/>
    </w:rPr>
  </w:style>
  <w:style w:type="character" w:customStyle="1" w:styleId="27">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8">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9">
    <w:name w:val="批注框文本 Char"/>
    <w:basedOn w:val="14"/>
    <w:link w:val="7"/>
    <w:semiHidden/>
    <w:qFormat/>
    <w:uiPriority w:val="99"/>
    <w:rPr>
      <w:rFonts w:ascii="Times New Roman" w:hAnsi="Times New Roman"/>
      <w:kern w:val="2"/>
      <w:sz w:val="18"/>
      <w:szCs w:val="18"/>
    </w:rPr>
  </w:style>
  <w:style w:type="character" w:customStyle="1" w:styleId="30">
    <w:name w:val="标题 3 Char"/>
    <w:basedOn w:val="14"/>
    <w:link w:val="5"/>
    <w:qFormat/>
    <w:uiPriority w:val="9"/>
    <w:rPr>
      <w:rFonts w:ascii="Times New Roman" w:hAnsi="Times New Roman"/>
      <w:b/>
      <w:bCs/>
      <w:kern w:val="2"/>
      <w:sz w:val="32"/>
      <w:szCs w:val="32"/>
    </w:rPr>
  </w:style>
  <w:style w:type="paragraph" w:customStyle="1" w:styleId="31">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2">
    <w:name w:val="正文1"/>
    <w:qFormat/>
    <w:uiPriority w:val="0"/>
    <w:pPr>
      <w:widowControl w:val="0"/>
      <w:jc w:val="both"/>
    </w:pPr>
    <w:rPr>
      <w:rFonts w:ascii="Times New Roman" w:hAnsi="Times New Roman" w:eastAsia="宋体" w:cs="Times New Roman"/>
      <w:sz w:val="32"/>
      <w:lang w:val="en-US" w:eastAsia="zh-CN" w:bidi="ar-SA"/>
    </w:rPr>
  </w:style>
  <w:style w:type="paragraph" w:styleId="33">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7.xml"/><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#,##0.00</c:formatCode>
                <c:ptCount val="2"/>
                <c:pt idx="0">
                  <c:v>36782.09</c:v>
                </c:pt>
                <c:pt idx="1">
                  <c:v>34686.54</c:v>
                </c:pt>
              </c:numCache>
            </c:numRef>
          </c:val>
        </c:ser>
        <c:dLbls>
          <c:showLegendKey val="0"/>
          <c:showVal val="1"/>
          <c:showCatName val="0"/>
          <c:showSerName val="0"/>
          <c:showPercent val="0"/>
          <c:showBubbleSize val="0"/>
        </c:dLbls>
        <c:gapWidth val="219"/>
        <c:overlap val="-27"/>
        <c:axId val="859929925"/>
        <c:axId val="961829460"/>
      </c:barChart>
      <c:catAx>
        <c:axId val="85992992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61829460"/>
        <c:crosses val="autoZero"/>
        <c:auto val="1"/>
        <c:lblAlgn val="ctr"/>
        <c:lblOffset val="100"/>
        <c:noMultiLvlLbl val="0"/>
      </c:catAx>
      <c:valAx>
        <c:axId val="96182946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992992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[工作簿1]Sheet1!$A$1:$A$3</c:f>
              <c:strCache>
                <c:ptCount val="3"/>
                <c:pt idx="0">
                  <c:v>一般公共预算财政拨款收入</c:v>
                </c:pt>
                <c:pt idx="1">
                  <c:v>其他收入</c:v>
                </c:pt>
                <c:pt idx="2">
                  <c:v>年初结转和结余收入</c:v>
                </c:pt>
              </c:strCache>
            </c:strRef>
          </c:cat>
          <c:val>
            <c:numRef>
              <c:f>[工作簿1]Sheet1!$B$1:$B$3</c:f>
              <c:numCache>
                <c:formatCode>#,##0.00</c:formatCode>
                <c:ptCount val="3"/>
                <c:pt idx="0">
                  <c:v>29651.16</c:v>
                </c:pt>
                <c:pt idx="1">
                  <c:v>4228.49</c:v>
                </c:pt>
                <c:pt idx="2" c:formatCode="General">
                  <c:v>746.89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基本支出</c:v>
                </c:pt>
                <c:pt idx="1">
                  <c:v>项目支出</c:v>
                </c:pt>
              </c:strCache>
            </c:strRef>
          </c:cat>
          <c:val>
            <c:numRef>
              <c:f>[工作簿1]Sheet1!$B$1:$B$2</c:f>
              <c:numCache>
                <c:formatCode>#,##0.00</c:formatCode>
                <c:ptCount val="2"/>
                <c:pt idx="0">
                  <c:v>22534.55</c:v>
                </c:pt>
                <c:pt idx="1">
                  <c:v>11889.07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#,##0.00</c:formatCode>
                <c:ptCount val="2"/>
                <c:pt idx="0">
                  <c:v>32285.58</c:v>
                </c:pt>
                <c:pt idx="1">
                  <c:v>29651.16</c:v>
                </c:pt>
              </c:numCache>
            </c:numRef>
          </c:val>
        </c:ser>
        <c:dLbls>
          <c:showLegendKey val="0"/>
          <c:showVal val="1"/>
          <c:showCatName val="0"/>
          <c:showSerName val="0"/>
          <c:showPercent val="0"/>
          <c:showBubbleSize val="0"/>
        </c:dLbls>
        <c:gapWidth val="219"/>
        <c:overlap val="-27"/>
        <c:axId val="261481027"/>
        <c:axId val="317544306"/>
      </c:barChart>
      <c:catAx>
        <c:axId val="2614810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7544306"/>
        <c:crosses val="autoZero"/>
        <c:auto val="1"/>
        <c:lblAlgn val="ctr"/>
        <c:lblOffset val="100"/>
        <c:noMultiLvlLbl val="0"/>
      </c:catAx>
      <c:valAx>
        <c:axId val="31754430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4810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2021年</c:v>
                </c:pt>
                <c:pt idx="1">
                  <c:v>2022年</c:v>
                </c:pt>
              </c:strCache>
            </c:strRef>
          </c:cat>
          <c:val>
            <c:numRef>
              <c:f>[工作簿1]Sheet1!$B$1:$B$2</c:f>
              <c:numCache>
                <c:formatCode>#,##0.00</c:formatCode>
                <c:ptCount val="2"/>
                <c:pt idx="0">
                  <c:v>32285.58</c:v>
                </c:pt>
                <c:pt idx="1">
                  <c:v>29651.16</c:v>
                </c:pt>
              </c:numCache>
            </c:numRef>
          </c:val>
        </c:ser>
        <c:dLbls>
          <c:showLegendKey val="0"/>
          <c:showVal val="1"/>
          <c:showCatName val="0"/>
          <c:showSerName val="0"/>
          <c:showPercent val="0"/>
          <c:showBubbleSize val="0"/>
        </c:dLbls>
        <c:gapWidth val="219"/>
        <c:overlap val="-27"/>
        <c:axId val="261481027"/>
        <c:axId val="317544306"/>
      </c:barChart>
      <c:catAx>
        <c:axId val="26148102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17544306"/>
        <c:crosses val="autoZero"/>
        <c:auto val="1"/>
        <c:lblAlgn val="ctr"/>
        <c:lblOffset val="100"/>
        <c:noMultiLvlLbl val="0"/>
      </c:catAx>
      <c:valAx>
        <c:axId val="317544306"/>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148102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manualLayout>
          <c:xMode val="edge"/>
          <c:yMode val="edge"/>
          <c:x val="0.197777777777778"/>
          <c:y val="0.0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[工作簿1]Sheet1!$A$1:$A$5</c:f>
              <c:strCache>
                <c:ptCount val="5"/>
                <c:pt idx="0">
                  <c:v>一般公共服务支出（类）</c:v>
                </c:pt>
                <c:pt idx="1">
                  <c:v>公共安全（类）</c:v>
                </c:pt>
                <c:pt idx="2">
                  <c:v>社会保障和就业（类）</c:v>
                </c:pt>
                <c:pt idx="3">
                  <c:v>卫生健康（类）</c:v>
                </c:pt>
                <c:pt idx="4">
                  <c:v>住房保障（类）</c:v>
                </c:pt>
              </c:strCache>
            </c:strRef>
          </c:cat>
          <c:val>
            <c:numRef>
              <c:f>[工作簿1]Sheet1!$B$1:$B$5</c:f>
              <c:numCache>
                <c:formatCode>#,##0.00</c:formatCode>
                <c:ptCount val="5"/>
                <c:pt idx="0">
                  <c:v>8.88</c:v>
                </c:pt>
                <c:pt idx="1">
                  <c:v>26324.02</c:v>
                </c:pt>
                <c:pt idx="2">
                  <c:v>1366.17</c:v>
                </c:pt>
                <c:pt idx="3" c:formatCode="General">
                  <c:v>655.72</c:v>
                </c:pt>
                <c:pt idx="4">
                  <c:v>1296.39</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manualLayout>
          <c:xMode val="edge"/>
          <c:yMode val="edge"/>
          <c:x val="0.197777777777778"/>
          <c:y val="0.05"/>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[工作簿1]Sheet1!$A$1:$A$2</c:f>
              <c:strCache>
                <c:ptCount val="2"/>
                <c:pt idx="0">
                  <c:v>公务用车购置及运行维护费</c:v>
                </c:pt>
                <c:pt idx="1">
                  <c:v>公务接待费</c:v>
                </c:pt>
              </c:strCache>
            </c:strRef>
          </c:cat>
          <c:val>
            <c:numRef>
              <c:f>[工作簿1]Sheet1!$B$1:$B$2</c:f>
              <c:numCache>
                <c:formatCode>General</c:formatCode>
                <c:ptCount val="2"/>
                <c:pt idx="0">
                  <c:v>453.06</c:v>
                </c:pt>
                <c:pt idx="1" c:formatCode="#,##0.00">
                  <c:v>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59</Pages>
  <Words>22549</Words>
  <Characters>28059</Characters>
  <Lines>61</Lines>
  <Paragraphs>17</Paragraphs>
  <TotalTime>2</TotalTime>
  <ScaleCrop>false</ScaleCrop>
  <LinksUpToDate>false</LinksUpToDate>
  <CharactersWithSpaces>28243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任超凡</cp:lastModifiedBy>
  <cp:lastPrinted>2022-08-08T09:11:00Z</cp:lastPrinted>
  <dcterms:modified xsi:type="dcterms:W3CDTF">2023-08-24T09:40:46Z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2EC8FE0AA6444F279EB68382FD4FAE99</vt:lpwstr>
  </property>
</Properties>
</file>