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textAlignment w:val="auto"/>
        <w:outlineLvl w:val="0"/>
        <w:rPr>
          <w:rFonts w:ascii="方正小标宋简体" w:hAnsi="宋体" w:eastAsia="方正小标宋简体"/>
          <w:color w:val="auto"/>
          <w:sz w:val="72"/>
          <w:szCs w:val="72"/>
          <w:highlight w:val="none"/>
        </w:rPr>
      </w:pPr>
      <w:bookmarkStart w:id="0" w:name="_Toc15378441"/>
      <w:bookmarkStart w:id="1" w:name="_Toc15377425"/>
      <w:bookmarkStart w:id="2" w:name="_Toc15396475"/>
      <w:bookmarkStart w:id="3" w:name="_Toc15396597"/>
      <w:bookmarkStart w:id="4" w:name="_Toc15377193"/>
      <w:bookmarkStart w:id="5" w:name="_Toc15306267"/>
    </w:p>
    <w:p>
      <w:pPr>
        <w:pageBreakBefore w:val="0"/>
        <w:kinsoku/>
        <w:wordWrap/>
        <w:overflowPunct/>
        <w:topLinePunct w:val="0"/>
        <w:bidi w:val="0"/>
        <w:spacing w:line="600" w:lineRule="exact"/>
        <w:jc w:val="center"/>
        <w:textAlignment w:val="auto"/>
        <w:outlineLvl w:val="0"/>
        <w:rPr>
          <w:rFonts w:ascii="方正小标宋简体" w:hAnsi="宋体" w:eastAsia="方正小标宋简体"/>
          <w:color w:val="auto"/>
          <w:sz w:val="72"/>
          <w:szCs w:val="72"/>
          <w:highlight w:val="none"/>
        </w:rPr>
      </w:pPr>
    </w:p>
    <w:p>
      <w:pPr>
        <w:pageBreakBefore w:val="0"/>
        <w:kinsoku/>
        <w:wordWrap/>
        <w:overflowPunct/>
        <w:topLinePunct w:val="0"/>
        <w:bidi w:val="0"/>
        <w:spacing w:line="600" w:lineRule="exact"/>
        <w:jc w:val="center"/>
        <w:textAlignment w:val="auto"/>
        <w:outlineLvl w:val="0"/>
        <w:rPr>
          <w:rFonts w:ascii="方正小标宋简体" w:hAnsi="宋体" w:eastAsia="方正小标宋简体"/>
          <w:color w:val="auto"/>
          <w:sz w:val="72"/>
          <w:szCs w:val="72"/>
          <w:highlight w:val="none"/>
        </w:rPr>
      </w:pPr>
    </w:p>
    <w:p>
      <w:pPr>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8442"/>
      <w:bookmarkStart w:id="8" w:name="_Toc15396476"/>
      <w:bookmarkStart w:id="9" w:name="_Toc15306268"/>
      <w:bookmarkStart w:id="10" w:name="_Toc15377194"/>
      <w:bookmarkStart w:id="11" w:name="_Toc15396598"/>
      <w:r>
        <w:rPr>
          <w:rFonts w:hint="eastAsia" w:ascii="方正小标宋简体" w:hAnsi="方正小标宋简体" w:eastAsia="方正小标宋简体" w:cs="方正小标宋简体"/>
          <w:color w:val="auto"/>
          <w:sz w:val="72"/>
          <w:szCs w:val="72"/>
          <w:highlight w:val="none"/>
        </w:rPr>
        <w:t>遂宁市拘留所</w:t>
      </w:r>
    </w:p>
    <w:p>
      <w:pPr>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pageBreakBefore w:val="0"/>
        <w:widowControl/>
        <w:kinsoku/>
        <w:wordWrap/>
        <w:overflowPunct/>
        <w:topLinePunct w:val="0"/>
        <w:bidi w:val="0"/>
        <w:jc w:val="center"/>
        <w:textAlignment w:val="auto"/>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ageBreakBefore w:val="0"/>
        <w:widowControl/>
        <w:kinsoku/>
        <w:wordWrap/>
        <w:overflowPunct/>
        <w:topLinePunct w:val="0"/>
        <w:bidi w:val="0"/>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pageBreakBefore w:val="0"/>
        <w:widowControl/>
        <w:kinsoku/>
        <w:wordWrap/>
        <w:overflowPunct/>
        <w:topLinePunct w:val="0"/>
        <w:bidi w:val="0"/>
        <w:jc w:val="center"/>
        <w:textAlignment w:val="auto"/>
        <w:rPr>
          <w:rFonts w:ascii="黑体" w:hAnsi="黑体" w:eastAsia="黑体" w:cstheme="minorBidi"/>
          <w:color w:val="auto"/>
          <w:sz w:val="28"/>
          <w:szCs w:val="28"/>
          <w:highlight w:val="none"/>
        </w:rPr>
      </w:pPr>
    </w:p>
    <w:p>
      <w:pPr>
        <w:pStyle w:val="11"/>
        <w:pageBreakBefore w:val="0"/>
        <w:kinsoku/>
        <w:wordWrap/>
        <w:overflowPunct/>
        <w:topLinePunct w:val="0"/>
        <w:bidi w:val="0"/>
        <w:spacing w:before="0"/>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pageBreakBefore w:val="0"/>
        <w:kinsoku/>
        <w:wordWrap/>
        <w:overflowPunct/>
        <w:topLinePunct w:val="0"/>
        <w:bidi w:val="0"/>
        <w:textAlignment w:val="auto"/>
        <w:rPr>
          <w:color w:val="auto"/>
          <w:highlight w:val="none"/>
        </w:rPr>
      </w:pPr>
    </w:p>
    <w:p>
      <w:pPr>
        <w:pStyle w:val="11"/>
        <w:pageBreakBefore w:val="0"/>
        <w:kinsoku/>
        <w:wordWrap/>
        <w:overflowPunct/>
        <w:topLinePunct w:val="0"/>
        <w:bidi w:val="0"/>
        <w:adjustRightInd w:val="0"/>
        <w:snapToGrid w:val="0"/>
        <w:spacing w:before="0" w:line="440" w:lineRule="exact"/>
        <w:jc w:val="left"/>
        <w:textAlignment w:val="auto"/>
        <w:rPr>
          <w:rFonts w:cstheme="minorBidi"/>
          <w:color w:val="auto"/>
          <w:sz w:val="32"/>
          <w:szCs w:val="32"/>
          <w:highlight w:val="none"/>
        </w:rPr>
      </w:pPr>
      <w:r>
        <w:rPr>
          <w:rFonts w:hint="eastAsia"/>
          <w:color w:val="auto"/>
          <w:sz w:val="32"/>
          <w:szCs w:val="32"/>
          <w:highlight w:val="none"/>
        </w:rPr>
        <w:t>第一部分</w:t>
      </w:r>
      <w:r>
        <w:rPr>
          <w:color w:val="auto"/>
          <w:sz w:val="32"/>
          <w:szCs w:val="32"/>
          <w:highlight w:val="none"/>
        </w:rPr>
        <w:t xml:space="preserve"> </w:t>
      </w:r>
      <w:r>
        <w:rPr>
          <w:rFonts w:hint="eastAsia"/>
          <w:color w:val="auto"/>
          <w:sz w:val="32"/>
          <w:szCs w:val="32"/>
          <w:highlight w:val="none"/>
        </w:rPr>
        <w:t>部门概况</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olor w:val="auto"/>
          <w:sz w:val="32"/>
          <w:szCs w:val="32"/>
          <w:highlight w:val="none"/>
          <w:lang w:val="en-US"/>
        </w:rPr>
      </w:pPr>
      <w:r>
        <w:rPr>
          <w:rFonts w:hint="eastAsia"/>
          <w:color w:val="auto"/>
          <w:sz w:val="32"/>
          <w:szCs w:val="32"/>
          <w:highlight w:val="none"/>
        </w:rPr>
        <w:t>一、</w:t>
      </w:r>
      <w:r>
        <w:rPr>
          <w:rFonts w:hint="eastAsia"/>
          <w:color w:val="auto"/>
          <w:sz w:val="32"/>
          <w:szCs w:val="32"/>
          <w:highlight w:val="none"/>
          <w:lang w:eastAsia="zh-CN"/>
        </w:rPr>
        <w:t>部门职责………………………………………………</w:t>
      </w:r>
      <w:r>
        <w:rPr>
          <w:rFonts w:hint="eastAsia"/>
          <w:color w:val="auto"/>
          <w:sz w:val="32"/>
          <w:szCs w:val="32"/>
          <w:highlight w:val="none"/>
          <w:lang w:val="en-US" w:eastAsia="zh-CN"/>
        </w:rPr>
        <w:t>4</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二、机构设置</w:t>
      </w:r>
      <w:r>
        <w:rPr>
          <w:rFonts w:hint="eastAsia"/>
          <w:color w:val="auto"/>
          <w:sz w:val="32"/>
          <w:szCs w:val="32"/>
          <w:highlight w:val="none"/>
          <w:lang w:eastAsia="zh-CN"/>
        </w:rPr>
        <w:t>………………………………………………</w:t>
      </w:r>
      <w:r>
        <w:rPr>
          <w:rFonts w:hint="eastAsia"/>
          <w:color w:val="auto"/>
          <w:sz w:val="32"/>
          <w:szCs w:val="32"/>
          <w:highlight w:val="none"/>
          <w:lang w:val="en-US" w:eastAsia="zh-CN"/>
        </w:rPr>
        <w:t>4</w:t>
      </w:r>
      <w:bookmarkStart w:id="69" w:name="_GoBack"/>
      <w:bookmarkEnd w:id="69"/>
    </w:p>
    <w:p>
      <w:pPr>
        <w:pStyle w:val="11"/>
        <w:pageBreakBefore w:val="0"/>
        <w:kinsoku/>
        <w:wordWrap/>
        <w:overflowPunct/>
        <w:topLinePunct w:val="0"/>
        <w:bidi w:val="0"/>
        <w:adjustRightInd w:val="0"/>
        <w:snapToGrid w:val="0"/>
        <w:spacing w:before="0" w:line="440" w:lineRule="exact"/>
        <w:jc w:val="left"/>
        <w:textAlignment w:val="auto"/>
        <w:rPr>
          <w:color w:val="auto"/>
          <w:sz w:val="32"/>
          <w:szCs w:val="32"/>
          <w:highlight w:val="none"/>
        </w:rPr>
      </w:pPr>
      <w:r>
        <w:rPr>
          <w:rFonts w:hint="eastAsia"/>
          <w:color w:val="auto"/>
          <w:sz w:val="32"/>
          <w:szCs w:val="32"/>
          <w:highlight w:val="none"/>
        </w:rPr>
        <w:t>第二部分</w:t>
      </w:r>
      <w:r>
        <w:rPr>
          <w:rFonts w:hint="eastAsia"/>
          <w:color w:val="auto"/>
          <w:sz w:val="32"/>
          <w:szCs w:val="32"/>
          <w:highlight w:val="none"/>
          <w:lang w:val="en-US" w:eastAsia="zh-CN"/>
        </w:rPr>
        <w:t xml:space="preserve"> 2022年度</w:t>
      </w:r>
      <w:r>
        <w:rPr>
          <w:rFonts w:hint="eastAsia"/>
          <w:color w:val="auto"/>
          <w:sz w:val="32"/>
          <w:szCs w:val="32"/>
          <w:highlight w:val="none"/>
        </w:rPr>
        <w:t>部门决算情况说明</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一、收入支出决算总体情况说明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5</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二、收入决算情况说明</w:t>
      </w:r>
      <w:r>
        <w:rPr>
          <w:rFonts w:hint="eastAsia"/>
          <w:color w:val="auto"/>
          <w:sz w:val="32"/>
          <w:szCs w:val="32"/>
          <w:highlight w:val="none"/>
          <w:lang w:eastAsia="zh-CN"/>
        </w:rPr>
        <w:t>……………………………………</w:t>
      </w:r>
      <w:r>
        <w:rPr>
          <w:rFonts w:hint="eastAsia"/>
          <w:color w:val="auto"/>
          <w:sz w:val="32"/>
          <w:szCs w:val="32"/>
          <w:highlight w:val="none"/>
          <w:lang w:val="en-US" w:eastAsia="zh-CN"/>
        </w:rPr>
        <w:t>5</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三、支出决算情况说明</w:t>
      </w:r>
      <w:r>
        <w:rPr>
          <w:rFonts w:hint="eastAsia"/>
          <w:color w:val="auto"/>
          <w:sz w:val="32"/>
          <w:szCs w:val="32"/>
          <w:highlight w:val="none"/>
          <w:lang w:eastAsia="zh-CN"/>
        </w:rPr>
        <w:t>……………………………………</w:t>
      </w:r>
      <w:r>
        <w:rPr>
          <w:rFonts w:hint="eastAsia"/>
          <w:color w:val="auto"/>
          <w:sz w:val="32"/>
          <w:szCs w:val="32"/>
          <w:highlight w:val="none"/>
          <w:lang w:val="en-US" w:eastAsia="zh-CN"/>
        </w:rPr>
        <w:t>6</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四、财政拨款收入支出决算总体情况说明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7</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五、一般公共预算财政拨款支出决算情况说明</w:t>
      </w:r>
      <w:r>
        <w:rPr>
          <w:rFonts w:hint="eastAsia"/>
          <w:color w:val="auto"/>
          <w:sz w:val="32"/>
          <w:szCs w:val="32"/>
          <w:highlight w:val="none"/>
          <w:lang w:eastAsia="zh-CN"/>
        </w:rPr>
        <w:t>…………</w:t>
      </w:r>
      <w:r>
        <w:rPr>
          <w:rFonts w:hint="eastAsia"/>
          <w:color w:val="auto"/>
          <w:sz w:val="32"/>
          <w:szCs w:val="32"/>
          <w:highlight w:val="none"/>
          <w:lang w:val="en-US" w:eastAsia="zh-CN"/>
        </w:rPr>
        <w:t>8</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六、一般公共预算财政拨款基本支出决算情况说明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11</w:t>
      </w:r>
    </w:p>
    <w:p>
      <w:pPr>
        <w:pStyle w:val="12"/>
        <w:pageBreakBefore w:val="0"/>
        <w:kinsoku/>
        <w:wordWrap/>
        <w:overflowPunct/>
        <w:topLinePunct w:val="0"/>
        <w:bidi w:val="0"/>
        <w:adjustRightInd w:val="0"/>
        <w:snapToGrid w:val="0"/>
        <w:spacing w:line="440" w:lineRule="exact"/>
        <w:jc w:val="left"/>
        <w:textAlignment w:val="auto"/>
        <w:rPr>
          <w:rFonts w:hint="default" w:ascii="仿宋" w:hAnsi="仿宋" w:eastAsia="仿宋" w:cstheme="minorBidi"/>
          <w:color w:val="auto"/>
          <w:sz w:val="32"/>
          <w:szCs w:val="32"/>
          <w:highlight w:val="none"/>
          <w:lang w:val="en-US"/>
        </w:rPr>
      </w:pPr>
      <w:r>
        <w:rPr>
          <w:rFonts w:hint="eastAsia"/>
          <w:color w:val="auto"/>
          <w:sz w:val="32"/>
          <w:szCs w:val="32"/>
          <w:highlight w:val="none"/>
        </w:rPr>
        <w:t>七、财政拨款</w:t>
      </w:r>
      <w:r>
        <w:rPr>
          <w:rFonts w:hint="eastAsia"/>
          <w:color w:val="auto"/>
          <w:sz w:val="32"/>
          <w:szCs w:val="32"/>
          <w:highlight w:val="none"/>
          <w:lang w:eastAsia="zh-CN"/>
        </w:rPr>
        <w:t>“</w:t>
      </w:r>
      <w:r>
        <w:rPr>
          <w:rFonts w:hint="eastAsia"/>
          <w:color w:val="auto"/>
          <w:sz w:val="32"/>
          <w:szCs w:val="32"/>
          <w:highlight w:val="none"/>
        </w:rPr>
        <w:t>三公”经费支出决算情况说明</w:t>
      </w:r>
      <w:r>
        <w:rPr>
          <w:rFonts w:hint="eastAsia"/>
          <w:color w:val="auto"/>
          <w:sz w:val="32"/>
          <w:szCs w:val="32"/>
          <w:highlight w:val="none"/>
          <w:lang w:eastAsia="zh-CN"/>
        </w:rPr>
        <w:t>…………</w:t>
      </w:r>
      <w:r>
        <w:rPr>
          <w:rFonts w:hint="eastAsia" w:ascii="仿宋" w:hAnsi="仿宋" w:eastAsia="仿宋" w:cstheme="minorBidi"/>
          <w:color w:val="auto"/>
          <w:sz w:val="32"/>
          <w:szCs w:val="32"/>
          <w:highlight w:val="none"/>
          <w:lang w:val="en-US" w:eastAsia="zh-CN"/>
        </w:rPr>
        <w:t>11</w:t>
      </w:r>
      <w:r>
        <w:rPr>
          <w:rFonts w:hint="eastAsia"/>
          <w:color w:val="auto"/>
          <w:sz w:val="32"/>
          <w:szCs w:val="32"/>
          <w:highlight w:val="none"/>
        </w:rPr>
        <w:t>八、政府性基金预算支出决算情况说明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13</w:t>
      </w:r>
    </w:p>
    <w:p>
      <w:pPr>
        <w:pStyle w:val="12"/>
        <w:pageBreakBefore w:val="0"/>
        <w:kinsoku/>
        <w:wordWrap/>
        <w:overflowPunct/>
        <w:topLinePunct w:val="0"/>
        <w:bidi w:val="0"/>
        <w:adjustRightInd w:val="0"/>
        <w:snapToGrid w:val="0"/>
        <w:spacing w:line="440" w:lineRule="exact"/>
        <w:ind w:leftChars="0"/>
        <w:jc w:val="left"/>
        <w:textAlignment w:val="auto"/>
        <w:rPr>
          <w:rFonts w:hint="default" w:asciiTheme="minorEastAsia" w:hAnsiTheme="minorEastAsia" w:eastAsiaTheme="minorEastAsia" w:cstheme="minorEastAsia"/>
          <w:color w:val="auto"/>
          <w:sz w:val="32"/>
          <w:szCs w:val="32"/>
          <w:highlight w:val="none"/>
          <w:lang w:val="en-US"/>
        </w:rPr>
      </w:pPr>
      <w:r>
        <w:rPr>
          <w:rFonts w:hint="eastAsia" w:asciiTheme="minorEastAsia" w:hAnsiTheme="minorEastAsia" w:eastAsiaTheme="minorEastAsia" w:cstheme="minorEastAsia"/>
          <w:color w:val="auto"/>
          <w:sz w:val="32"/>
          <w:szCs w:val="32"/>
          <w:highlight w:val="none"/>
        </w:rPr>
        <w:t>九、</w:t>
      </w:r>
      <w:r>
        <w:rPr>
          <w:rFonts w:hint="eastAsia" w:asciiTheme="minorEastAsia" w:hAnsiTheme="minorEastAsia" w:eastAsiaTheme="minorEastAsia" w:cstheme="minorEastAsia"/>
          <w:color w:val="auto"/>
          <w:sz w:val="32"/>
          <w:szCs w:val="32"/>
          <w:highlight w:val="none"/>
          <w:lang w:eastAsia="zh-CN"/>
        </w:rPr>
        <w:t>国</w:t>
      </w:r>
      <w:r>
        <w:rPr>
          <w:rFonts w:hint="eastAsia" w:asciiTheme="minorEastAsia" w:hAnsiTheme="minorEastAsia" w:eastAsiaTheme="minorEastAsia" w:cstheme="minorEastAsia"/>
          <w:color w:val="auto"/>
          <w:sz w:val="32"/>
          <w:szCs w:val="32"/>
          <w:highlight w:val="none"/>
        </w:rPr>
        <w:t>有资本经营预算支出决算情况说明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440" w:lineRule="exact"/>
        <w:ind w:firstLine="320" w:firstLineChars="100"/>
        <w:jc w:val="left"/>
        <w:textAlignment w:val="auto"/>
        <w:rPr>
          <w:rFonts w:hint="default" w:asciiTheme="minorEastAsia" w:hAnsiTheme="minorEastAsia" w:eastAsiaTheme="minorEastAsia" w:cstheme="minorEastAsia"/>
          <w:color w:val="auto"/>
          <w:sz w:val="32"/>
          <w:szCs w:val="32"/>
          <w:highlight w:val="none"/>
          <w:lang w:val="en-US"/>
        </w:rPr>
      </w:pPr>
      <w:r>
        <w:rPr>
          <w:rStyle w:val="17"/>
          <w:rFonts w:hint="eastAsia" w:asciiTheme="minorEastAsia" w:hAnsiTheme="minorEastAsia" w:eastAsiaTheme="minorEastAsia" w:cstheme="minorEastAsia"/>
          <w:color w:val="auto"/>
          <w:sz w:val="32"/>
          <w:szCs w:val="32"/>
          <w:highlight w:val="none"/>
          <w:u w:val="none"/>
          <w:lang w:eastAsia="zh-CN"/>
        </w:rPr>
        <w:t>十</w:t>
      </w:r>
      <w:r>
        <w:rPr>
          <w:rStyle w:val="17"/>
          <w:rFonts w:hint="eastAsia" w:asciiTheme="minorEastAsia" w:hAnsiTheme="minorEastAsia" w:eastAsiaTheme="minorEastAsia" w:cstheme="minorEastAsia"/>
          <w:color w:val="auto"/>
          <w:sz w:val="32"/>
          <w:szCs w:val="32"/>
          <w:highlight w:val="none"/>
          <w:u w:val="none"/>
        </w:rPr>
        <w:t>、</w:t>
      </w:r>
      <w:r>
        <w:rPr>
          <w:rFonts w:hint="eastAsia" w:asciiTheme="minorEastAsia" w:hAnsiTheme="minorEastAsia" w:eastAsiaTheme="minorEastAsia" w:cstheme="minorEastAsia"/>
          <w:color w:val="auto"/>
          <w:sz w:val="32"/>
          <w:szCs w:val="32"/>
          <w:highlight w:val="none"/>
        </w:rPr>
        <w:t>其他重要事项的情况说明</w:t>
      </w:r>
      <w:r>
        <w:rPr>
          <w:rFonts w:hint="eastAsia"/>
          <w:color w:val="auto"/>
          <w:sz w:val="32"/>
          <w:szCs w:val="32"/>
          <w:highlight w:val="none"/>
          <w:lang w:eastAsia="zh-CN"/>
        </w:rPr>
        <w:t>……………………………</w:t>
      </w:r>
      <w:r>
        <w:rPr>
          <w:rFonts w:hint="eastAsia"/>
          <w:color w:val="auto"/>
          <w:sz w:val="32"/>
          <w:szCs w:val="32"/>
          <w:highlight w:val="none"/>
          <w:lang w:val="en-US" w:eastAsia="zh-CN"/>
        </w:rPr>
        <w:t>13</w:t>
      </w:r>
    </w:p>
    <w:p>
      <w:pPr>
        <w:pStyle w:val="11"/>
        <w:pageBreakBefore w:val="0"/>
        <w:kinsoku/>
        <w:wordWrap/>
        <w:overflowPunct/>
        <w:topLinePunct w:val="0"/>
        <w:bidi w:val="0"/>
        <w:adjustRightInd w:val="0"/>
        <w:snapToGrid w:val="0"/>
        <w:spacing w:before="0" w:line="440" w:lineRule="exact"/>
        <w:jc w:val="left"/>
        <w:textAlignment w:val="auto"/>
        <w:rPr>
          <w:rFonts w:hint="default" w:cstheme="minorBidi"/>
          <w:color w:val="auto"/>
          <w:sz w:val="32"/>
          <w:szCs w:val="32"/>
          <w:highlight w:val="none"/>
          <w:lang w:val="en-US"/>
        </w:rPr>
      </w:pPr>
      <w:r>
        <w:rPr>
          <w:rFonts w:hint="eastAsia"/>
          <w:color w:val="auto"/>
          <w:sz w:val="32"/>
          <w:szCs w:val="32"/>
          <w:highlight w:val="none"/>
        </w:rPr>
        <w:t>第三部分</w:t>
      </w:r>
      <w:r>
        <w:rPr>
          <w:color w:val="auto"/>
          <w:sz w:val="32"/>
          <w:szCs w:val="32"/>
          <w:highlight w:val="none"/>
        </w:rPr>
        <w:t xml:space="preserve"> </w:t>
      </w:r>
      <w:r>
        <w:rPr>
          <w:rFonts w:hint="eastAsia"/>
          <w:color w:val="auto"/>
          <w:sz w:val="32"/>
          <w:szCs w:val="32"/>
          <w:highlight w:val="none"/>
        </w:rPr>
        <w:t>名词解释</w:t>
      </w:r>
      <w:r>
        <w:rPr>
          <w:rFonts w:hint="eastAsia"/>
          <w:color w:val="auto"/>
          <w:sz w:val="32"/>
          <w:szCs w:val="32"/>
          <w:highlight w:val="none"/>
          <w:lang w:eastAsia="zh-CN"/>
        </w:rPr>
        <w:t>…………………………………………</w:t>
      </w:r>
      <w:r>
        <w:rPr>
          <w:rFonts w:hint="eastAsia" w:ascii="Times New Roman" w:hAnsi="Times New Roman" w:eastAsia="宋体" w:cs="Times New Roman"/>
          <w:color w:val="auto"/>
          <w:kern w:val="2"/>
          <w:sz w:val="32"/>
          <w:szCs w:val="32"/>
          <w:highlight w:val="none"/>
          <w:lang w:val="en-US" w:eastAsia="zh-CN" w:bidi="ar-SA"/>
        </w:rPr>
        <w:t>15</w:t>
      </w:r>
    </w:p>
    <w:p>
      <w:pPr>
        <w:pStyle w:val="11"/>
        <w:pageBreakBefore w:val="0"/>
        <w:kinsoku/>
        <w:wordWrap/>
        <w:overflowPunct/>
        <w:topLinePunct w:val="0"/>
        <w:bidi w:val="0"/>
        <w:adjustRightInd w:val="0"/>
        <w:snapToGrid w:val="0"/>
        <w:spacing w:before="0" w:line="440" w:lineRule="exact"/>
        <w:jc w:val="left"/>
        <w:textAlignment w:val="auto"/>
        <w:rPr>
          <w:rFonts w:hint="default" w:cstheme="minorBidi"/>
          <w:color w:val="auto"/>
          <w:sz w:val="32"/>
          <w:szCs w:val="32"/>
          <w:highlight w:val="none"/>
          <w:lang w:val="en-US"/>
        </w:rPr>
      </w:pPr>
      <w:r>
        <w:rPr>
          <w:rFonts w:hint="eastAsia"/>
          <w:color w:val="auto"/>
          <w:sz w:val="32"/>
          <w:szCs w:val="32"/>
          <w:highlight w:val="none"/>
        </w:rPr>
        <w:t>第四部分</w:t>
      </w:r>
      <w:r>
        <w:rPr>
          <w:color w:val="auto"/>
          <w:sz w:val="32"/>
          <w:szCs w:val="32"/>
          <w:highlight w:val="none"/>
        </w:rPr>
        <w:t xml:space="preserve"> </w:t>
      </w:r>
      <w:r>
        <w:rPr>
          <w:rFonts w:hint="eastAsia"/>
          <w:color w:val="auto"/>
          <w:sz w:val="32"/>
          <w:szCs w:val="32"/>
          <w:highlight w:val="none"/>
        </w:rPr>
        <w:t>附件</w:t>
      </w:r>
      <w:r>
        <w:rPr>
          <w:rFonts w:hint="eastAsia"/>
          <w:color w:val="auto"/>
          <w:sz w:val="32"/>
          <w:szCs w:val="32"/>
          <w:highlight w:val="none"/>
          <w:lang w:eastAsia="zh-CN"/>
        </w:rPr>
        <w:t>………………………………………………</w:t>
      </w:r>
      <w:r>
        <w:rPr>
          <w:rFonts w:hint="eastAsia"/>
          <w:color w:val="auto"/>
          <w:sz w:val="32"/>
          <w:szCs w:val="32"/>
          <w:highlight w:val="none"/>
          <w:lang w:val="en-US" w:eastAsia="zh-CN"/>
        </w:rPr>
        <w:t>18</w:t>
      </w:r>
    </w:p>
    <w:p>
      <w:pPr>
        <w:pStyle w:val="11"/>
        <w:pageBreakBefore w:val="0"/>
        <w:kinsoku/>
        <w:wordWrap/>
        <w:overflowPunct/>
        <w:topLinePunct w:val="0"/>
        <w:bidi w:val="0"/>
        <w:adjustRightInd w:val="0"/>
        <w:snapToGrid w:val="0"/>
        <w:spacing w:before="0" w:line="440" w:lineRule="exact"/>
        <w:jc w:val="left"/>
        <w:textAlignment w:val="auto"/>
        <w:rPr>
          <w:rFonts w:hint="default" w:cstheme="minorBidi"/>
          <w:color w:val="auto"/>
          <w:sz w:val="32"/>
          <w:szCs w:val="32"/>
          <w:highlight w:val="none"/>
          <w:lang w:val="en-US"/>
        </w:rPr>
      </w:pPr>
      <w:r>
        <w:rPr>
          <w:rFonts w:hint="eastAsia"/>
          <w:color w:val="auto"/>
          <w:sz w:val="32"/>
          <w:szCs w:val="32"/>
          <w:highlight w:val="none"/>
        </w:rPr>
        <w:t>第五部分</w:t>
      </w:r>
      <w:r>
        <w:rPr>
          <w:color w:val="auto"/>
          <w:sz w:val="32"/>
          <w:szCs w:val="32"/>
          <w:highlight w:val="none"/>
        </w:rPr>
        <w:t xml:space="preserve"> </w:t>
      </w:r>
      <w:r>
        <w:rPr>
          <w:rFonts w:hint="eastAsia"/>
          <w:color w:val="auto"/>
          <w:sz w:val="32"/>
          <w:szCs w:val="32"/>
          <w:highlight w:val="none"/>
        </w:rPr>
        <w:t>附表</w:t>
      </w:r>
      <w:r>
        <w:rPr>
          <w:rFonts w:hint="eastAsia"/>
          <w:color w:val="auto"/>
          <w:sz w:val="32"/>
          <w:szCs w:val="32"/>
          <w:highlight w:val="none"/>
          <w:lang w:eastAsia="zh-CN"/>
        </w:rPr>
        <w:t>………………………………………………</w:t>
      </w:r>
      <w:r>
        <w:rPr>
          <w:rFonts w:hint="eastAsia"/>
          <w:color w:val="auto"/>
          <w:sz w:val="32"/>
          <w:szCs w:val="32"/>
          <w:highlight w:val="none"/>
          <w:lang w:val="en-US" w:eastAsia="zh-CN"/>
        </w:rPr>
        <w:t>18</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lang w:eastAsia="zh-CN"/>
        </w:rPr>
      </w:pPr>
      <w:r>
        <w:rPr>
          <w:rFonts w:hint="eastAsia"/>
          <w:color w:val="auto"/>
          <w:sz w:val="32"/>
          <w:szCs w:val="32"/>
          <w:highlight w:val="none"/>
        </w:rPr>
        <w:t>一、收入支出决算总表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二、收入决算表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三、支出决算表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四、财政拨款收入支出决算总表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五、财政拨款支出决算明细表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六、一般公共预算财政拨款支出决算表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七、一般公共预算财政拨款支出决算明细表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八、一般公共预算财政拨款基本支出决算</w:t>
      </w:r>
      <w:r>
        <w:rPr>
          <w:rFonts w:hint="eastAsia"/>
          <w:color w:val="auto"/>
          <w:sz w:val="32"/>
          <w:szCs w:val="32"/>
          <w:highlight w:val="none"/>
          <w:lang w:eastAsia="zh-CN"/>
        </w:rPr>
        <w:t>明细</w:t>
      </w:r>
      <w:r>
        <w:rPr>
          <w:rFonts w:hint="eastAsia"/>
          <w:color w:val="auto"/>
          <w:sz w:val="32"/>
          <w:szCs w:val="32"/>
          <w:highlight w:val="none"/>
        </w:rPr>
        <w:t>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九、一般公共预算财政拨款项目支出决算表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十、政府性基金预算财政拨款收入支出决算表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十一、国有资本经营预算财政拨款收入支出决算表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lang w:val="en-US" w:eastAsia="zh-CN"/>
        </w:rPr>
      </w:pPr>
      <w:r>
        <w:rPr>
          <w:rFonts w:hint="eastAsia"/>
          <w:color w:val="auto"/>
          <w:sz w:val="32"/>
          <w:szCs w:val="32"/>
          <w:highlight w:val="none"/>
        </w:rPr>
        <w:t>十二、</w:t>
      </w:r>
      <w:r>
        <w:rPr>
          <w:rFonts w:hint="eastAsia"/>
          <w:color w:val="auto"/>
          <w:sz w:val="32"/>
          <w:szCs w:val="32"/>
          <w:highlight w:val="none"/>
          <w:lang w:val="en-US" w:eastAsia="zh-CN"/>
        </w:rPr>
        <w:t>国有资本经营预算财政拨款支出决算表</w:t>
      </w:r>
    </w:p>
    <w:p>
      <w:pPr>
        <w:pStyle w:val="12"/>
        <w:pageBreakBefore w:val="0"/>
        <w:kinsoku/>
        <w:wordWrap/>
        <w:overflowPunct/>
        <w:topLinePunct w:val="0"/>
        <w:bidi w:val="0"/>
        <w:adjustRightInd w:val="0"/>
        <w:snapToGrid w:val="0"/>
        <w:spacing w:line="440" w:lineRule="exact"/>
        <w:jc w:val="left"/>
        <w:textAlignment w:val="auto"/>
        <w:rPr>
          <w:rFonts w:hint="eastAsia"/>
          <w:color w:val="auto"/>
          <w:sz w:val="32"/>
          <w:szCs w:val="32"/>
          <w:highlight w:val="none"/>
        </w:rPr>
      </w:pPr>
      <w:r>
        <w:rPr>
          <w:rFonts w:hint="eastAsia"/>
          <w:color w:val="auto"/>
          <w:sz w:val="32"/>
          <w:szCs w:val="32"/>
          <w:highlight w:val="none"/>
        </w:rPr>
        <w:t>十三、财政拨款“三公”经费支出决算表</w:t>
      </w:r>
    </w:p>
    <w:p>
      <w:pPr>
        <w:pStyle w:val="12"/>
        <w:pageBreakBefore w:val="0"/>
        <w:kinsoku/>
        <w:wordWrap/>
        <w:overflowPunct/>
        <w:topLinePunct w:val="0"/>
        <w:bidi w:val="0"/>
        <w:adjustRightInd w:val="0"/>
        <w:snapToGrid w:val="0"/>
        <w:spacing w:line="440" w:lineRule="exact"/>
        <w:jc w:val="left"/>
        <w:textAlignment w:val="auto"/>
        <w:rPr>
          <w:rFonts w:ascii="仿宋" w:hAnsi="仿宋" w:eastAsia="仿宋"/>
          <w:color w:val="auto"/>
          <w:sz w:val="32"/>
          <w:szCs w:val="32"/>
          <w:highlight w:val="none"/>
        </w:rPr>
      </w:pPr>
      <w:r>
        <w:rPr>
          <w:rFonts w:ascii="仿宋" w:hAnsi="仿宋" w:eastAsia="仿宋"/>
          <w:color w:val="auto"/>
          <w:sz w:val="32"/>
          <w:szCs w:val="32"/>
          <w:highlight w:val="none"/>
        </w:rPr>
        <w:t>(注：</w:t>
      </w:r>
      <w:r>
        <w:rPr>
          <w:rFonts w:hint="eastAsia" w:ascii="仿宋" w:hAnsi="仿宋" w:eastAsia="仿宋"/>
          <w:color w:val="auto"/>
          <w:sz w:val="32"/>
          <w:szCs w:val="32"/>
          <w:highlight w:val="none"/>
        </w:rPr>
        <w:t>请部门根据实际注明页码</w:t>
      </w:r>
      <w:r>
        <w:rPr>
          <w:rFonts w:ascii="仿宋" w:hAnsi="仿宋" w:eastAsia="仿宋"/>
          <w:color w:val="auto"/>
          <w:sz w:val="32"/>
          <w:szCs w:val="32"/>
          <w:highlight w:val="none"/>
        </w:rPr>
        <w:t>)</w:t>
      </w:r>
    </w:p>
    <w:p>
      <w:pPr>
        <w:pageBreakBefore w:val="0"/>
        <w:widowControl/>
        <w:kinsoku/>
        <w:wordWrap/>
        <w:overflowPunct/>
        <w:topLinePunct w:val="0"/>
        <w:bidi w:val="0"/>
        <w:spacing w:line="440" w:lineRule="exact"/>
        <w:jc w:val="left"/>
        <w:textAlignment w:val="auto"/>
        <w:rPr>
          <w:rFonts w:ascii="仿宋" w:hAnsi="仿宋" w:eastAsia="仿宋"/>
          <w:bCs/>
          <w:color w:val="auto"/>
          <w:kern w:val="44"/>
          <w:sz w:val="32"/>
          <w:szCs w:val="32"/>
          <w:highlight w:val="none"/>
        </w:rPr>
      </w:pPr>
      <w:bookmarkStart w:id="12" w:name="_Toc15396599"/>
      <w:bookmarkStart w:id="13" w:name="_Toc15377196"/>
      <w:r>
        <w:rPr>
          <w:rFonts w:ascii="仿宋" w:hAnsi="仿宋" w:eastAsia="仿宋"/>
          <w:b/>
          <w:color w:val="auto"/>
          <w:sz w:val="32"/>
          <w:szCs w:val="32"/>
          <w:highlight w:val="none"/>
        </w:rPr>
        <w:br w:type="page"/>
      </w:r>
    </w:p>
    <w:p>
      <w:pPr>
        <w:pStyle w:val="3"/>
        <w:pageBreakBefore w:val="0"/>
        <w:kinsoku/>
        <w:wordWrap/>
        <w:overflowPunct/>
        <w:topLinePunct w:val="0"/>
        <w:bidi w:val="0"/>
        <w:spacing w:before="0" w:after="0"/>
        <w:jc w:val="center"/>
        <w:textAlignment w:val="auto"/>
        <w:rPr>
          <w:rStyle w:val="2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7"/>
          <w:rFonts w:hint="eastAsia" w:ascii="黑体" w:hAnsi="黑体" w:eastAsia="黑体"/>
          <w:b w:val="0"/>
          <w:bCs w:val="0"/>
          <w:color w:val="auto"/>
          <w:highlight w:val="none"/>
        </w:rPr>
        <w:t>部门概况</w:t>
      </w:r>
      <w:bookmarkEnd w:id="12"/>
      <w:bookmarkEnd w:id="13"/>
    </w:p>
    <w:p>
      <w:pPr>
        <w:pStyle w:val="4"/>
        <w:pageBreakBefore w:val="0"/>
        <w:kinsoku/>
        <w:wordWrap/>
        <w:overflowPunct/>
        <w:topLinePunct w:val="0"/>
        <w:bidi w:val="0"/>
        <w:spacing w:before="0" w:after="0"/>
        <w:textAlignment w:val="auto"/>
        <w:rPr>
          <w:rFonts w:hint="eastAsia" w:ascii="黑体" w:eastAsia="黑体"/>
          <w:b w:val="0"/>
          <w:color w:val="auto"/>
          <w:highlight w:val="yellow"/>
        </w:rPr>
      </w:pPr>
    </w:p>
    <w:p>
      <w:pPr>
        <w:pStyle w:val="4"/>
        <w:pageBreakBefore w:val="0"/>
        <w:kinsoku/>
        <w:wordWrap/>
        <w:overflowPunct/>
        <w:topLinePunct w:val="0"/>
        <w:bidi w:val="0"/>
        <w:spacing w:before="0" w:after="0"/>
        <w:textAlignment w:val="auto"/>
        <w:rPr>
          <w:rFonts w:ascii="黑体" w:hAnsi="黑体" w:eastAsia="黑体"/>
          <w:b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遂宁市拘留所主要承担着船山区、河东新区、经济开发区、高新区、安居区、蓬溪县和市本级行政拘留和司法拘留任务。</w:t>
      </w:r>
    </w:p>
    <w:p>
      <w:pPr>
        <w:pStyle w:val="4"/>
        <w:pageBreakBefore w:val="0"/>
        <w:kinsoku/>
        <w:wordWrap/>
        <w:overflowPunct/>
        <w:topLinePunct w:val="0"/>
        <w:bidi w:val="0"/>
        <w:spacing w:before="0" w:after="0"/>
        <w:textAlignment w:val="auto"/>
        <w:rPr>
          <w:rStyle w:val="35"/>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5"/>
          <w:rFonts w:hint="eastAsia" w:ascii="黑体" w:hAnsi="黑体" w:eastAsia="黑体"/>
          <w:b w:val="0"/>
          <w:bCs w:val="0"/>
        </w:rPr>
        <w:t>构设置</w:t>
      </w:r>
      <w:bookmarkEnd w:id="16"/>
      <w:bookmarkEnd w:id="17"/>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遂宁市拘留所是遂宁市公安局下属的正科职单位，是独立预算的二级单位，被拘留人员生活费、医疗费、衣被费、装备购置与消耗以及日常维修等经费由市财政预算全额保障，财务收支实行独立核算。</w:t>
      </w:r>
    </w:p>
    <w:p>
      <w:pPr>
        <w:pStyle w:val="4"/>
        <w:pageBreakBefore w:val="0"/>
        <w:kinsoku/>
        <w:wordWrap/>
        <w:overflowPunct/>
        <w:topLinePunct w:val="0"/>
        <w:bidi w:val="0"/>
        <w:spacing w:before="0" w:after="0"/>
        <w:textAlignment w:val="auto"/>
        <w:rPr>
          <w:rFonts w:ascii="仿宋" w:hAnsi="仿宋" w:eastAsia="仿宋"/>
          <w:color w:val="auto"/>
          <w:kern w:val="0"/>
          <w:sz w:val="32"/>
          <w:szCs w:val="32"/>
          <w:highlight w:val="yellow"/>
        </w:rPr>
      </w:pPr>
      <w:r>
        <w:rPr>
          <w:rFonts w:ascii="仿宋" w:hAnsi="仿宋" w:eastAsia="仿宋"/>
          <w:color w:val="auto"/>
          <w:sz w:val="32"/>
          <w:szCs w:val="32"/>
          <w:highlight w:val="yellow"/>
        </w:rPr>
        <w:br w:type="page"/>
      </w:r>
    </w:p>
    <w:p>
      <w:pPr>
        <w:pStyle w:val="3"/>
        <w:pageBreakBefore w:val="0"/>
        <w:kinsoku/>
        <w:wordWrap/>
        <w:overflowPunct/>
        <w:topLinePunct w:val="0"/>
        <w:bidi w:val="0"/>
        <w:spacing w:before="0" w:after="0"/>
        <w:ind w:right="440"/>
        <w:jc w:val="center"/>
        <w:textAlignment w:val="auto"/>
        <w:rPr>
          <w:rStyle w:val="27"/>
          <w:rFonts w:ascii="黑体" w:hAnsi="黑体" w:eastAsia="黑体"/>
          <w:b w:val="0"/>
          <w:bCs/>
          <w:color w:val="auto"/>
          <w:highlight w:val="none"/>
        </w:rPr>
      </w:pPr>
      <w:bookmarkStart w:id="18" w:name="_Toc15377204"/>
      <w:bookmarkStart w:id="1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7"/>
          <w:rFonts w:hint="eastAsia" w:ascii="黑体" w:hAnsi="黑体" w:eastAsia="黑体"/>
          <w:b w:val="0"/>
          <w:bCs/>
          <w:color w:val="auto"/>
          <w:highlight w:val="none"/>
        </w:rPr>
        <w:t>部门决算情况说明</w:t>
      </w:r>
      <w:bookmarkEnd w:id="18"/>
      <w:bookmarkEnd w:id="19"/>
    </w:p>
    <w:p>
      <w:pPr>
        <w:pageBreakBefore w:val="0"/>
        <w:kinsoku/>
        <w:wordWrap/>
        <w:overflowPunct/>
        <w:topLinePunct w:val="0"/>
        <w:bidi w:val="0"/>
        <w:textAlignment w:val="auto"/>
        <w:rPr>
          <w:color w:val="auto"/>
          <w:highlight w:val="none"/>
        </w:rPr>
      </w:pPr>
    </w:p>
    <w:p>
      <w:pPr>
        <w:pStyle w:val="26"/>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color w:val="auto"/>
          <w:highlight w:val="none"/>
        </w:rPr>
      </w:pPr>
      <w:bookmarkStart w:id="20" w:name="_Toc15377205"/>
      <w:bookmarkStart w:id="21"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0"/>
      <w:bookmarkEnd w:id="21"/>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分别减少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p>
    <w:p>
      <w:pPr>
        <w:pStyle w:val="2"/>
        <w:pageBreakBefore w:val="0"/>
        <w:kinsoku/>
        <w:wordWrap/>
        <w:overflowPunct/>
        <w:topLinePunct w:val="0"/>
        <w:bidi w:val="0"/>
        <w:spacing w:beforeLines="0"/>
        <w:textAlignment w:val="auto"/>
      </w:pPr>
    </w:p>
    <w:p>
      <w:pPr>
        <w:pStyle w:val="2"/>
        <w:pageBreakBefore w:val="0"/>
        <w:kinsoku/>
        <w:wordWrap/>
        <w:overflowPunct/>
        <w:topLinePunct w:val="0"/>
        <w:bidi w:val="0"/>
        <w:spacing w:beforeLines="0"/>
        <w:textAlignment w:val="auto"/>
        <w:rPr>
          <w:rFonts w:hint="eastAsia"/>
          <w:lang w:eastAsia="zh-CN"/>
        </w:rPr>
      </w:pPr>
      <w:r>
        <w:drawing>
          <wp:inline distT="0" distB="0" distL="114300" distR="114300">
            <wp:extent cx="4657090" cy="2761615"/>
            <wp:effectExtent l="0" t="0" r="635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657090" cy="2761615"/>
                    </a:xfrm>
                    <a:prstGeom prst="rect">
                      <a:avLst/>
                    </a:prstGeom>
                    <a:noFill/>
                    <a:ln>
                      <a:noFill/>
                    </a:ln>
                  </pic:spPr>
                </pic:pic>
              </a:graphicData>
            </a:graphic>
          </wp:inline>
        </w:drawing>
      </w:r>
    </w:p>
    <w:p>
      <w:pPr>
        <w:pageBreakBefore w:val="0"/>
        <w:kinsoku/>
        <w:wordWrap/>
        <w:overflowPunct/>
        <w:topLinePunct w:val="0"/>
        <w:bidi w:val="0"/>
        <w:spacing w:line="600" w:lineRule="exact"/>
        <w:ind w:firstLine="640" w:firstLineChars="200"/>
        <w:jc w:val="left"/>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6"/>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color w:val="auto"/>
          <w:highlight w:val="none"/>
        </w:rPr>
      </w:pPr>
      <w:bookmarkStart w:id="22" w:name="_Toc15377206"/>
      <w:bookmarkStart w:id="23"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2"/>
      <w:bookmarkEnd w:id="23"/>
    </w:p>
    <w:p>
      <w:pPr>
        <w:pageBreakBefore w:val="0"/>
        <w:kinsoku/>
        <w:wordWrap/>
        <w:overflowPunct/>
        <w:topLinePunct w:val="0"/>
        <w:bidi w:val="0"/>
        <w:spacing w:line="600" w:lineRule="exact"/>
        <w:ind w:firstLine="640" w:firstLineChars="200"/>
        <w:textAlignment w:val="auto"/>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600" w:lineRule="exact"/>
        <w:ind w:firstLine="643" w:firstLineChars="200"/>
        <w:textAlignment w:val="auto"/>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pageBreakBefore w:val="0"/>
        <w:kinsoku/>
        <w:wordWrap/>
        <w:overflowPunct/>
        <w:topLinePunct w:val="0"/>
        <w:bidi w:val="0"/>
        <w:spacing w:line="600" w:lineRule="exact"/>
        <w:ind w:firstLine="640" w:firstLineChars="200"/>
        <w:textAlignment w:val="auto"/>
        <w:outlineLvl w:val="1"/>
        <w:rPr>
          <w:rFonts w:ascii="仿宋" w:hAnsi="仿宋" w:eastAsia="仿宋"/>
          <w:color w:val="auto"/>
          <w:sz w:val="32"/>
          <w:szCs w:val="32"/>
          <w:highlight w:val="none"/>
        </w:rPr>
      </w:pPr>
    </w:p>
    <w:p>
      <w:pPr>
        <w:pStyle w:val="2"/>
        <w:pageBreakBefore w:val="0"/>
        <w:kinsoku/>
        <w:wordWrap/>
        <w:overflowPunct/>
        <w:topLinePunct w:val="0"/>
        <w:bidi w:val="0"/>
        <w:spacing w:beforeLines="0"/>
        <w:textAlignment w:val="auto"/>
      </w:pPr>
      <w:r>
        <w:drawing>
          <wp:inline distT="0" distB="0" distL="114300" distR="114300">
            <wp:extent cx="4651375" cy="276733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651375" cy="2767330"/>
                    </a:xfrm>
                    <a:prstGeom prst="rect">
                      <a:avLst/>
                    </a:prstGeom>
                    <a:noFill/>
                    <a:ln>
                      <a:noFill/>
                    </a:ln>
                  </pic:spPr>
                </pic:pic>
              </a:graphicData>
            </a:graphic>
          </wp:inline>
        </w:drawing>
      </w:r>
    </w:p>
    <w:p>
      <w:pPr>
        <w:pStyle w:val="2"/>
        <w:pageBreakBefore w:val="0"/>
        <w:kinsoku/>
        <w:wordWrap/>
        <w:overflowPunct/>
        <w:topLinePunct w:val="0"/>
        <w:bidi w:val="0"/>
        <w:spacing w:beforeLines="0"/>
        <w:textAlignment w:val="auto"/>
      </w:pP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p>
    <w:p>
      <w:pPr>
        <w:pStyle w:val="26"/>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color w:val="auto"/>
          <w:highlight w:val="none"/>
        </w:rPr>
      </w:pPr>
      <w:bookmarkStart w:id="24" w:name="_Toc15377207"/>
      <w:bookmarkStart w:id="25"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4"/>
      <w:bookmarkEnd w:id="25"/>
    </w:p>
    <w:p>
      <w:pPr>
        <w:pageBreakBefore w:val="0"/>
        <w:kinsoku/>
        <w:wordWrap/>
        <w:overflowPunct/>
        <w:topLinePunct w:val="0"/>
        <w:bidi w:val="0"/>
        <w:spacing w:line="600" w:lineRule="exact"/>
        <w:ind w:firstLine="640" w:firstLineChars="200"/>
        <w:textAlignment w:val="auto"/>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445.53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75.45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144.98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600" w:lineRule="exact"/>
        <w:ind w:firstLine="643" w:firstLineChars="200"/>
        <w:textAlignment w:val="auto"/>
        <w:outlineLvl w:val="1"/>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pPr>
        <w:pStyle w:val="2"/>
        <w:pageBreakBefore w:val="0"/>
        <w:kinsoku/>
        <w:wordWrap/>
        <w:overflowPunct/>
        <w:topLinePunct w:val="0"/>
        <w:bidi w:val="0"/>
        <w:spacing w:beforeLines="0"/>
        <w:textAlignment w:val="auto"/>
      </w:pPr>
      <w:r>
        <w:drawing>
          <wp:inline distT="0" distB="0" distL="114300" distR="114300">
            <wp:extent cx="4657090" cy="2761615"/>
            <wp:effectExtent l="0" t="0" r="635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657090" cy="2761615"/>
                    </a:xfrm>
                    <a:prstGeom prst="rect">
                      <a:avLst/>
                    </a:prstGeom>
                    <a:noFill/>
                    <a:ln>
                      <a:noFill/>
                    </a:ln>
                  </pic:spPr>
                </pic:pic>
              </a:graphicData>
            </a:graphic>
          </wp:inline>
        </w:drawing>
      </w:r>
    </w:p>
    <w:p>
      <w:pPr>
        <w:pageBreakBefore w:val="0"/>
        <w:kinsoku/>
        <w:wordWrap/>
        <w:overflowPunct/>
        <w:topLinePunct w:val="0"/>
        <w:bidi w:val="0"/>
        <w:spacing w:line="600" w:lineRule="exact"/>
        <w:ind w:firstLine="640"/>
        <w:textAlignment w:val="auto"/>
        <w:rPr>
          <w:rFonts w:ascii="仿宋" w:hAnsi="仿宋" w:eastAsia="仿宋"/>
          <w:color w:val="auto"/>
          <w:sz w:val="32"/>
          <w:szCs w:val="32"/>
          <w:highlight w:val="none"/>
          <w:shd w:val="pct10" w:color="auto" w:fill="FFFFFF"/>
        </w:rPr>
      </w:pP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p>
    <w:p>
      <w:pPr>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color w:val="auto"/>
          <w:highlight w:val="none"/>
        </w:rPr>
      </w:pPr>
      <w:bookmarkStart w:id="26" w:name="_Toc15396606"/>
      <w:bookmarkStart w:id="27"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6"/>
      <w:bookmarkEnd w:id="27"/>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pageBreakBefore w:val="0"/>
        <w:kinsoku/>
        <w:wordWrap/>
        <w:overflowPunct/>
        <w:topLinePunct w:val="0"/>
        <w:bidi w:val="0"/>
        <w:spacing w:line="600" w:lineRule="exact"/>
        <w:textAlignment w:val="auto"/>
        <w:rPr>
          <w:rFonts w:ascii="仿宋" w:hAnsi="仿宋" w:eastAsia="仿宋"/>
          <w:color w:val="auto"/>
          <w:sz w:val="32"/>
          <w:szCs w:val="32"/>
          <w:highlight w:val="none"/>
        </w:rPr>
      </w:pPr>
    </w:p>
    <w:p>
      <w:pPr>
        <w:pStyle w:val="2"/>
        <w:pageBreakBefore w:val="0"/>
        <w:kinsoku/>
        <w:wordWrap/>
        <w:overflowPunct/>
        <w:topLinePunct w:val="0"/>
        <w:bidi w:val="0"/>
        <w:spacing w:beforeLines="0"/>
        <w:textAlignment w:val="auto"/>
      </w:pPr>
      <w:r>
        <w:drawing>
          <wp:inline distT="0" distB="0" distL="114300" distR="114300">
            <wp:extent cx="4651375" cy="2761615"/>
            <wp:effectExtent l="0" t="0" r="1206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651375" cy="2761615"/>
                    </a:xfrm>
                    <a:prstGeom prst="rect">
                      <a:avLst/>
                    </a:prstGeom>
                    <a:noFill/>
                    <a:ln>
                      <a:noFill/>
                    </a:ln>
                  </pic:spPr>
                </pic:pic>
              </a:graphicData>
            </a:graphic>
          </wp:inline>
        </w:drawing>
      </w: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p>
    <w:p>
      <w:pPr>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color w:val="auto"/>
          <w:highlight w:val="none"/>
        </w:rPr>
      </w:pPr>
      <w:bookmarkStart w:id="28" w:name="_Toc15396607"/>
      <w:bookmarkStart w:id="29"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8"/>
      <w:bookmarkEnd w:id="29"/>
    </w:p>
    <w:p>
      <w:pPr>
        <w:pageBreakBefore w:val="0"/>
        <w:kinsoku/>
        <w:wordWrap/>
        <w:overflowPunct/>
        <w:topLinePunct w:val="0"/>
        <w:bidi w:val="0"/>
        <w:spacing w:line="600" w:lineRule="exact"/>
        <w:ind w:firstLine="643" w:firstLineChars="200"/>
        <w:textAlignment w:val="auto"/>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600" w:lineRule="exact"/>
        <w:textAlignment w:val="auto"/>
        <w:rPr>
          <w:rFonts w:ascii="仿宋" w:hAnsi="仿宋" w:eastAsia="仿宋"/>
          <w:color w:val="auto"/>
          <w:sz w:val="32"/>
          <w:szCs w:val="32"/>
          <w:highlight w:val="none"/>
        </w:rPr>
      </w:pPr>
    </w:p>
    <w:p>
      <w:pPr>
        <w:pStyle w:val="2"/>
        <w:pageBreakBefore w:val="0"/>
        <w:kinsoku/>
        <w:wordWrap/>
        <w:overflowPunct/>
        <w:topLinePunct w:val="0"/>
        <w:bidi w:val="0"/>
        <w:spacing w:beforeLines="0"/>
        <w:textAlignment w:val="auto"/>
      </w:pPr>
      <w:r>
        <w:drawing>
          <wp:inline distT="0" distB="0" distL="114300" distR="114300">
            <wp:extent cx="4651375" cy="2761615"/>
            <wp:effectExtent l="0" t="0" r="12065"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651375" cy="2761615"/>
                    </a:xfrm>
                    <a:prstGeom prst="rect">
                      <a:avLst/>
                    </a:prstGeom>
                    <a:noFill/>
                    <a:ln>
                      <a:noFill/>
                    </a:ln>
                  </pic:spPr>
                </pic:pic>
              </a:graphicData>
            </a:graphic>
          </wp:inline>
        </w:drawing>
      </w:r>
    </w:p>
    <w:p>
      <w:pPr>
        <w:pStyle w:val="2"/>
        <w:pageBreakBefore w:val="0"/>
        <w:kinsoku/>
        <w:wordWrap/>
        <w:overflowPunct/>
        <w:topLinePunct w:val="0"/>
        <w:bidi w:val="0"/>
        <w:spacing w:beforeLines="0"/>
        <w:textAlignment w:val="auto"/>
      </w:pP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p>
    <w:p>
      <w:pPr>
        <w:pageBreakBefore w:val="0"/>
        <w:kinsoku/>
        <w:wordWrap/>
        <w:overflowPunct/>
        <w:topLinePunct w:val="0"/>
        <w:bidi w:val="0"/>
        <w:spacing w:line="600" w:lineRule="exact"/>
        <w:ind w:firstLine="643" w:firstLineChars="200"/>
        <w:textAlignment w:val="auto"/>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pPr>
        <w:pageBreakBefore w:val="0"/>
        <w:kinsoku/>
        <w:wordWrap/>
        <w:overflowPunct/>
        <w:topLinePunct w:val="0"/>
        <w:bidi w:val="0"/>
        <w:spacing w:line="600" w:lineRule="exact"/>
        <w:ind w:firstLine="640"/>
        <w:textAlignment w:val="auto"/>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590.51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公共安全支出</w:t>
      </w:r>
      <w:r>
        <w:rPr>
          <w:rFonts w:hint="eastAsia" w:ascii="仿宋" w:hAnsi="仿宋" w:eastAsia="仿宋"/>
          <w:b/>
          <w:color w:val="auto"/>
          <w:sz w:val="32"/>
          <w:szCs w:val="32"/>
          <w:highlight w:val="none"/>
          <w:lang w:val="en-US" w:eastAsia="zh-CN"/>
        </w:rPr>
        <w:t>528.94万元，占89.57%；</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22.09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13.38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26.1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600" w:lineRule="exact"/>
        <w:ind w:firstLine="640"/>
        <w:textAlignment w:val="auto"/>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pStyle w:val="2"/>
        <w:pageBreakBefore w:val="0"/>
        <w:kinsoku/>
        <w:wordWrap/>
        <w:overflowPunct/>
        <w:topLinePunct w:val="0"/>
        <w:bidi w:val="0"/>
        <w:spacing w:beforeLines="0"/>
        <w:textAlignment w:val="auto"/>
      </w:pPr>
      <w:r>
        <w:drawing>
          <wp:inline distT="0" distB="0" distL="114300" distR="114300">
            <wp:extent cx="4651375" cy="2584450"/>
            <wp:effectExtent l="0" t="0" r="1206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4651375" cy="2584450"/>
                    </a:xfrm>
                    <a:prstGeom prst="rect">
                      <a:avLst/>
                    </a:prstGeom>
                    <a:noFill/>
                    <a:ln>
                      <a:noFill/>
                    </a:ln>
                  </pic:spPr>
                </pic:pic>
              </a:graphicData>
            </a:graphic>
          </wp:inline>
        </w:drawing>
      </w: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ageBreakBefore w:val="0"/>
        <w:kinsoku/>
        <w:wordWrap/>
        <w:overflowPunct/>
        <w:topLinePunct w:val="0"/>
        <w:bidi w:val="0"/>
        <w:spacing w:line="600" w:lineRule="exact"/>
        <w:ind w:firstLine="640" w:firstLineChars="200"/>
        <w:textAlignment w:val="auto"/>
        <w:rPr>
          <w:rFonts w:ascii="仿宋" w:hAnsi="仿宋" w:eastAsia="仿宋"/>
          <w:color w:val="auto"/>
          <w:sz w:val="32"/>
          <w:szCs w:val="32"/>
          <w:highlight w:val="none"/>
        </w:rPr>
      </w:pPr>
    </w:p>
    <w:p>
      <w:pPr>
        <w:pageBreakBefore w:val="0"/>
        <w:kinsoku/>
        <w:wordWrap/>
        <w:overflowPunct/>
        <w:topLinePunct w:val="0"/>
        <w:bidi w:val="0"/>
        <w:spacing w:line="600" w:lineRule="exact"/>
        <w:ind w:firstLine="643" w:firstLineChars="200"/>
        <w:textAlignment w:val="auto"/>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pPr>
        <w:pageBreakBefore w:val="0"/>
        <w:kinsoku/>
        <w:wordWrap/>
        <w:overflowPunct/>
        <w:topLinePunct w:val="0"/>
        <w:bidi w:val="0"/>
        <w:spacing w:line="600" w:lineRule="exact"/>
        <w:ind w:firstLine="643" w:firstLineChars="200"/>
        <w:textAlignment w:val="auto"/>
        <w:outlineLvl w:val="2"/>
        <w:rPr>
          <w:rFonts w:ascii="仿宋" w:hAnsi="仿宋" w:eastAsia="仿宋"/>
          <w:color w:val="auto"/>
          <w:sz w:val="32"/>
          <w:szCs w:val="32"/>
          <w:highlight w:val="none"/>
        </w:rPr>
      </w:pPr>
      <w:bookmarkStart w:id="33" w:name="_Toc15377444"/>
      <w:bookmarkStart w:id="34" w:name="_Toc15378460"/>
      <w:bookmarkStart w:id="35"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590.51万元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3"/>
      <w:bookmarkEnd w:id="34"/>
      <w:bookmarkEnd w:id="35"/>
    </w:p>
    <w:p>
      <w:pPr>
        <w:pageBreakBefore w:val="0"/>
        <w:kinsoku/>
        <w:wordWrap/>
        <w:overflowPunct/>
        <w:topLinePunct w:val="0"/>
        <w:bidi w:val="0"/>
        <w:spacing w:line="600" w:lineRule="exact"/>
        <w:ind w:firstLine="643" w:firstLineChars="200"/>
        <w:textAlignment w:val="auto"/>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公共安全支出（</w:t>
      </w:r>
      <w:r>
        <w:rPr>
          <w:rStyle w:val="16"/>
          <w:rFonts w:hint="eastAsia" w:ascii="仿宋" w:hAnsi="仿宋" w:eastAsia="仿宋"/>
          <w:bCs/>
          <w:color w:val="auto"/>
          <w:sz w:val="32"/>
          <w:szCs w:val="32"/>
          <w:highlight w:val="none"/>
          <w:lang w:val="en-US" w:eastAsia="zh-CN"/>
        </w:rPr>
        <w:t>204</w:t>
      </w:r>
      <w:r>
        <w:rPr>
          <w:rStyle w:val="16"/>
          <w:rFonts w:hint="eastAsia" w:ascii="仿宋" w:hAnsi="仿宋" w:eastAsia="仿宋"/>
          <w:bCs/>
          <w:color w:val="auto"/>
          <w:sz w:val="32"/>
          <w:szCs w:val="32"/>
          <w:highlight w:val="none"/>
        </w:rPr>
        <w:t>）公安（</w:t>
      </w:r>
      <w:r>
        <w:rPr>
          <w:rStyle w:val="16"/>
          <w:rFonts w:hint="eastAsia" w:ascii="仿宋" w:hAnsi="仿宋" w:eastAsia="仿宋"/>
          <w:bCs/>
          <w:color w:val="auto"/>
          <w:sz w:val="32"/>
          <w:szCs w:val="32"/>
          <w:highlight w:val="none"/>
          <w:lang w:val="en-US" w:eastAsia="zh-CN"/>
        </w:rPr>
        <w:t>02</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行政</w:t>
      </w:r>
      <w:r>
        <w:rPr>
          <w:rStyle w:val="16"/>
          <w:rFonts w:hint="eastAsia" w:ascii="仿宋" w:hAnsi="仿宋" w:eastAsia="仿宋"/>
          <w:bCs/>
          <w:color w:val="auto"/>
          <w:sz w:val="32"/>
          <w:szCs w:val="32"/>
          <w:highlight w:val="none"/>
        </w:rPr>
        <w:t>运行（</w:t>
      </w:r>
      <w:r>
        <w:rPr>
          <w:rStyle w:val="16"/>
          <w:rFonts w:hint="eastAsia" w:ascii="仿宋" w:hAnsi="仿宋" w:eastAsia="仿宋"/>
          <w:bCs/>
          <w:color w:val="auto"/>
          <w:sz w:val="32"/>
          <w:szCs w:val="32"/>
          <w:highlight w:val="none"/>
          <w:lang w:val="en-US" w:eastAsia="zh-CN"/>
        </w:rPr>
        <w:t>01</w:t>
      </w:r>
      <w:r>
        <w:rPr>
          <w:rStyle w:val="16"/>
          <w:rFonts w:hint="eastAsia" w:ascii="仿宋" w:hAnsi="仿宋" w:eastAsia="仿宋"/>
          <w:bCs/>
          <w:color w:val="auto"/>
          <w:sz w:val="32"/>
          <w:szCs w:val="32"/>
          <w:highlight w:val="none"/>
        </w:rPr>
        <w:t>）</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383.96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ageBreakBefore w:val="0"/>
        <w:kinsoku/>
        <w:wordWrap/>
        <w:overflowPunct/>
        <w:topLinePunct w:val="0"/>
        <w:bidi w:val="0"/>
        <w:spacing w:line="600" w:lineRule="exact"/>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公共安全支出（</w:t>
      </w:r>
      <w:r>
        <w:rPr>
          <w:rStyle w:val="16"/>
          <w:rFonts w:hint="eastAsia" w:ascii="仿宋" w:hAnsi="仿宋" w:eastAsia="仿宋"/>
          <w:bCs/>
          <w:color w:val="auto"/>
          <w:sz w:val="32"/>
          <w:szCs w:val="32"/>
          <w:highlight w:val="none"/>
          <w:lang w:val="en-US" w:eastAsia="zh-CN"/>
        </w:rPr>
        <w:t>204</w:t>
      </w:r>
      <w:r>
        <w:rPr>
          <w:rStyle w:val="16"/>
          <w:rFonts w:hint="eastAsia" w:ascii="仿宋" w:hAnsi="仿宋" w:eastAsia="仿宋"/>
          <w:bCs/>
          <w:color w:val="auto"/>
          <w:sz w:val="32"/>
          <w:szCs w:val="32"/>
          <w:highlight w:val="none"/>
        </w:rPr>
        <w:t>）公安（</w:t>
      </w:r>
      <w:r>
        <w:rPr>
          <w:rStyle w:val="16"/>
          <w:rFonts w:hint="eastAsia" w:ascii="仿宋" w:hAnsi="仿宋" w:eastAsia="仿宋"/>
          <w:bCs/>
          <w:color w:val="auto"/>
          <w:sz w:val="32"/>
          <w:szCs w:val="32"/>
          <w:highlight w:val="none"/>
          <w:lang w:val="en-US" w:eastAsia="zh-CN"/>
        </w:rPr>
        <w:t>02</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一般行政管理事务</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val="en-US" w:eastAsia="zh-CN"/>
        </w:rPr>
        <w:t>02</w:t>
      </w:r>
      <w:r>
        <w:rPr>
          <w:rStyle w:val="16"/>
          <w:rFonts w:hint="eastAsia" w:ascii="仿宋" w:hAnsi="仿宋" w:eastAsia="仿宋"/>
          <w:bCs/>
          <w:color w:val="auto"/>
          <w:sz w:val="32"/>
          <w:szCs w:val="32"/>
          <w:highlight w:val="none"/>
        </w:rPr>
        <w:t>）</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144.98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ageBreakBefore w:val="0"/>
        <w:kinsoku/>
        <w:wordWrap/>
        <w:overflowPunct/>
        <w:topLinePunct w:val="0"/>
        <w:bidi w:val="0"/>
        <w:spacing w:line="600" w:lineRule="exact"/>
        <w:ind w:firstLine="420" w:firstLineChars="200"/>
        <w:textAlignment w:val="auto"/>
      </w:pPr>
    </w:p>
    <w:p>
      <w:pPr>
        <w:pageBreakBefore w:val="0"/>
        <w:kinsoku/>
        <w:wordWrap/>
        <w:overflowPunct/>
        <w:topLinePunct w:val="0"/>
        <w:bidi w:val="0"/>
        <w:spacing w:line="600" w:lineRule="exact"/>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w:t>
      </w:r>
      <w:r>
        <w:rPr>
          <w:rStyle w:val="16"/>
          <w:rFonts w:hint="eastAsia" w:ascii="仿宋" w:hAnsi="仿宋" w:eastAsia="仿宋"/>
          <w:bCs/>
          <w:color w:val="auto"/>
          <w:sz w:val="32"/>
          <w:szCs w:val="32"/>
          <w:highlight w:val="none"/>
          <w:lang w:val="en-US" w:eastAsia="zh-CN"/>
        </w:rPr>
        <w:t>208</w:t>
      </w:r>
      <w:r>
        <w:rPr>
          <w:rStyle w:val="16"/>
          <w:rFonts w:hint="eastAsia" w:ascii="仿宋" w:hAnsi="仿宋" w:eastAsia="仿宋"/>
          <w:bCs/>
          <w:color w:val="auto"/>
          <w:sz w:val="32"/>
          <w:szCs w:val="32"/>
          <w:highlight w:val="none"/>
        </w:rPr>
        <w:t>）行政事业单位养老支出（</w:t>
      </w:r>
      <w:r>
        <w:rPr>
          <w:rStyle w:val="16"/>
          <w:rFonts w:hint="eastAsia" w:ascii="仿宋" w:hAnsi="仿宋" w:eastAsia="仿宋"/>
          <w:bCs/>
          <w:color w:val="auto"/>
          <w:sz w:val="32"/>
          <w:szCs w:val="32"/>
          <w:highlight w:val="none"/>
          <w:lang w:val="en-US" w:eastAsia="zh-CN"/>
        </w:rPr>
        <w:t>05</w:t>
      </w:r>
      <w:r>
        <w:rPr>
          <w:rStyle w:val="16"/>
          <w:rFonts w:hint="eastAsia" w:ascii="仿宋" w:hAnsi="仿宋" w:eastAsia="仿宋"/>
          <w:bCs/>
          <w:color w:val="auto"/>
          <w:sz w:val="32"/>
          <w:szCs w:val="32"/>
          <w:highlight w:val="none"/>
        </w:rPr>
        <w:t>）  机关事业单位基本养老保险缴费支出（</w:t>
      </w:r>
      <w:r>
        <w:rPr>
          <w:rStyle w:val="16"/>
          <w:rFonts w:hint="eastAsia" w:ascii="仿宋" w:hAnsi="仿宋" w:eastAsia="仿宋"/>
          <w:bCs/>
          <w:color w:val="auto"/>
          <w:sz w:val="32"/>
          <w:szCs w:val="32"/>
          <w:highlight w:val="none"/>
          <w:lang w:val="en-US" w:eastAsia="zh-CN"/>
        </w:rPr>
        <w:t>05</w:t>
      </w:r>
      <w:r>
        <w:rPr>
          <w:rStyle w:val="16"/>
          <w:rFonts w:hint="eastAsia" w:ascii="仿宋" w:hAnsi="仿宋" w:eastAsia="仿宋"/>
          <w:bCs/>
          <w:color w:val="auto"/>
          <w:sz w:val="32"/>
          <w:szCs w:val="32"/>
          <w:highlight w:val="none"/>
        </w:rPr>
        <w:t>）</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22.09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ageBreakBefore w:val="0"/>
        <w:kinsoku/>
        <w:wordWrap/>
        <w:overflowPunct/>
        <w:topLinePunct w:val="0"/>
        <w:bidi w:val="0"/>
        <w:spacing w:line="600" w:lineRule="exact"/>
        <w:ind w:firstLine="643" w:firstLineChars="200"/>
        <w:textAlignment w:val="auto"/>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val="en-US" w:eastAsia="zh-CN"/>
        </w:rPr>
        <w:t>210</w:t>
      </w:r>
      <w:r>
        <w:rPr>
          <w:rStyle w:val="16"/>
          <w:rFonts w:hint="eastAsia" w:ascii="仿宋" w:hAnsi="仿宋" w:eastAsia="仿宋"/>
          <w:bCs/>
          <w:color w:val="auto"/>
          <w:sz w:val="32"/>
          <w:szCs w:val="32"/>
          <w:highlight w:val="none"/>
        </w:rPr>
        <w:t>）行政事业单位医疗（</w:t>
      </w:r>
      <w:r>
        <w:rPr>
          <w:rStyle w:val="16"/>
          <w:rFonts w:hint="eastAsia" w:ascii="仿宋" w:hAnsi="仿宋" w:eastAsia="仿宋"/>
          <w:bCs/>
          <w:color w:val="auto"/>
          <w:sz w:val="32"/>
          <w:szCs w:val="32"/>
          <w:highlight w:val="none"/>
          <w:lang w:val="en-US" w:eastAsia="zh-CN"/>
        </w:rPr>
        <w:t>11</w:t>
      </w:r>
      <w:r>
        <w:rPr>
          <w:rStyle w:val="16"/>
          <w:rFonts w:hint="eastAsia" w:ascii="仿宋" w:hAnsi="仿宋" w:eastAsia="仿宋"/>
          <w:bCs/>
          <w:color w:val="auto"/>
          <w:sz w:val="32"/>
          <w:szCs w:val="32"/>
          <w:highlight w:val="none"/>
        </w:rPr>
        <w:t>）  行政单位医疗（</w:t>
      </w:r>
      <w:r>
        <w:rPr>
          <w:rStyle w:val="16"/>
          <w:rFonts w:hint="eastAsia" w:ascii="仿宋" w:hAnsi="仿宋" w:eastAsia="仿宋"/>
          <w:bCs/>
          <w:color w:val="auto"/>
          <w:sz w:val="32"/>
          <w:szCs w:val="32"/>
          <w:highlight w:val="none"/>
          <w:lang w:val="en-US" w:eastAsia="zh-CN"/>
        </w:rPr>
        <w:t>01</w:t>
      </w:r>
      <w:r>
        <w:rPr>
          <w:rStyle w:val="16"/>
          <w:rFonts w:hint="eastAsia" w:ascii="仿宋" w:hAnsi="仿宋" w:eastAsia="仿宋"/>
          <w:bCs/>
          <w:color w:val="auto"/>
          <w:sz w:val="32"/>
          <w:szCs w:val="32"/>
          <w:highlight w:val="none"/>
        </w:rPr>
        <w:t>）</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13.38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ageBreakBefore w:val="0"/>
        <w:kinsoku/>
        <w:wordWrap/>
        <w:overflowPunct/>
        <w:topLinePunct w:val="0"/>
        <w:bidi w:val="0"/>
        <w:spacing w:line="600" w:lineRule="exact"/>
        <w:ind w:firstLine="643" w:firstLineChars="200"/>
        <w:textAlignment w:val="auto"/>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13</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val="en-US" w:eastAsia="zh-CN"/>
        </w:rPr>
        <w:t>221</w:t>
      </w:r>
      <w:r>
        <w:rPr>
          <w:rStyle w:val="16"/>
          <w:rFonts w:hint="eastAsia" w:ascii="仿宋" w:hAnsi="仿宋" w:eastAsia="仿宋"/>
          <w:bCs/>
          <w:color w:val="auto"/>
          <w:sz w:val="32"/>
          <w:szCs w:val="32"/>
          <w:highlight w:val="none"/>
        </w:rPr>
        <w:t>）住房改革支出（</w:t>
      </w:r>
      <w:r>
        <w:rPr>
          <w:rStyle w:val="16"/>
          <w:rFonts w:hint="eastAsia" w:ascii="仿宋" w:hAnsi="仿宋" w:eastAsia="仿宋"/>
          <w:bCs/>
          <w:color w:val="auto"/>
          <w:sz w:val="32"/>
          <w:szCs w:val="32"/>
          <w:highlight w:val="none"/>
          <w:lang w:val="en-US" w:eastAsia="zh-CN"/>
        </w:rPr>
        <w:t>02</w:t>
      </w:r>
      <w:r>
        <w:rPr>
          <w:rStyle w:val="16"/>
          <w:rFonts w:hint="eastAsia" w:ascii="仿宋" w:hAnsi="仿宋" w:eastAsia="仿宋"/>
          <w:bCs/>
          <w:color w:val="auto"/>
          <w:sz w:val="32"/>
          <w:szCs w:val="32"/>
          <w:highlight w:val="none"/>
        </w:rPr>
        <w:t>）住房公积金（</w:t>
      </w:r>
      <w:r>
        <w:rPr>
          <w:rStyle w:val="16"/>
          <w:rFonts w:hint="eastAsia" w:ascii="仿宋" w:hAnsi="仿宋" w:eastAsia="仿宋"/>
          <w:bCs/>
          <w:color w:val="auto"/>
          <w:sz w:val="32"/>
          <w:szCs w:val="32"/>
          <w:highlight w:val="none"/>
          <w:lang w:val="en-US" w:eastAsia="zh-CN"/>
        </w:rPr>
        <w:t>01</w:t>
      </w:r>
      <w:r>
        <w:rPr>
          <w:rStyle w:val="16"/>
          <w:rFonts w:hint="eastAsia" w:ascii="仿宋" w:hAnsi="仿宋" w:eastAsia="仿宋"/>
          <w:bCs/>
          <w:color w:val="auto"/>
          <w:sz w:val="32"/>
          <w:szCs w:val="32"/>
          <w:highlight w:val="none"/>
        </w:rPr>
        <w:t>）</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26.1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p>
    <w:p>
      <w:pPr>
        <w:pageBreakBefore w:val="0"/>
        <w:tabs>
          <w:tab w:val="right" w:pos="8306"/>
        </w:tabs>
        <w:kinsoku/>
        <w:wordWrap/>
        <w:overflowPunct/>
        <w:topLinePunct w:val="0"/>
        <w:bidi w:val="0"/>
        <w:spacing w:line="600" w:lineRule="exact"/>
        <w:ind w:firstLine="640"/>
        <w:textAlignment w:val="auto"/>
        <w:outlineLvl w:val="1"/>
        <w:rPr>
          <w:rStyle w:val="28"/>
          <w:color w:val="auto"/>
          <w:highlight w:val="none"/>
        </w:rPr>
      </w:pPr>
      <w:bookmarkStart w:id="36" w:name="_Toc15396608"/>
      <w:bookmarkStart w:id="3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6"/>
      <w:bookmarkEnd w:id="37"/>
      <w:r>
        <w:rPr>
          <w:rStyle w:val="28"/>
          <w:rFonts w:ascii="黑体" w:hAnsi="黑体" w:eastAsia="黑体"/>
          <w:b w:val="0"/>
          <w:color w:val="auto"/>
          <w:highlight w:val="none"/>
        </w:rPr>
        <w:tab/>
      </w:r>
    </w:p>
    <w:p>
      <w:pPr>
        <w:pageBreakBefore w:val="0"/>
        <w:kinsoku/>
        <w:wordWrap/>
        <w:overflowPunct/>
        <w:topLinePunct w:val="0"/>
        <w:bidi w:val="0"/>
        <w:spacing w:line="600"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445.53</w:t>
      </w:r>
      <w:r>
        <w:rPr>
          <w:rFonts w:hint="eastAsia" w:ascii="仿宋" w:hAnsi="仿宋" w:eastAsia="仿宋"/>
          <w:color w:val="auto"/>
          <w:sz w:val="32"/>
          <w:szCs w:val="32"/>
          <w:highlight w:val="none"/>
        </w:rPr>
        <w:t>万元，其中：</w:t>
      </w:r>
    </w:p>
    <w:p>
      <w:pPr>
        <w:pageBreakBefore w:val="0"/>
        <w:kinsoku/>
        <w:wordWrap/>
        <w:overflowPunct/>
        <w:topLinePunct w:val="0"/>
        <w:bidi w:val="0"/>
        <w:spacing w:line="600"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364.49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81.04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600" w:lineRule="exact"/>
        <w:ind w:firstLine="645"/>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p>
    <w:p>
      <w:pPr>
        <w:pageBreakBefore w:val="0"/>
        <w:kinsoku/>
        <w:wordWrap/>
        <w:overflowPunct/>
        <w:topLinePunct w:val="0"/>
        <w:bidi w:val="0"/>
        <w:spacing w:line="600" w:lineRule="exact"/>
        <w:ind w:firstLine="640"/>
        <w:textAlignment w:val="auto"/>
        <w:outlineLvl w:val="1"/>
        <w:rPr>
          <w:rStyle w:val="28"/>
          <w:rFonts w:ascii="黑体" w:hAnsi="黑体" w:eastAsia="黑体"/>
          <w:b w:val="0"/>
          <w:color w:val="auto"/>
          <w:highlight w:val="none"/>
        </w:rPr>
      </w:pPr>
      <w:bookmarkStart w:id="38" w:name="_Toc15396609"/>
      <w:bookmarkStart w:id="39" w:name="_Toc15377215"/>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38"/>
      <w:bookmarkEnd w:id="39"/>
    </w:p>
    <w:p>
      <w:pPr>
        <w:pageBreakBefore w:val="0"/>
        <w:kinsoku/>
        <w:wordWrap/>
        <w:overflowPunct/>
        <w:topLinePunct w:val="0"/>
        <w:bidi w:val="0"/>
        <w:spacing w:line="600" w:lineRule="exact"/>
        <w:ind w:firstLine="640"/>
        <w:textAlignment w:val="auto"/>
        <w:outlineLvl w:val="2"/>
        <w:rPr>
          <w:rFonts w:ascii="仿宋" w:hAnsi="仿宋" w:eastAsia="仿宋"/>
          <w:b/>
          <w:color w:val="auto"/>
          <w:sz w:val="32"/>
          <w:szCs w:val="32"/>
          <w:highlight w:val="none"/>
        </w:rPr>
      </w:pPr>
      <w:bookmarkStart w:id="40" w:name="_Toc15377216"/>
      <w:r>
        <w:rPr>
          <w:rFonts w:hint="eastAsia" w:ascii="仿宋" w:hAnsi="仿宋" w:eastAsia="仿宋"/>
          <w:b/>
          <w:color w:val="auto"/>
          <w:sz w:val="32"/>
          <w:szCs w:val="32"/>
          <w:highlight w:val="none"/>
        </w:rPr>
        <w:t>（一）“三公”经费财政拨款支出决算总体情况说明</w:t>
      </w:r>
      <w:bookmarkEnd w:id="40"/>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1.54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pageBreakBefore w:val="0"/>
        <w:kinsoku/>
        <w:wordWrap/>
        <w:overflowPunct/>
        <w:topLinePunct w:val="0"/>
        <w:bidi w:val="0"/>
        <w:spacing w:line="600" w:lineRule="exact"/>
        <w:ind w:firstLine="640"/>
        <w:textAlignment w:val="auto"/>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pageBreakBefore w:val="0"/>
        <w:kinsoku/>
        <w:wordWrap/>
        <w:overflowPunct/>
        <w:topLinePunct w:val="0"/>
        <w:bidi w:val="0"/>
        <w:spacing w:line="600"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89.47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10.53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ageBreakBefore w:val="0"/>
        <w:kinsoku/>
        <w:wordWrap/>
        <w:overflowPunct/>
        <w:topLinePunct w:val="0"/>
        <w:bidi w:val="0"/>
        <w:spacing w:beforeLines="0"/>
        <w:textAlignment w:val="auto"/>
        <w:rPr>
          <w:rFonts w:hint="eastAsia"/>
        </w:rPr>
      </w:pPr>
      <w:r>
        <w:drawing>
          <wp:inline distT="0" distB="0" distL="114300" distR="114300">
            <wp:extent cx="4645025" cy="2761615"/>
            <wp:effectExtent l="0" t="0" r="3175" b="12065"/>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5"/>
                    <a:stretch>
                      <a:fillRect/>
                    </a:stretch>
                  </pic:blipFill>
                  <pic:spPr>
                    <a:xfrm>
                      <a:off x="0" y="0"/>
                      <a:ext cx="4645025" cy="2761615"/>
                    </a:xfrm>
                    <a:prstGeom prst="rect">
                      <a:avLst/>
                    </a:prstGeom>
                    <a:noFill/>
                    <a:ln>
                      <a:noFill/>
                    </a:ln>
                  </pic:spPr>
                </pic:pic>
              </a:graphicData>
            </a:graphic>
          </wp:inline>
        </w:drawing>
      </w:r>
    </w:p>
    <w:p>
      <w:pPr>
        <w:pageBreakBefore w:val="0"/>
        <w:kinsoku/>
        <w:wordWrap/>
        <w:overflowPunct/>
        <w:topLinePunct w:val="0"/>
        <w:bidi w:val="0"/>
        <w:spacing w:line="600" w:lineRule="exact"/>
        <w:ind w:firstLine="64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ageBreakBefore w:val="0"/>
        <w:kinsoku/>
        <w:wordWrap/>
        <w:overflowPunct/>
        <w:topLinePunct w:val="0"/>
        <w:bidi w:val="0"/>
        <w:spacing w:line="600" w:lineRule="exact"/>
        <w:ind w:firstLine="640"/>
        <w:textAlignment w:val="auto"/>
        <w:rPr>
          <w:rFonts w:ascii="仿宋_GB2312" w:eastAsia="仿宋_GB2312"/>
          <w:b/>
          <w:color w:val="auto"/>
          <w:sz w:val="32"/>
          <w:szCs w:val="32"/>
          <w:highlight w:val="none"/>
        </w:rPr>
      </w:pPr>
      <w:bookmarkStart w:id="42" w:name="_Toc15396610"/>
      <w:bookmarkStart w:id="43" w:name="_Toc15377218"/>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pPr>
        <w:pageBreakBefore w:val="0"/>
        <w:kinsoku/>
        <w:wordWrap/>
        <w:overflowPunct/>
        <w:topLinePunct w:val="0"/>
        <w:bidi w:val="0"/>
        <w:spacing w:line="600" w:lineRule="exact"/>
        <w:ind w:firstLine="643" w:firstLineChars="200"/>
        <w:textAlignment w:val="auto"/>
        <w:rPr>
          <w:rFonts w:hint="eastAsia" w:ascii="仿宋" w:hAnsi="仿宋" w:eastAsia="仿宋"/>
          <w:color w:val="auto"/>
          <w:sz w:val="32"/>
          <w:szCs w:val="32"/>
          <w:highlight w:val="none"/>
          <w:lang w:eastAsia="zh-CN"/>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1.36</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 w:hAnsi="仿宋" w:eastAsia="仿宋"/>
          <w:color w:val="auto"/>
          <w:sz w:val="32"/>
          <w:szCs w:val="32"/>
          <w:highlight w:val="none"/>
          <w:lang w:val="en-US" w:eastAsia="zh-CN"/>
        </w:rPr>
        <w:t>2022年新增部门决算单位</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600" w:lineRule="exact"/>
        <w:ind w:firstLine="640"/>
        <w:textAlignment w:val="auto"/>
        <w:rPr>
          <w:rFonts w:ascii="仿宋_GB2312" w:eastAsia="仿宋_GB2312"/>
          <w:b/>
          <w:color w:val="auto"/>
          <w:sz w:val="32"/>
          <w:szCs w:val="32"/>
          <w:highlight w:val="none"/>
        </w:rPr>
      </w:pPr>
    </w:p>
    <w:p>
      <w:pPr>
        <w:pageBreakBefore w:val="0"/>
        <w:kinsoku/>
        <w:wordWrap/>
        <w:overflowPunct/>
        <w:topLinePunct w:val="0"/>
        <w:bidi w:val="0"/>
        <w:spacing w:line="60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、其他车辆</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w:t>
      </w:r>
    </w:p>
    <w:p>
      <w:pPr>
        <w:pageBreakBefore w:val="0"/>
        <w:kinsoku/>
        <w:wordWrap/>
        <w:overflowPunct/>
        <w:topLinePunct w:val="0"/>
        <w:bidi w:val="0"/>
        <w:spacing w:line="60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1.36</w:t>
      </w:r>
      <w:r>
        <w:rPr>
          <w:rFonts w:hint="eastAsia" w:ascii="仿宋_GB2312" w:eastAsia="仿宋_GB2312"/>
          <w:color w:val="auto"/>
          <w:sz w:val="32"/>
          <w:szCs w:val="32"/>
          <w:highlight w:val="none"/>
        </w:rPr>
        <w:t>万元。主要用于等所需的公务用车燃料费、维修费、过路过桥费、保险费等支出。</w:t>
      </w:r>
    </w:p>
    <w:p>
      <w:pPr>
        <w:pageBreakBefore w:val="0"/>
        <w:kinsoku/>
        <w:wordWrap/>
        <w:overflowPunct/>
        <w:topLinePunct w:val="0"/>
        <w:bidi w:val="0"/>
        <w:spacing w:line="600" w:lineRule="exact"/>
        <w:ind w:firstLine="643" w:firstLineChars="20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0.16</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r>
        <w:rPr>
          <w:rFonts w:hint="eastAsia" w:ascii="仿宋_GB2312" w:eastAsia="仿宋_GB2312"/>
          <w:color w:val="auto"/>
          <w:sz w:val="32"/>
          <w:szCs w:val="32"/>
          <w:highlight w:val="none"/>
        </w:rPr>
        <w:t>。</w:t>
      </w:r>
    </w:p>
    <w:p>
      <w:pPr>
        <w:pageBreakBefore w:val="0"/>
        <w:numPr>
          <w:ilvl w:val="0"/>
          <w:numId w:val="0"/>
        </w:numPr>
        <w:kinsoku/>
        <w:wordWrap/>
        <w:overflowPunct/>
        <w:topLinePunct w:val="0"/>
        <w:bidi w:val="0"/>
        <w:spacing w:line="600"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0.16</w:t>
      </w:r>
      <w:r>
        <w:rPr>
          <w:rFonts w:hint="eastAsia" w:ascii="仿宋_GB2312" w:eastAsia="仿宋_GB2312"/>
          <w:color w:val="auto"/>
          <w:sz w:val="32"/>
          <w:szCs w:val="32"/>
          <w:highlight w:val="none"/>
        </w:rPr>
        <w:t>万元，主要用于执行公务、开展业务活动开支的交通费、住宿费、用餐费等。</w:t>
      </w:r>
    </w:p>
    <w:p>
      <w:pPr>
        <w:pageBreakBefore w:val="0"/>
        <w:kinsoku/>
        <w:wordWrap/>
        <w:overflowPunct/>
        <w:topLinePunct w:val="0"/>
        <w:bidi w:val="0"/>
        <w:spacing w:line="600" w:lineRule="exact"/>
        <w:ind w:firstLine="643" w:firstLineChars="200"/>
        <w:textAlignment w:val="auto"/>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600" w:lineRule="exact"/>
        <w:ind w:firstLine="640"/>
        <w:textAlignment w:val="auto"/>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2"/>
      <w:bookmarkEnd w:id="43"/>
    </w:p>
    <w:p>
      <w:pPr>
        <w:pageBreakBefore w:val="0"/>
        <w:kinsoku/>
        <w:wordWrap/>
        <w:overflowPunct/>
        <w:topLinePunct w:val="0"/>
        <w:bidi w:val="0"/>
        <w:spacing w:line="60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600" w:lineRule="exact"/>
        <w:ind w:firstLine="640"/>
        <w:textAlignment w:val="auto"/>
        <w:rPr>
          <w:rFonts w:ascii="仿宋_GB2312" w:eastAsia="仿宋_GB2312"/>
          <w:color w:val="auto"/>
          <w:sz w:val="32"/>
          <w:szCs w:val="32"/>
          <w:highlight w:val="none"/>
        </w:rPr>
      </w:pPr>
    </w:p>
    <w:p>
      <w:pPr>
        <w:pageBreakBefore w:val="0"/>
        <w:numPr>
          <w:ilvl w:val="0"/>
          <w:numId w:val="2"/>
        </w:numPr>
        <w:kinsoku/>
        <w:wordWrap/>
        <w:overflowPunct/>
        <w:topLinePunct w:val="0"/>
        <w:bidi w:val="0"/>
        <w:spacing w:line="600" w:lineRule="exact"/>
        <w:ind w:firstLine="640"/>
        <w:textAlignment w:val="auto"/>
        <w:outlineLvl w:val="1"/>
        <w:rPr>
          <w:rStyle w:val="28"/>
          <w:rFonts w:ascii="黑体" w:hAnsi="黑体" w:eastAsia="黑体"/>
          <w:b w:val="0"/>
          <w:color w:val="auto"/>
          <w:highlight w:val="none"/>
        </w:rPr>
      </w:pPr>
      <w:bookmarkStart w:id="44" w:name="_Toc15377219"/>
      <w:bookmarkStart w:id="45" w:name="_Toc15396611"/>
      <w:r>
        <w:rPr>
          <w:rStyle w:val="28"/>
          <w:rFonts w:hint="eastAsia" w:ascii="黑体" w:hAnsi="黑体" w:eastAsia="黑体"/>
          <w:b w:val="0"/>
          <w:color w:val="auto"/>
          <w:highlight w:val="none"/>
        </w:rPr>
        <w:t>国有资本经营预算支出决算情况说明</w:t>
      </w:r>
      <w:bookmarkEnd w:id="44"/>
      <w:bookmarkEnd w:id="45"/>
    </w:p>
    <w:p>
      <w:pPr>
        <w:pageBreakBefore w:val="0"/>
        <w:kinsoku/>
        <w:wordWrap/>
        <w:overflowPunct/>
        <w:topLinePunct w:val="0"/>
        <w:bidi w:val="0"/>
        <w:spacing w:line="60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80" w:lineRule="exact"/>
        <w:jc w:val="center"/>
        <w:textAlignment w:val="auto"/>
        <w:rPr>
          <w:rFonts w:ascii="方正小标宋简体" w:hAnsi="方正小标宋简体" w:eastAsia="方正小标宋简体" w:cs="方正小标宋简体"/>
          <w:color w:val="auto"/>
          <w:sz w:val="44"/>
          <w:szCs w:val="44"/>
          <w:highlight w:val="none"/>
        </w:rPr>
      </w:pPr>
    </w:p>
    <w:p>
      <w:pPr>
        <w:pageBreakBefore w:val="0"/>
        <w:numPr>
          <w:ilvl w:val="0"/>
          <w:numId w:val="2"/>
        </w:numPr>
        <w:kinsoku/>
        <w:wordWrap/>
        <w:overflowPunct/>
        <w:topLinePunct w:val="0"/>
        <w:bidi w:val="0"/>
        <w:spacing w:line="600" w:lineRule="exact"/>
        <w:ind w:firstLine="640"/>
        <w:textAlignment w:val="auto"/>
        <w:outlineLvl w:val="1"/>
        <w:rPr>
          <w:rStyle w:val="28"/>
          <w:rFonts w:hint="eastAsia" w:ascii="黑体" w:hAnsi="黑体" w:eastAsia="黑体"/>
          <w:b w:val="0"/>
          <w:color w:val="auto"/>
          <w:highlight w:val="none"/>
        </w:rPr>
      </w:pPr>
      <w:bookmarkStart w:id="46" w:name="_Toc15396612"/>
      <w:bookmarkStart w:id="47" w:name="_Toc15377221"/>
      <w:r>
        <w:rPr>
          <w:rStyle w:val="28"/>
          <w:rFonts w:hint="eastAsia" w:ascii="黑体" w:hAnsi="黑体" w:eastAsia="黑体"/>
          <w:b w:val="0"/>
          <w:color w:val="auto"/>
          <w:highlight w:val="none"/>
        </w:rPr>
        <w:t>其他重要事项的情况说明</w:t>
      </w:r>
      <w:bookmarkEnd w:id="46"/>
      <w:bookmarkEnd w:id="47"/>
    </w:p>
    <w:p>
      <w:pPr>
        <w:pageBreakBefore w:val="0"/>
        <w:kinsoku/>
        <w:wordWrap/>
        <w:overflowPunct/>
        <w:topLinePunct w:val="0"/>
        <w:bidi w:val="0"/>
        <w:spacing w:line="600" w:lineRule="exact"/>
        <w:ind w:firstLine="643" w:firstLineChars="200"/>
        <w:textAlignment w:val="auto"/>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pPr>
        <w:pageBreakBefore w:val="0"/>
        <w:kinsoku/>
        <w:wordWrap/>
        <w:overflowPunct/>
        <w:topLinePunct w:val="0"/>
        <w:bidi w:val="0"/>
        <w:spacing w:line="600" w:lineRule="exact"/>
        <w:ind w:firstLine="640" w:firstLineChars="200"/>
        <w:textAlignment w:val="auto"/>
        <w:rPr>
          <w:rFonts w:hint="eastAsia" w:ascii="仿宋" w:hAnsi="仿宋" w:eastAsia="仿宋"/>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81.4</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rPr>
        <w:t>主要原因</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2022年新增部门决算单位</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highlight w:val="none"/>
          <w:lang w:eastAsia="zh-CN"/>
        </w:rPr>
      </w:pPr>
    </w:p>
    <w:p>
      <w:pPr>
        <w:pageBreakBefore w:val="0"/>
        <w:kinsoku/>
        <w:wordWrap/>
        <w:overflowPunct/>
        <w:topLinePunct w:val="0"/>
        <w:bidi w:val="0"/>
        <w:spacing w:line="600"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color w:val="auto"/>
          <w:sz w:val="32"/>
          <w:szCs w:val="32"/>
          <w:highlight w:val="none"/>
        </w:rPr>
      </w:pPr>
      <w:bookmarkStart w:id="49" w:name="_Toc15377223"/>
      <w:r>
        <w:rPr>
          <w:rFonts w:hint="eastAsia" w:ascii="仿宋" w:hAnsi="仿宋" w:eastAsia="仿宋"/>
          <w:b/>
          <w:color w:val="auto"/>
          <w:sz w:val="32"/>
          <w:szCs w:val="32"/>
          <w:highlight w:val="none"/>
        </w:rPr>
        <w:t>（二）政府采购支出情况</w:t>
      </w:r>
      <w:bookmarkEnd w:id="49"/>
    </w:p>
    <w:p>
      <w:pPr>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pacing w:line="600" w:lineRule="exact"/>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color w:val="auto"/>
          <w:sz w:val="32"/>
          <w:szCs w:val="32"/>
          <w:highlight w:val="none"/>
        </w:rPr>
      </w:pPr>
      <w:bookmarkStart w:id="50" w:name="_Toc15377224"/>
      <w:r>
        <w:rPr>
          <w:rFonts w:hint="eastAsia" w:ascii="仿宋" w:hAnsi="仿宋" w:eastAsia="仿宋"/>
          <w:b/>
          <w:color w:val="auto"/>
          <w:sz w:val="32"/>
          <w:szCs w:val="32"/>
          <w:highlight w:val="none"/>
        </w:rPr>
        <w:t>（三）国有资产占有使用情况</w:t>
      </w:r>
      <w:bookmarkEnd w:id="50"/>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应急巡逻。</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kinsoku/>
        <w:wordWrap/>
        <w:overflowPunct/>
        <w:topLinePunct w:val="0"/>
        <w:autoSpaceDE w:val="0"/>
        <w:autoSpaceDN w:val="0"/>
        <w:bidi w:val="0"/>
        <w:adjustRightInd w:val="0"/>
        <w:spacing w:line="600" w:lineRule="exact"/>
        <w:ind w:firstLine="643" w:firstLineChars="200"/>
        <w:jc w:val="left"/>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pageBreakBefore w:val="0"/>
        <w:widowControl/>
        <w:kinsoku/>
        <w:wordWrap/>
        <w:overflowPunct/>
        <w:topLinePunct w:val="0"/>
        <w:bidi w:val="0"/>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拘留人员伙食费、拘留人员医疗费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p>
    <w:p>
      <w:pPr>
        <w:pageBreakBefore w:val="0"/>
        <w:kinsoku/>
        <w:wordWrap/>
        <w:overflowPunct/>
        <w:topLinePunct w:val="0"/>
        <w:bidi w:val="0"/>
        <w:ind w:firstLine="640" w:firstLineChars="200"/>
        <w:textAlignment w:val="auto"/>
        <w:rPr>
          <w:rFonts w:ascii="仿宋_GB2312" w:eastAsia="仿宋_GB2312"/>
          <w:kern w:val="0"/>
          <w:sz w:val="30"/>
          <w:highlight w:val="yellow"/>
        </w:rPr>
      </w:pPr>
      <w:r>
        <w:rPr>
          <w:rFonts w:hint="eastAsia" w:ascii="仿宋_GB2312" w:hAnsi="仿宋_GB2312" w:eastAsia="仿宋_GB2312" w:cs="仿宋_GB2312"/>
          <w:kern w:val="0"/>
          <w:sz w:val="32"/>
          <w:szCs w:val="32"/>
        </w:rPr>
        <w:t>绩效自评表详见第四部分附件。</w:t>
      </w:r>
    </w:p>
    <w:p>
      <w:pPr>
        <w:pageBreakBefore w:val="0"/>
        <w:kinsoku/>
        <w:wordWrap/>
        <w:overflowPunct/>
        <w:topLinePunct w:val="0"/>
        <w:bidi w:val="0"/>
        <w:adjustRightInd w:val="0"/>
        <w:snapToGrid w:val="0"/>
        <w:spacing w:line="580" w:lineRule="exact"/>
        <w:ind w:firstLine="720"/>
        <w:jc w:val="left"/>
        <w:textAlignment w:val="auto"/>
        <w:rPr>
          <w:rFonts w:ascii="仿宋_GB2312" w:eastAsia="仿宋_GB2312"/>
          <w:b/>
          <w:color w:val="auto"/>
          <w:sz w:val="32"/>
          <w:szCs w:val="32"/>
          <w:highlight w:val="none"/>
        </w:rPr>
      </w:pPr>
    </w:p>
    <w:p>
      <w:pPr>
        <w:pageBreakBefore w:val="0"/>
        <w:numPr>
          <w:ilvl w:val="0"/>
          <w:numId w:val="3"/>
        </w:numPr>
        <w:kinsoku/>
        <w:wordWrap/>
        <w:overflowPunct/>
        <w:topLinePunct w:val="0"/>
        <w:bidi w:val="0"/>
        <w:spacing w:line="600" w:lineRule="exact"/>
        <w:ind w:firstLine="660" w:firstLineChars="150"/>
        <w:jc w:val="center"/>
        <w:textAlignment w:val="auto"/>
        <w:outlineLvl w:val="0"/>
        <w:rPr>
          <w:rStyle w:val="27"/>
          <w:rFonts w:ascii="黑体" w:hAnsi="黑体" w:eastAsia="黑体"/>
          <w:b w:val="0"/>
          <w:color w:val="auto"/>
          <w:highlight w:val="none"/>
        </w:rPr>
      </w:pPr>
      <w:bookmarkStart w:id="51" w:name="_Toc15396613"/>
      <w:bookmarkStart w:id="52"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51"/>
      <w:bookmarkEnd w:id="52"/>
    </w:p>
    <w:p>
      <w:pPr>
        <w:pageBreakBefore w:val="0"/>
        <w:kinsoku/>
        <w:wordWrap/>
        <w:overflowPunct/>
        <w:topLinePunct w:val="0"/>
        <w:bidi w:val="0"/>
        <w:spacing w:line="600" w:lineRule="exact"/>
        <w:jc w:val="left"/>
        <w:textAlignment w:val="auto"/>
        <w:rPr>
          <w:rFonts w:ascii="宋体"/>
          <w:b/>
          <w:color w:val="auto"/>
          <w:sz w:val="44"/>
          <w:szCs w:val="44"/>
          <w:highlight w:val="none"/>
        </w:rPr>
      </w:pP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5"/>
        <w:pageBreakBefore w:val="0"/>
        <w:kinsoku/>
        <w:wordWrap/>
        <w:overflowPunct/>
        <w:topLinePunct w:val="0"/>
        <w:bidi w:val="0"/>
        <w:spacing w:line="560" w:lineRule="exact"/>
        <w:ind w:left="638" w:leftChars="304" w:firstLine="0" w:firstLineChars="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5"/>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9.公共安全支出（类）公安（款）行政运行（项），主要用于：人员基本工资、津贴补贴、绩效目标、福利费、办公费、手续费、差旅费、电费、邮电费等。</w:t>
      </w:r>
    </w:p>
    <w:p>
      <w:pPr>
        <w:pStyle w:val="25"/>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10.公共安全支出（类）公安（款）一般行政管理事务（项），主要用于：拘留人员医疗费、拘留人员伙食费、设施设备维修维护费、辅警人员专项经费、设备设施购置费。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11.社会保障和就业支出（类）</w:t>
      </w:r>
      <w:r>
        <w:rPr>
          <w:rStyle w:val="16"/>
          <w:rFonts w:hint="eastAsia" w:ascii="仿宋_GB2312" w:hAnsi="仿宋_GB2312" w:eastAsia="仿宋_GB2312" w:cs="仿宋_GB2312"/>
          <w:b w:val="0"/>
          <w:bCs w:val="0"/>
          <w:color w:val="000000"/>
          <w:sz w:val="32"/>
          <w:szCs w:val="32"/>
          <w:lang w:eastAsia="zh-CN"/>
        </w:rPr>
        <w:t>行政事业单位养老支出</w:t>
      </w:r>
      <w:r>
        <w:rPr>
          <w:rFonts w:hint="eastAsia" w:ascii="仿宋_GB2312" w:hAnsi="仿宋_GB2312" w:eastAsia="仿宋_GB2312" w:cs="仿宋_GB2312"/>
          <w:b w:val="0"/>
          <w:bCs w:val="0"/>
          <w:color w:val="000000"/>
          <w:kern w:val="0"/>
          <w:sz w:val="32"/>
          <w:szCs w:val="32"/>
          <w:lang w:val="en-US" w:eastAsia="zh-CN" w:bidi="ar-SA"/>
        </w:rPr>
        <w:t>（款）机关事业单位基本养老保险缴费支出（项），主要用于：机关事业单位人员基本养老保险缴费。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12.卫生健康支出（类）行政事业单位医疗（款）行政单位医疗（项），主要用于：基本医疗保险缴费、其他社会保障缴费。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SA"/>
        </w:rPr>
        <w:t>13住房改革支出（款）住房公积金（项），主要用于：缴纳住房公积金。</w:t>
      </w:r>
    </w:p>
    <w:p>
      <w:pPr>
        <w:pageBreakBefore w:val="0"/>
        <w:kinsoku/>
        <w:wordWrap/>
        <w:overflowPunct/>
        <w:topLinePunct w:val="0"/>
        <w:bidi w:val="0"/>
        <w:spacing w:line="600" w:lineRule="exact"/>
        <w:ind w:firstLine="64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pPr>
        <w:pageBreakBefore w:val="0"/>
        <w:kinsoku/>
        <w:wordWrap/>
        <w:overflowPunct/>
        <w:topLinePunct w:val="0"/>
        <w:bidi w:val="0"/>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ageBreakBefore w:val="0"/>
        <w:kinsoku/>
        <w:wordWrap/>
        <w:overflowPunct/>
        <w:topLinePunct w:val="0"/>
        <w:bidi w:val="0"/>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60" w:lineRule="exact"/>
        <w:ind w:firstLine="640" w:firstLineChars="200"/>
        <w:textAlignment w:val="auto"/>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ind w:firstLine="643" w:firstLineChars="200"/>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pageBreakBefore w:val="0"/>
        <w:numPr>
          <w:ilvl w:val="0"/>
          <w:numId w:val="3"/>
        </w:numPr>
        <w:kinsoku/>
        <w:wordWrap/>
        <w:overflowPunct/>
        <w:topLinePunct w:val="0"/>
        <w:bidi w:val="0"/>
        <w:spacing w:line="600" w:lineRule="exact"/>
        <w:ind w:left="0" w:leftChars="0" w:firstLine="663" w:firstLineChars="150"/>
        <w:jc w:val="center"/>
        <w:textAlignment w:val="auto"/>
        <w:outlineLvl w:val="0"/>
        <w:rPr>
          <w:rStyle w:val="27"/>
          <w:rFonts w:hint="eastAsia" w:ascii="黑体" w:hAnsi="黑体" w:eastAsia="黑体"/>
          <w:b w:val="0"/>
          <w:color w:val="auto"/>
          <w:highlight w:val="none"/>
        </w:rPr>
      </w:pPr>
      <w:bookmarkStart w:id="53" w:name="_Toc15377226"/>
      <w:r>
        <w:rPr>
          <w:rFonts w:ascii="宋体"/>
          <w:b/>
          <w:color w:val="auto"/>
          <w:sz w:val="44"/>
          <w:szCs w:val="44"/>
          <w:highlight w:val="none"/>
        </w:rPr>
        <w:br w:type="page"/>
      </w:r>
      <w:bookmarkStart w:id="54" w:name="_Toc15396614"/>
      <w:r>
        <w:rPr>
          <w:rStyle w:val="27"/>
          <w:rFonts w:hint="eastAsia" w:ascii="黑体" w:hAnsi="黑体" w:eastAsia="黑体"/>
          <w:b w:val="0"/>
          <w:color w:val="auto"/>
          <w:highlight w:val="none"/>
        </w:rPr>
        <w:t>附件</w:t>
      </w:r>
      <w:bookmarkEnd w:id="54"/>
    </w:p>
    <w:p>
      <w:pPr>
        <w:pageBreakBefore w:val="0"/>
        <w:kinsoku/>
        <w:wordWrap/>
        <w:overflowPunct/>
        <w:topLinePunct w:val="0"/>
        <w:bidi w:val="0"/>
        <w:spacing w:line="600" w:lineRule="exact"/>
        <w:jc w:val="center"/>
        <w:textAlignment w:val="auto"/>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pStyle w:val="2"/>
        <w:pageBreakBefore w:val="0"/>
        <w:numPr>
          <w:ilvl w:val="0"/>
          <w:numId w:val="0"/>
        </w:numPr>
        <w:kinsoku/>
        <w:wordWrap/>
        <w:overflowPunct/>
        <w:topLinePunct w:val="0"/>
        <w:bidi w:val="0"/>
        <w:spacing w:beforeLines="0"/>
        <w:ind w:leftChars="150"/>
        <w:textAlignment w:val="auto"/>
        <w:rPr>
          <w:rFonts w:hint="eastAsia"/>
          <w:lang w:eastAsia="zh-CN"/>
        </w:rPr>
      </w:pPr>
    </w:p>
    <w:p>
      <w:pPr>
        <w:pageBreakBefore w:val="0"/>
        <w:kinsoku/>
        <w:wordWrap/>
        <w:overflowPunct/>
        <w:topLinePunct w:val="0"/>
        <w:bidi w:val="0"/>
        <w:spacing w:line="600" w:lineRule="exact"/>
        <w:jc w:val="center"/>
        <w:textAlignment w:val="auto"/>
        <w:outlineLvl w:val="0"/>
        <w:rPr>
          <w:rFonts w:hint="eastAsia" w:ascii="仿宋" w:hAnsi="仿宋" w:eastAsia="仿宋"/>
          <w:b w:val="0"/>
          <w:color w:val="auto"/>
          <w:highlight w:val="none"/>
        </w:rPr>
      </w:pPr>
      <w:bookmarkStart w:id="55" w:name="_Toc15396618"/>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3"/>
      <w:bookmarkEnd w:id="55"/>
      <w:bookmarkStart w:id="56" w:name="_Toc15396619"/>
    </w:p>
    <w:p>
      <w:pPr>
        <w:pStyle w:val="4"/>
        <w:pageBreakBefore w:val="0"/>
        <w:kinsoku/>
        <w:wordWrap/>
        <w:overflowPunct/>
        <w:topLinePunct w:val="0"/>
        <w:bidi w:val="0"/>
        <w:spacing w:before="0" w:after="0"/>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6"/>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57"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7"/>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58"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8"/>
    </w:p>
    <w:p>
      <w:pPr>
        <w:pStyle w:val="4"/>
        <w:pageBreakBefore w:val="0"/>
        <w:kinsoku/>
        <w:wordWrap/>
        <w:overflowPunct/>
        <w:topLinePunct w:val="0"/>
        <w:bidi w:val="0"/>
        <w:spacing w:before="0" w:after="0"/>
        <w:textAlignment w:val="auto"/>
        <w:rPr>
          <w:rFonts w:ascii="仿宋" w:hAnsi="仿宋" w:eastAsia="仿宋"/>
          <w:b w:val="0"/>
          <w:color w:val="auto"/>
          <w:highlight w:val="none"/>
        </w:rPr>
      </w:pPr>
      <w:bookmarkStart w:id="59"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9"/>
    </w:p>
    <w:p>
      <w:pPr>
        <w:pStyle w:val="4"/>
        <w:pageBreakBefore w:val="0"/>
        <w:kinsoku/>
        <w:wordWrap/>
        <w:overflowPunct/>
        <w:topLinePunct w:val="0"/>
        <w:bidi w:val="0"/>
        <w:spacing w:before="0" w:after="0"/>
        <w:textAlignment w:val="auto"/>
        <w:rPr>
          <w:rStyle w:val="28"/>
          <w:rFonts w:ascii="仿宋" w:hAnsi="仿宋" w:eastAsia="仿宋"/>
          <w:b w:val="0"/>
          <w:bCs w:val="0"/>
          <w:color w:val="auto"/>
          <w:highlight w:val="none"/>
        </w:rPr>
      </w:pPr>
      <w:bookmarkStart w:id="60"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60"/>
      <w:bookmarkStart w:id="61" w:name="_Toc15396624"/>
    </w:p>
    <w:p>
      <w:pPr>
        <w:pStyle w:val="4"/>
        <w:pageBreakBefore w:val="0"/>
        <w:kinsoku/>
        <w:wordWrap/>
        <w:overflowPunct/>
        <w:topLinePunct w:val="0"/>
        <w:bidi w:val="0"/>
        <w:spacing w:before="0" w:after="0"/>
        <w:textAlignment w:val="auto"/>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61"/>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2"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2"/>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3"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3"/>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4"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4"/>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5" w:name="_Toc15396628"/>
      <w:r>
        <w:rPr>
          <w:rStyle w:val="28"/>
          <w:rFonts w:hint="eastAsia" w:ascii="仿宋" w:hAnsi="仿宋" w:eastAsia="仿宋"/>
          <w:b w:val="0"/>
          <w:bCs w:val="0"/>
          <w:color w:val="auto"/>
          <w:highlight w:val="none"/>
        </w:rPr>
        <w:t>十、</w:t>
      </w:r>
      <w:bookmarkEnd w:id="65"/>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6" w:name="_Toc15396629"/>
      <w:r>
        <w:rPr>
          <w:rStyle w:val="28"/>
          <w:rFonts w:hint="eastAsia" w:ascii="仿宋" w:hAnsi="仿宋" w:eastAsia="仿宋"/>
          <w:b w:val="0"/>
          <w:bCs w:val="0"/>
          <w:color w:val="auto"/>
          <w:highlight w:val="none"/>
        </w:rPr>
        <w:t>十一、</w:t>
      </w:r>
      <w:bookmarkEnd w:id="66"/>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p>
    <w:p>
      <w:pPr>
        <w:pStyle w:val="4"/>
        <w:pageBreakBefore w:val="0"/>
        <w:kinsoku/>
        <w:wordWrap/>
        <w:overflowPunct/>
        <w:topLinePunct w:val="0"/>
        <w:bidi w:val="0"/>
        <w:spacing w:before="0" w:after="0"/>
        <w:textAlignment w:val="auto"/>
        <w:rPr>
          <w:rFonts w:ascii="仿宋" w:hAnsi="仿宋" w:eastAsia="仿宋"/>
          <w:color w:val="auto"/>
          <w:highlight w:val="none"/>
        </w:rPr>
      </w:pPr>
      <w:bookmarkStart w:id="67" w:name="_Toc15396630"/>
      <w:r>
        <w:rPr>
          <w:rStyle w:val="28"/>
          <w:rFonts w:hint="eastAsia" w:ascii="仿宋" w:hAnsi="仿宋" w:eastAsia="仿宋"/>
          <w:b w:val="0"/>
          <w:bCs w:val="0"/>
          <w:color w:val="auto"/>
          <w:highlight w:val="none"/>
        </w:rPr>
        <w:t>十二、</w:t>
      </w:r>
      <w:bookmarkEnd w:id="67"/>
      <w:r>
        <w:rPr>
          <w:rStyle w:val="28"/>
          <w:rFonts w:hint="eastAsia" w:ascii="仿宋" w:hAnsi="仿宋" w:eastAsia="仿宋"/>
          <w:b w:val="0"/>
          <w:bCs w:val="0"/>
          <w:color w:val="auto"/>
          <w:highlight w:val="none"/>
          <w:lang w:eastAsia="zh-CN"/>
        </w:rPr>
        <w:t>国有资本经营预算财政拨款支出决算表</w:t>
      </w:r>
    </w:p>
    <w:p>
      <w:pPr>
        <w:pStyle w:val="4"/>
        <w:pageBreakBefore w:val="0"/>
        <w:kinsoku/>
        <w:wordWrap/>
        <w:overflowPunct/>
        <w:topLinePunct w:val="0"/>
        <w:bidi w:val="0"/>
        <w:spacing w:before="0" w:after="0"/>
        <w:textAlignment w:val="auto"/>
        <w:rPr>
          <w:rFonts w:hint="eastAsia" w:eastAsia="仿宋"/>
          <w:color w:val="auto"/>
          <w:highlight w:val="none"/>
          <w:lang w:eastAsia="zh-CN"/>
        </w:rPr>
      </w:pPr>
      <w:bookmarkStart w:id="68" w:name="_Toc15396631"/>
      <w:r>
        <w:rPr>
          <w:rStyle w:val="28"/>
          <w:rFonts w:hint="eastAsia" w:ascii="仿宋" w:hAnsi="仿宋" w:eastAsia="仿宋"/>
          <w:b w:val="0"/>
          <w:bCs w:val="0"/>
          <w:color w:val="auto"/>
          <w:highlight w:val="none"/>
        </w:rPr>
        <w:t>十三、</w:t>
      </w:r>
      <w:bookmarkEnd w:id="68"/>
      <w:r>
        <w:rPr>
          <w:rStyle w:val="28"/>
          <w:rFonts w:hint="eastAsia" w:ascii="仿宋" w:hAnsi="仿宋" w:eastAsia="仿宋"/>
          <w:b w:val="0"/>
          <w:bCs w:val="0"/>
          <w:color w:val="auto"/>
          <w:highlight w:val="none"/>
          <w:lang w:eastAsia="zh-CN"/>
        </w:rPr>
        <w:t>财政拨款“三公”经费支出决算表</w:t>
      </w:r>
    </w:p>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I1NjU2NDk1ZDQ4MmRhMjdjNDU1MjBhOGUxO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CBD02C7"/>
    <w:rsid w:val="0F98263C"/>
    <w:rsid w:val="101860EC"/>
    <w:rsid w:val="10C055FF"/>
    <w:rsid w:val="118107EC"/>
    <w:rsid w:val="13D50BC4"/>
    <w:rsid w:val="166008F7"/>
    <w:rsid w:val="16BB723D"/>
    <w:rsid w:val="18D671D6"/>
    <w:rsid w:val="1BE8440E"/>
    <w:rsid w:val="1D155CEE"/>
    <w:rsid w:val="1FF35744"/>
    <w:rsid w:val="23860B96"/>
    <w:rsid w:val="240371BF"/>
    <w:rsid w:val="24126A28"/>
    <w:rsid w:val="29FD04D3"/>
    <w:rsid w:val="2B491A91"/>
    <w:rsid w:val="2BD85CFB"/>
    <w:rsid w:val="2C8A61B5"/>
    <w:rsid w:val="2DF04E50"/>
    <w:rsid w:val="2F040D46"/>
    <w:rsid w:val="2F326268"/>
    <w:rsid w:val="2FC8684D"/>
    <w:rsid w:val="319F7F4E"/>
    <w:rsid w:val="32EF7126"/>
    <w:rsid w:val="3304709D"/>
    <w:rsid w:val="347507BC"/>
    <w:rsid w:val="36AA5135"/>
    <w:rsid w:val="376D39B2"/>
    <w:rsid w:val="37E16F03"/>
    <w:rsid w:val="38C271E3"/>
    <w:rsid w:val="38D469F0"/>
    <w:rsid w:val="3D98207C"/>
    <w:rsid w:val="3E4417F2"/>
    <w:rsid w:val="3E78745D"/>
    <w:rsid w:val="44E268DA"/>
    <w:rsid w:val="4A627F82"/>
    <w:rsid w:val="4B0E749A"/>
    <w:rsid w:val="4B4F25DA"/>
    <w:rsid w:val="4B753381"/>
    <w:rsid w:val="4BE068DB"/>
    <w:rsid w:val="4D577224"/>
    <w:rsid w:val="4EAB630A"/>
    <w:rsid w:val="4ECE2238"/>
    <w:rsid w:val="537E6D0A"/>
    <w:rsid w:val="5AF92295"/>
    <w:rsid w:val="5CD71FC4"/>
    <w:rsid w:val="6A2D5538"/>
    <w:rsid w:val="6C4A05C8"/>
    <w:rsid w:val="6D776DCA"/>
    <w:rsid w:val="6E3D303A"/>
    <w:rsid w:val="6E7E3605"/>
    <w:rsid w:val="6FF5CC65"/>
    <w:rsid w:val="715C0E4B"/>
    <w:rsid w:val="721259EE"/>
    <w:rsid w:val="72734D90"/>
    <w:rsid w:val="72A921D9"/>
    <w:rsid w:val="73AD73D5"/>
    <w:rsid w:val="73B6EB34"/>
    <w:rsid w:val="744731E5"/>
    <w:rsid w:val="75912312"/>
    <w:rsid w:val="76E3355F"/>
    <w:rsid w:val="778769C8"/>
    <w:rsid w:val="79EE5BA4"/>
    <w:rsid w:val="7A894339"/>
    <w:rsid w:val="7D07782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35">
    <w:name w:val="标题 2 字符"/>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4613</Words>
  <Characters>5003</Characters>
  <Lines>61</Lines>
  <Paragraphs>17</Paragraphs>
  <TotalTime>2</TotalTime>
  <ScaleCrop>false</ScaleCrop>
  <LinksUpToDate>false</LinksUpToDate>
  <CharactersWithSpaces>5050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2023-08-22T04:21:58Z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4FF8384BB0E44D378047A11935B27006_12</vt:lpwstr>
  </property>
</Properties>
</file>