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19D7">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shd w:val="clear" w:color="auto" w:fill="FFFFFF"/>
        </w:rPr>
      </w:pPr>
    </w:p>
    <w:p w14:paraId="1B27FE88">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shd w:val="clear" w:color="auto" w:fill="FFFFFF"/>
        </w:rPr>
      </w:pPr>
    </w:p>
    <w:p w14:paraId="22F7BA9D">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shd w:val="clear" w:color="auto" w:fill="FFFFFF"/>
        </w:rPr>
      </w:pPr>
    </w:p>
    <w:p w14:paraId="7829A6FA">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遂宁市公安局</w:t>
      </w:r>
    </w:p>
    <w:p w14:paraId="6FF3349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shd w:val="clear" w:color="auto" w:fill="FFFFFF"/>
        </w:rPr>
      </w:pPr>
      <w:r>
        <w:rPr>
          <w:rFonts w:hint="eastAsia" w:ascii="方正小标宋简体" w:hAnsi="方正小标宋简体" w:eastAsia="方正小标宋简体" w:cs="方正小标宋简体"/>
          <w:sz w:val="44"/>
          <w:szCs w:val="44"/>
          <w:shd w:val="clear" w:color="auto" w:fill="FFFFFF"/>
          <w:lang w:val="en-US" w:eastAsia="zh-CN"/>
        </w:rPr>
        <w:t>关于</w:t>
      </w:r>
      <w:r>
        <w:rPr>
          <w:rFonts w:hint="eastAsia" w:ascii="方正小标宋简体" w:hAnsi="方正小标宋简体" w:eastAsia="方正小标宋简体" w:cs="方正小标宋简体"/>
          <w:sz w:val="44"/>
          <w:szCs w:val="44"/>
          <w:shd w:val="clear" w:color="auto" w:fill="FFFFFF"/>
        </w:rPr>
        <w:t>202</w:t>
      </w:r>
      <w:r>
        <w:rPr>
          <w:rFonts w:hint="eastAsia" w:ascii="方正小标宋简体" w:hAnsi="方正小标宋简体" w:eastAsia="方正小标宋简体" w:cs="方正小标宋简体"/>
          <w:sz w:val="44"/>
          <w:szCs w:val="44"/>
          <w:shd w:val="clear" w:color="auto" w:fill="FFFFFF"/>
          <w:lang w:val="en-US" w:eastAsia="zh-CN"/>
        </w:rPr>
        <w:t>4</w:t>
      </w:r>
      <w:r>
        <w:rPr>
          <w:rFonts w:hint="eastAsia" w:ascii="方正小标宋简体" w:hAnsi="方正小标宋简体" w:eastAsia="方正小标宋简体" w:cs="方正小标宋简体"/>
          <w:sz w:val="44"/>
          <w:szCs w:val="44"/>
          <w:shd w:val="clear" w:color="auto" w:fill="FFFFFF"/>
        </w:rPr>
        <w:t>年度部门整体支出绩效自评报告</w:t>
      </w:r>
    </w:p>
    <w:p w14:paraId="424EFFA3">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shd w:val="clear" w:color="auto" w:fill="FFFFFF"/>
        </w:rPr>
      </w:pPr>
    </w:p>
    <w:p w14:paraId="63963F5B">
      <w:pPr>
        <w:pStyle w:val="10"/>
        <w:keepNext w:val="0"/>
        <w:keepLines w:val="0"/>
        <w:pageBreakBefore w:val="0"/>
        <w:widowControl/>
        <w:kinsoku/>
        <w:wordWrap/>
        <w:overflowPunct/>
        <w:topLinePunct w:val="0"/>
        <w:autoSpaceDE/>
        <w:autoSpaceDN/>
        <w:bidi w:val="0"/>
        <w:spacing w:beforeAutospacing="0" w:afterAutospacing="0" w:line="560" w:lineRule="exact"/>
        <w:rPr>
          <w:rFonts w:hint="default" w:ascii="Times New Roman" w:hAnsi="Times New Roman" w:cs="Times New Roman"/>
          <w:kern w:val="2"/>
          <w:sz w:val="32"/>
          <w:szCs w:val="32"/>
        </w:rPr>
      </w:pPr>
      <w:r>
        <w:rPr>
          <w:rFonts w:hint="default" w:ascii="Times New Roman" w:hAnsi="Times New Roman" w:cs="Times New Roman"/>
          <w:kern w:val="2"/>
          <w:sz w:val="32"/>
          <w:szCs w:val="32"/>
        </w:rPr>
        <w:t xml:space="preserve">市财政局： </w:t>
      </w:r>
    </w:p>
    <w:p w14:paraId="3FB88D34">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cs="Times New Roman"/>
          <w:kern w:val="2"/>
          <w:sz w:val="32"/>
          <w:szCs w:val="32"/>
        </w:rPr>
        <w:t>为深入贯彻落实</w:t>
      </w:r>
      <w:r>
        <w:rPr>
          <w:rFonts w:hint="eastAsia" w:ascii="Times New Roman" w:hAnsi="Times New Roman" w:cs="Times New Roman"/>
          <w:kern w:val="2"/>
          <w:sz w:val="32"/>
          <w:szCs w:val="32"/>
          <w:lang w:eastAsia="zh-CN"/>
        </w:rPr>
        <w:t>党中央、国务院</w:t>
      </w:r>
      <w:r>
        <w:rPr>
          <w:rFonts w:hint="default" w:ascii="Times New Roman" w:hAnsi="Times New Roman" w:cs="Times New Roman"/>
          <w:kern w:val="2"/>
          <w:sz w:val="32"/>
          <w:szCs w:val="32"/>
        </w:rPr>
        <w:t>、省委省政府和</w:t>
      </w:r>
      <w:r>
        <w:rPr>
          <w:rFonts w:hint="eastAsia" w:ascii="Times New Roman" w:hAnsi="Times New Roman" w:cs="Times New Roman"/>
          <w:kern w:val="2"/>
          <w:sz w:val="32"/>
          <w:szCs w:val="32"/>
          <w:lang w:eastAsia="zh-CN"/>
        </w:rPr>
        <w:t>市委、市政府</w:t>
      </w:r>
      <w:r>
        <w:rPr>
          <w:rFonts w:hint="default" w:ascii="Times New Roman" w:hAnsi="Times New Roman" w:cs="Times New Roman"/>
          <w:kern w:val="2"/>
          <w:sz w:val="32"/>
          <w:szCs w:val="32"/>
        </w:rPr>
        <w:t>关于全面实施预算绩效管理的决策部署，根据《中共遂宁市委办公室 遂宁市人民政府办公室印发&lt;关于深入实施预算绩效管理的工作方案</w:t>
      </w:r>
      <w:r>
        <w:rPr>
          <w:rFonts w:hint="eastAsia" w:ascii="Times New Roman" w:hAnsi="Times New Roman" w:cs="Times New Roman"/>
          <w:kern w:val="2"/>
          <w:sz w:val="32"/>
          <w:szCs w:val="32"/>
          <w:lang w:eastAsia="zh-CN"/>
        </w:rPr>
        <w:t>〉的通知》</w:t>
      </w:r>
      <w:r>
        <w:rPr>
          <w:rFonts w:hint="default" w:ascii="Times New Roman" w:hAnsi="Times New Roman" w:cs="Times New Roman"/>
          <w:kern w:val="2"/>
          <w:sz w:val="32"/>
          <w:szCs w:val="32"/>
        </w:rPr>
        <w:t>（遂委办〔2022〕41号）、《遂宁市财政局关于印发&lt;推进财政绩效监督“三管三必须”落实见效实施办法</w:t>
      </w:r>
      <w:r>
        <w:rPr>
          <w:rFonts w:hint="eastAsia" w:ascii="Times New Roman" w:hAnsi="Times New Roman" w:cs="Times New Roman"/>
          <w:kern w:val="2"/>
          <w:sz w:val="32"/>
          <w:szCs w:val="32"/>
          <w:lang w:eastAsia="zh-CN"/>
        </w:rPr>
        <w:t>〉的通知》</w:t>
      </w:r>
      <w:r>
        <w:rPr>
          <w:rFonts w:hint="default" w:ascii="Times New Roman" w:hAnsi="Times New Roman" w:cs="Times New Roman"/>
          <w:kern w:val="2"/>
          <w:sz w:val="32"/>
          <w:szCs w:val="32"/>
        </w:rPr>
        <w:t>（遂财预〔2025〕2号）、《遂宁市财政局&lt;关于开展2025年部门、项目、政策支出绩效自评工作</w:t>
      </w:r>
      <w:r>
        <w:rPr>
          <w:rFonts w:hint="eastAsia" w:ascii="Times New Roman" w:hAnsi="Times New Roman" w:cs="Times New Roman"/>
          <w:kern w:val="2"/>
          <w:sz w:val="32"/>
          <w:szCs w:val="32"/>
          <w:lang w:eastAsia="zh-CN"/>
        </w:rPr>
        <w:t>〉的通知》</w:t>
      </w:r>
      <w:r>
        <w:rPr>
          <w:rFonts w:hint="default" w:ascii="Times New Roman" w:hAnsi="Times New Roman" w:cs="Times New Roman"/>
          <w:kern w:val="2"/>
          <w:sz w:val="32"/>
          <w:szCs w:val="32"/>
        </w:rPr>
        <w:t>（遂财绩〔2025〕1号）有关要求，我局组织开展了2024年部门绩效自评工作。现将绩效自评工作有关事项报告如下。</w:t>
      </w:r>
    </w:p>
    <w:p w14:paraId="257BF02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黑体" w:cs="Times New Roman"/>
          <w:color w:val="000000"/>
          <w:kern w:val="0"/>
          <w:szCs w:val="32"/>
          <w:shd w:val="clear" w:color="auto" w:fill="FFFFFF"/>
          <w:lang w:val="zh-CN"/>
        </w:rPr>
      </w:pPr>
      <w:r>
        <w:rPr>
          <w:rFonts w:hint="default" w:ascii="Times New Roman" w:hAnsi="Times New Roman" w:eastAsia="黑体" w:cs="Times New Roman"/>
          <w:color w:val="000000"/>
          <w:kern w:val="0"/>
          <w:szCs w:val="32"/>
          <w:shd w:val="clear" w:color="auto" w:fill="FFFFFF"/>
        </w:rPr>
        <w:t>一、</w:t>
      </w:r>
      <w:r>
        <w:rPr>
          <w:rFonts w:hint="default" w:ascii="Times New Roman" w:hAnsi="Times New Roman" w:eastAsia="黑体" w:cs="Times New Roman"/>
          <w:color w:val="000000"/>
          <w:kern w:val="0"/>
          <w:szCs w:val="32"/>
          <w:shd w:val="clear" w:color="auto" w:fill="FFFFFF"/>
          <w:lang w:val="zh-CN"/>
        </w:rPr>
        <w:t>部门（单位）概况</w:t>
      </w:r>
    </w:p>
    <w:p w14:paraId="53B3222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楷体_GB2312" w:cs="Times New Roman"/>
          <w:b w:val="0"/>
          <w:bCs/>
          <w:color w:val="000000"/>
          <w:kern w:val="0"/>
          <w:szCs w:val="32"/>
          <w:shd w:val="clear" w:color="auto" w:fill="FFFFFF"/>
          <w:lang w:val="zh-CN"/>
        </w:rPr>
      </w:pPr>
      <w:r>
        <w:rPr>
          <w:rFonts w:hint="default" w:ascii="Times New Roman" w:hAnsi="Times New Roman" w:eastAsia="楷体_GB2312" w:cs="Times New Roman"/>
          <w:b w:val="0"/>
          <w:bCs/>
          <w:color w:val="000000"/>
          <w:kern w:val="0"/>
          <w:szCs w:val="32"/>
          <w:shd w:val="clear" w:color="auto" w:fill="FFFFFF"/>
          <w:lang w:val="zh-CN"/>
        </w:rPr>
        <w:t>（一）机构组成</w:t>
      </w:r>
    </w:p>
    <w:p w14:paraId="55D9A52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仿宋_GB2312" w:cs="Times New Roman"/>
          <w:szCs w:val="32"/>
        </w:rPr>
      </w:pPr>
      <w:r>
        <w:rPr>
          <w:rFonts w:hint="default" w:ascii="Times New Roman" w:hAnsi="Times New Roman" w:eastAsia="仿宋_GB2312" w:cs="Times New Roman"/>
          <w:sz w:val="32"/>
          <w:szCs w:val="32"/>
        </w:rPr>
        <w:t>遂宁市公安局下属二级预算单位</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个，其中行政单位</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参照公务员法管理的事业单位0个，其他事业单位0个。遂宁市公安局下属二级预算单位8个，均为行政单位。包括：遂宁市公安局经济技术开发区分局、遂宁市公安局河东新区分局、遂宁市公安局交通警察支队、遂宁市公安局森林警察支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遂宁市</w:t>
      </w:r>
      <w:r>
        <w:rPr>
          <w:rFonts w:hint="default" w:ascii="Times New Roman" w:hAnsi="Times New Roman" w:eastAsia="仿宋_GB2312" w:cs="Times New Roman"/>
          <w:sz w:val="32"/>
          <w:szCs w:val="32"/>
          <w:lang w:val="en-US" w:eastAsia="zh-CN"/>
        </w:rPr>
        <w:t>拘留所</w:t>
      </w:r>
      <w:r>
        <w:rPr>
          <w:rFonts w:hint="default" w:ascii="Times New Roman" w:hAnsi="Times New Roman" w:eastAsia="仿宋_GB2312" w:cs="Times New Roman"/>
          <w:sz w:val="32"/>
          <w:szCs w:val="32"/>
        </w:rPr>
        <w:t>、遂宁市强制隔离戒毒所、遂宁市看守所、遂宁市强制医疗所。</w:t>
      </w:r>
    </w:p>
    <w:p w14:paraId="0FAB1C5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楷体_GB2312" w:cs="Times New Roman"/>
          <w:b w:val="0"/>
          <w:bCs/>
          <w:color w:val="000000"/>
          <w:kern w:val="0"/>
          <w:szCs w:val="32"/>
          <w:shd w:val="clear" w:color="auto" w:fill="FFFFFF"/>
          <w:lang w:val="zh-CN"/>
        </w:rPr>
      </w:pPr>
      <w:r>
        <w:rPr>
          <w:rFonts w:hint="default" w:ascii="Times New Roman" w:hAnsi="Times New Roman" w:eastAsia="楷体_GB2312" w:cs="Times New Roman"/>
          <w:b w:val="0"/>
          <w:bCs/>
          <w:color w:val="000000"/>
          <w:kern w:val="0"/>
          <w:szCs w:val="32"/>
          <w:shd w:val="clear" w:color="auto" w:fill="FFFFFF"/>
          <w:lang w:val="zh-CN"/>
        </w:rPr>
        <w:t>（二）机构职能</w:t>
      </w:r>
    </w:p>
    <w:p w14:paraId="6807AFF4">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贯彻执行国家公安工作的方针、政策和</w:t>
      </w:r>
      <w:r>
        <w:rPr>
          <w:rFonts w:hint="eastAsia" w:ascii="Times New Roman" w:hAnsi="Times New Roman" w:cs="Times New Roman"/>
          <w:sz w:val="32"/>
          <w:szCs w:val="32"/>
          <w:lang w:eastAsia="zh-CN"/>
        </w:rPr>
        <w:t>法律法规</w:t>
      </w:r>
      <w:r>
        <w:rPr>
          <w:rFonts w:hint="default" w:ascii="Times New Roman" w:hAnsi="Times New Roman" w:eastAsia="仿宋_GB2312" w:cs="Times New Roman"/>
          <w:sz w:val="32"/>
          <w:szCs w:val="32"/>
        </w:rPr>
        <w:t>、规章，部署、指导、监督、检查全市公安工作；负责本系统、本部门依法行政工作，落实行政执法责任制。</w:t>
      </w:r>
    </w:p>
    <w:p w14:paraId="4C0E54FD">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指导、协调全市公安机关应急管理、抢险救援工作和社会公共突发事件的处置工作。</w:t>
      </w:r>
    </w:p>
    <w:p w14:paraId="26C3F9E7">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组织指导全市公安机关侦查工作，协调处理或直接侦办全市重大刑事犯罪案件及重大经济犯罪案件。</w:t>
      </w:r>
    </w:p>
    <w:p w14:paraId="0DC5C960">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负责全市治安管理工作并承担相应责任。指导、监督全市公安机关依法查处破坏社会治安秩序行为，依法开展治安行政管理工作，指导、监督全市公安机关治安保卫工作。</w:t>
      </w:r>
    </w:p>
    <w:p w14:paraId="316E1B3B">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负责全市出入境管理有关工作。依法管理国籍、口岸边防检查工作，组织、指导全市出境、入境和持普通护照的外国人在遂居留、旅行的有关管理工作。</w:t>
      </w:r>
    </w:p>
    <w:p w14:paraId="7FCD0DA4">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负责全市道路交通安全管理工作并承担相应责任。指导、监督全市公安机关维护道路交通安全、道路交通秩序以及开展机动车辆（不含拖拉机）、驾驶人管理工作。</w:t>
      </w:r>
    </w:p>
    <w:p w14:paraId="122CF052">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指导、监督全市公安机关对公共信息网络的安全保护工作，负责信息安全等级保护工作的监督、检查、指导。</w:t>
      </w:r>
    </w:p>
    <w:p w14:paraId="366FE6E1">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组织、指导、协调对恐怖活动的情报、防范、侦察和应急处置工作。</w:t>
      </w:r>
    </w:p>
    <w:p w14:paraId="36D5CF52">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指导、监督全市公安机关依法承担的执行刑罚和监督、考察工作，指导、监督全市公安机关看守所、拘留所、强制隔离戒毒所、</w:t>
      </w:r>
      <w:r>
        <w:rPr>
          <w:rFonts w:hint="default" w:ascii="Times New Roman" w:hAnsi="Times New Roman" w:eastAsia="仿宋_GB2312" w:cs="Times New Roman"/>
          <w:sz w:val="32"/>
          <w:szCs w:val="32"/>
          <w:lang w:val="en-US" w:eastAsia="zh-CN"/>
        </w:rPr>
        <w:t>拘留所</w:t>
      </w:r>
      <w:r>
        <w:rPr>
          <w:rFonts w:hint="default" w:ascii="Times New Roman" w:hAnsi="Times New Roman" w:eastAsia="仿宋_GB2312" w:cs="Times New Roman"/>
          <w:sz w:val="32"/>
          <w:szCs w:val="32"/>
        </w:rPr>
        <w:t>、戒毒康复中心的管理工作，指导、监督、办理收容教养审批工作。</w:t>
      </w:r>
    </w:p>
    <w:p w14:paraId="55C52DAC">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指导全市公安警卫业务工作，组织实施对有关的党和国家领导人以及重要外宾在遂的安全警卫工作并承担相应责任。</w:t>
      </w:r>
    </w:p>
    <w:p w14:paraId="55D6E319">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组织实施全市公安科学技术工作，组织、指导、规划全市公安机关的指挥系统、信息技术、刑事技术建设。</w:t>
      </w:r>
    </w:p>
    <w:p w14:paraId="7D62AD02">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拟订全市公安机关装备、被装和经费等警务保障计划和管理制度，组织协调全市公安机关重大任务的警务保障工作。</w:t>
      </w:r>
    </w:p>
    <w:p w14:paraId="74D09854">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14:paraId="3637D7A3">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指导市内铁路、交通、民航、森林等专门公安机关的业务工作。</w:t>
      </w:r>
    </w:p>
    <w:p w14:paraId="5F9A12DA">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承担市政府禁毒委员会、反恐怖工作协调小组的具体工作。</w:t>
      </w:r>
    </w:p>
    <w:p w14:paraId="6F964B5F">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承担市政府公布的有关行政审批事项。</w:t>
      </w:r>
    </w:p>
    <w:p w14:paraId="5077072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承办市政府和公安厅交办的其他事项。</w:t>
      </w:r>
    </w:p>
    <w:p w14:paraId="239AED8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楷体_GB2312" w:cs="Times New Roman"/>
          <w:b w:val="0"/>
          <w:bCs/>
          <w:color w:val="000000"/>
          <w:kern w:val="0"/>
          <w:szCs w:val="32"/>
          <w:shd w:val="clear" w:color="auto" w:fill="FFFFFF"/>
          <w:lang w:val="zh-CN"/>
        </w:rPr>
      </w:pPr>
      <w:r>
        <w:rPr>
          <w:rFonts w:hint="default" w:ascii="Times New Roman" w:hAnsi="Times New Roman" w:eastAsia="楷体_GB2312" w:cs="Times New Roman"/>
          <w:b w:val="0"/>
          <w:bCs/>
          <w:color w:val="000000"/>
          <w:kern w:val="0"/>
          <w:szCs w:val="32"/>
          <w:shd w:val="clear" w:color="auto" w:fill="FFFFFF"/>
          <w:lang w:val="zh-CN"/>
        </w:rPr>
        <w:t>（三）人员概况</w:t>
      </w:r>
    </w:p>
    <w:p w14:paraId="2CCD9F58">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本单位年初编制数为363人，全部为行政政法编制。年中调入21人，退休10人，年末实有在职人数为374人。</w:t>
      </w:r>
    </w:p>
    <w:p w14:paraId="46DE0B6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黑体" w:cs="Times New Roman"/>
          <w:color w:val="000000"/>
          <w:kern w:val="0"/>
          <w:szCs w:val="32"/>
          <w:shd w:val="clear" w:color="auto" w:fill="FFFFFF"/>
        </w:rPr>
      </w:pPr>
      <w:r>
        <w:rPr>
          <w:rFonts w:hint="default" w:ascii="Times New Roman" w:hAnsi="Times New Roman" w:eastAsia="黑体" w:cs="Times New Roman"/>
          <w:color w:val="000000"/>
          <w:kern w:val="0"/>
          <w:szCs w:val="32"/>
          <w:shd w:val="clear" w:color="auto" w:fill="FFFFFF"/>
        </w:rPr>
        <w:t>二、部门财政资金收支情况</w:t>
      </w:r>
    </w:p>
    <w:p w14:paraId="0EA098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楷体_GB2312" w:cs="Times New Roman"/>
          <w:b w:val="0"/>
          <w:bCs/>
          <w:color w:val="000000"/>
          <w:kern w:val="0"/>
          <w:szCs w:val="32"/>
          <w:shd w:val="clear" w:color="auto" w:fill="FFFFFF"/>
          <w:lang w:val="zh-CN"/>
        </w:rPr>
      </w:pPr>
      <w:r>
        <w:rPr>
          <w:rFonts w:hint="default" w:ascii="Times New Roman" w:hAnsi="Times New Roman" w:eastAsia="楷体_GB2312" w:cs="Times New Roman"/>
          <w:b w:val="0"/>
          <w:bCs/>
          <w:color w:val="000000"/>
          <w:kern w:val="0"/>
          <w:szCs w:val="32"/>
          <w:shd w:val="clear" w:color="auto" w:fill="FFFFFF"/>
          <w:lang w:val="zh-CN"/>
        </w:rPr>
        <w:t>（一）部门财政资金收入情况</w:t>
      </w:r>
    </w:p>
    <w:p w14:paraId="22CB6759">
      <w:pPr>
        <w:keepNext w:val="0"/>
        <w:keepLines w:val="0"/>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年一般公共预算财政拨款</w:t>
      </w:r>
      <w:r>
        <w:rPr>
          <w:rFonts w:hint="default" w:ascii="Times New Roman" w:hAnsi="Times New Roman" w:eastAsia="仿宋_GB2312" w:cs="Times New Roman"/>
          <w:color w:val="000000"/>
          <w:sz w:val="32"/>
          <w:szCs w:val="32"/>
          <w:lang w:val="en-US" w:eastAsia="zh-CN"/>
        </w:rPr>
        <w:t>收入19038.28</w:t>
      </w:r>
      <w:r>
        <w:rPr>
          <w:rFonts w:hint="default" w:ascii="Times New Roman" w:hAnsi="Times New Roman" w:eastAsia="仿宋_GB2312" w:cs="Times New Roman"/>
          <w:color w:val="000000"/>
          <w:sz w:val="32"/>
          <w:szCs w:val="32"/>
        </w:rPr>
        <w:t>万元，主要用于以下方面:</w:t>
      </w:r>
      <w:r>
        <w:rPr>
          <w:rFonts w:hint="default" w:ascii="Times New Roman" w:hAnsi="Times New Roman" w:eastAsia="仿宋_GB2312" w:cs="Times New Roman"/>
          <w:b w:val="0"/>
          <w:bCs/>
          <w:color w:val="000000"/>
          <w:sz w:val="32"/>
          <w:szCs w:val="32"/>
        </w:rPr>
        <w:t>公共安全（类）支出</w:t>
      </w:r>
      <w:r>
        <w:rPr>
          <w:rFonts w:hint="default" w:ascii="Times New Roman" w:hAnsi="Times New Roman" w:eastAsia="仿宋_GB2312" w:cs="Times New Roman"/>
          <w:b w:val="0"/>
          <w:bCs/>
          <w:color w:val="000000"/>
          <w:sz w:val="32"/>
          <w:szCs w:val="32"/>
          <w:lang w:val="en-US" w:eastAsia="zh-CN"/>
        </w:rPr>
        <w:t>17052.36</w:t>
      </w:r>
      <w:r>
        <w:rPr>
          <w:rFonts w:hint="default" w:ascii="Times New Roman" w:hAnsi="Times New Roman" w:eastAsia="仿宋_GB2312" w:cs="Times New Roman"/>
          <w:b w:val="0"/>
          <w:bCs/>
          <w:color w:val="000000"/>
          <w:sz w:val="32"/>
          <w:szCs w:val="32"/>
        </w:rPr>
        <w:t>万元，占</w:t>
      </w:r>
      <w:r>
        <w:rPr>
          <w:rFonts w:hint="default" w:ascii="Times New Roman" w:hAnsi="Times New Roman" w:eastAsia="仿宋_GB2312" w:cs="Times New Roman"/>
          <w:b w:val="0"/>
          <w:bCs/>
          <w:color w:val="000000"/>
          <w:sz w:val="32"/>
          <w:szCs w:val="32"/>
          <w:lang w:val="en-US" w:eastAsia="zh-CN"/>
        </w:rPr>
        <w:t>89.57</w:t>
      </w:r>
      <w:r>
        <w:rPr>
          <w:rFonts w:hint="default" w:ascii="Times New Roman" w:hAnsi="Times New Roman" w:eastAsia="仿宋_GB2312" w:cs="Times New Roman"/>
          <w:b w:val="0"/>
          <w:bCs/>
          <w:color w:val="000000"/>
          <w:sz w:val="32"/>
          <w:szCs w:val="32"/>
        </w:rPr>
        <w:t>%；文化旅游体育与传媒</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val="en-US" w:eastAsia="zh-CN"/>
        </w:rPr>
        <w:t>类</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支出</w:t>
      </w:r>
      <w:r>
        <w:rPr>
          <w:rFonts w:hint="default" w:ascii="Times New Roman" w:hAnsi="Times New Roman" w:eastAsia="仿宋_GB2312" w:cs="Times New Roman"/>
          <w:b w:val="0"/>
          <w:bCs/>
          <w:color w:val="000000"/>
          <w:sz w:val="32"/>
          <w:szCs w:val="32"/>
          <w:lang w:val="en-US" w:eastAsia="zh-CN"/>
        </w:rPr>
        <w:t>2.00万元，占0.01%；</w:t>
      </w:r>
      <w:r>
        <w:rPr>
          <w:rFonts w:hint="default" w:ascii="Times New Roman" w:hAnsi="Times New Roman" w:eastAsia="仿宋_GB2312" w:cs="Times New Roman"/>
          <w:b w:val="0"/>
          <w:bCs/>
          <w:color w:val="000000"/>
          <w:sz w:val="32"/>
          <w:szCs w:val="32"/>
        </w:rPr>
        <w:t>社会保障和就业（类）支出</w:t>
      </w:r>
      <w:r>
        <w:rPr>
          <w:rFonts w:hint="default" w:ascii="Times New Roman" w:hAnsi="Times New Roman" w:eastAsia="仿宋_GB2312" w:cs="Times New Roman"/>
          <w:b w:val="0"/>
          <w:bCs/>
          <w:color w:val="000000"/>
          <w:sz w:val="32"/>
          <w:szCs w:val="32"/>
          <w:lang w:val="en-US" w:eastAsia="zh-CN"/>
        </w:rPr>
        <w:t>974.09</w:t>
      </w:r>
      <w:r>
        <w:rPr>
          <w:rFonts w:hint="default" w:ascii="Times New Roman" w:hAnsi="Times New Roman" w:eastAsia="仿宋_GB2312" w:cs="Times New Roman"/>
          <w:b w:val="0"/>
          <w:bCs/>
          <w:color w:val="000000"/>
          <w:sz w:val="32"/>
          <w:szCs w:val="32"/>
        </w:rPr>
        <w:t>万元，占</w:t>
      </w:r>
      <w:r>
        <w:rPr>
          <w:rFonts w:hint="default" w:ascii="Times New Roman" w:hAnsi="Times New Roman" w:eastAsia="仿宋_GB2312" w:cs="Times New Roman"/>
          <w:b w:val="0"/>
          <w:bCs/>
          <w:color w:val="000000"/>
          <w:sz w:val="32"/>
          <w:szCs w:val="32"/>
          <w:lang w:val="en-US" w:eastAsia="zh-CN"/>
        </w:rPr>
        <w:t>5.12</w:t>
      </w:r>
      <w:r>
        <w:rPr>
          <w:rFonts w:hint="default" w:ascii="Times New Roman" w:hAnsi="Times New Roman" w:eastAsia="仿宋_GB2312" w:cs="Times New Roman"/>
          <w:b w:val="0"/>
          <w:bCs/>
          <w:color w:val="000000"/>
          <w:sz w:val="32"/>
          <w:szCs w:val="32"/>
        </w:rPr>
        <w:t>%；卫生健康（类）支出</w:t>
      </w:r>
      <w:r>
        <w:rPr>
          <w:rFonts w:hint="default" w:ascii="Times New Roman" w:hAnsi="Times New Roman" w:eastAsia="仿宋_GB2312" w:cs="Times New Roman"/>
          <w:b w:val="0"/>
          <w:bCs/>
          <w:color w:val="000000"/>
          <w:sz w:val="32"/>
          <w:szCs w:val="32"/>
          <w:lang w:val="en-US" w:eastAsia="zh-CN"/>
        </w:rPr>
        <w:t>349.42</w:t>
      </w:r>
      <w:r>
        <w:rPr>
          <w:rFonts w:hint="default" w:ascii="Times New Roman" w:hAnsi="Times New Roman" w:eastAsia="仿宋_GB2312" w:cs="Times New Roman"/>
          <w:b w:val="0"/>
          <w:bCs/>
          <w:color w:val="000000"/>
          <w:sz w:val="32"/>
          <w:szCs w:val="32"/>
        </w:rPr>
        <w:t>万元，占</w:t>
      </w:r>
      <w:r>
        <w:rPr>
          <w:rFonts w:hint="default" w:ascii="Times New Roman" w:hAnsi="Times New Roman" w:eastAsia="仿宋_GB2312" w:cs="Times New Roman"/>
          <w:b w:val="0"/>
          <w:bCs/>
          <w:color w:val="000000"/>
          <w:sz w:val="32"/>
          <w:szCs w:val="32"/>
          <w:lang w:val="en-US" w:eastAsia="zh-CN"/>
        </w:rPr>
        <w:t>1.83</w:t>
      </w:r>
      <w:r>
        <w:rPr>
          <w:rFonts w:hint="default" w:ascii="Times New Roman" w:hAnsi="Times New Roman" w:eastAsia="仿宋_GB2312" w:cs="Times New Roman"/>
          <w:b w:val="0"/>
          <w:bCs/>
          <w:color w:val="000000"/>
          <w:sz w:val="32"/>
          <w:szCs w:val="32"/>
        </w:rPr>
        <w:t>%；住房保障（类）支出</w:t>
      </w:r>
      <w:r>
        <w:rPr>
          <w:rFonts w:hint="default" w:ascii="Times New Roman" w:hAnsi="Times New Roman" w:eastAsia="仿宋_GB2312" w:cs="Times New Roman"/>
          <w:b w:val="0"/>
          <w:bCs/>
          <w:color w:val="000000"/>
          <w:sz w:val="32"/>
          <w:szCs w:val="32"/>
          <w:lang w:val="en-US" w:eastAsia="zh-CN"/>
        </w:rPr>
        <w:t>660.42</w:t>
      </w:r>
      <w:r>
        <w:rPr>
          <w:rFonts w:hint="default" w:ascii="Times New Roman" w:hAnsi="Times New Roman" w:eastAsia="仿宋_GB2312" w:cs="Times New Roman"/>
          <w:b w:val="0"/>
          <w:bCs/>
          <w:color w:val="000000"/>
          <w:sz w:val="32"/>
          <w:szCs w:val="32"/>
        </w:rPr>
        <w:t>万元，占</w:t>
      </w:r>
      <w:r>
        <w:rPr>
          <w:rFonts w:hint="default" w:ascii="Times New Roman" w:hAnsi="Times New Roman" w:eastAsia="仿宋_GB2312" w:cs="Times New Roman"/>
          <w:b w:val="0"/>
          <w:bCs/>
          <w:color w:val="000000"/>
          <w:sz w:val="32"/>
          <w:szCs w:val="32"/>
          <w:lang w:val="en-US" w:eastAsia="zh-CN"/>
        </w:rPr>
        <w:t>3.47</w:t>
      </w:r>
      <w:r>
        <w:rPr>
          <w:rFonts w:hint="default" w:ascii="Times New Roman" w:hAnsi="Times New Roman" w:eastAsia="仿宋_GB2312" w:cs="Times New Roman"/>
          <w:b w:val="0"/>
          <w:bCs/>
          <w:color w:val="000000"/>
          <w:sz w:val="32"/>
          <w:szCs w:val="32"/>
        </w:rPr>
        <w:t>%。</w:t>
      </w:r>
    </w:p>
    <w:tbl>
      <w:tblPr>
        <w:tblStyle w:val="12"/>
        <w:tblpPr w:leftFromText="180" w:rightFromText="180" w:vertAnchor="text" w:horzAnchor="page" w:tblpX="1885" w:tblpY="1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074"/>
        <w:gridCol w:w="2081"/>
        <w:gridCol w:w="2081"/>
      </w:tblGrid>
      <w:tr w14:paraId="3E40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66" w:type="dxa"/>
            <w:noWrap w:val="0"/>
            <w:vAlign w:val="center"/>
          </w:tcPr>
          <w:p w14:paraId="24E57BAB">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项目名称</w:t>
            </w:r>
          </w:p>
        </w:tc>
        <w:tc>
          <w:tcPr>
            <w:tcW w:w="2074" w:type="dxa"/>
            <w:noWrap w:val="0"/>
            <w:vAlign w:val="center"/>
          </w:tcPr>
          <w:p w14:paraId="6C370F77">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年初预算</w:t>
            </w:r>
          </w:p>
        </w:tc>
        <w:tc>
          <w:tcPr>
            <w:tcW w:w="2081" w:type="dxa"/>
            <w:noWrap w:val="0"/>
            <w:vAlign w:val="center"/>
          </w:tcPr>
          <w:p w14:paraId="282A3771">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中期调整</w:t>
            </w:r>
          </w:p>
        </w:tc>
        <w:tc>
          <w:tcPr>
            <w:tcW w:w="2081" w:type="dxa"/>
            <w:noWrap w:val="0"/>
            <w:vAlign w:val="center"/>
          </w:tcPr>
          <w:p w14:paraId="5D215157">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年度总预算</w:t>
            </w:r>
          </w:p>
        </w:tc>
      </w:tr>
      <w:tr w14:paraId="2C6B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noWrap w:val="0"/>
            <w:vAlign w:val="center"/>
          </w:tcPr>
          <w:p w14:paraId="64D5D7C3">
            <w:pPr>
              <w:pStyle w:val="2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一、一般公共预算财政拨款收入</w:t>
            </w:r>
          </w:p>
        </w:tc>
        <w:tc>
          <w:tcPr>
            <w:tcW w:w="2074" w:type="dxa"/>
            <w:noWrap w:val="0"/>
            <w:vAlign w:val="center"/>
          </w:tcPr>
          <w:p w14:paraId="7085B92F">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shd w:val="clear" w:color="auto" w:fill="FFFFFF"/>
                <w:lang w:val="en-US" w:eastAsia="zh-CN"/>
              </w:rPr>
              <w:t>12787.88</w:t>
            </w:r>
          </w:p>
        </w:tc>
        <w:tc>
          <w:tcPr>
            <w:tcW w:w="2081" w:type="dxa"/>
            <w:noWrap w:val="0"/>
            <w:vAlign w:val="center"/>
          </w:tcPr>
          <w:p w14:paraId="4DE3E6AF">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shd w:val="clear" w:color="auto" w:fill="FFFFFF"/>
                <w:lang w:val="en-US" w:eastAsia="zh-CN"/>
              </w:rPr>
              <w:t>6250.40</w:t>
            </w:r>
          </w:p>
        </w:tc>
        <w:tc>
          <w:tcPr>
            <w:tcW w:w="2081" w:type="dxa"/>
            <w:noWrap w:val="0"/>
            <w:vAlign w:val="center"/>
          </w:tcPr>
          <w:p w14:paraId="5C3DFD8E">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shd w:val="clear" w:color="auto" w:fill="FFFFFF"/>
                <w:lang w:val="en-US" w:eastAsia="zh-CN"/>
              </w:rPr>
              <w:t>19038.28</w:t>
            </w:r>
          </w:p>
        </w:tc>
      </w:tr>
      <w:tr w14:paraId="7EE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66" w:type="dxa"/>
            <w:noWrap w:val="0"/>
            <w:vAlign w:val="center"/>
          </w:tcPr>
          <w:p w14:paraId="275DA798">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二、其他收入</w:t>
            </w:r>
          </w:p>
        </w:tc>
        <w:tc>
          <w:tcPr>
            <w:tcW w:w="2074" w:type="dxa"/>
            <w:noWrap w:val="0"/>
            <w:vAlign w:val="center"/>
          </w:tcPr>
          <w:p w14:paraId="5BB17C65">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rPr>
            </w:pPr>
          </w:p>
        </w:tc>
        <w:tc>
          <w:tcPr>
            <w:tcW w:w="2081" w:type="dxa"/>
            <w:noWrap w:val="0"/>
            <w:vAlign w:val="center"/>
          </w:tcPr>
          <w:p w14:paraId="5F1EA7E7">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lang w:val="en-US"/>
              </w:rPr>
            </w:pPr>
          </w:p>
        </w:tc>
        <w:tc>
          <w:tcPr>
            <w:tcW w:w="2081" w:type="dxa"/>
            <w:noWrap w:val="0"/>
            <w:vAlign w:val="center"/>
          </w:tcPr>
          <w:p w14:paraId="6B7BB897">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lang w:val="en-US"/>
              </w:rPr>
            </w:pPr>
          </w:p>
        </w:tc>
      </w:tr>
      <w:tr w14:paraId="522C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66" w:type="dxa"/>
            <w:noWrap w:val="0"/>
            <w:vAlign w:val="center"/>
          </w:tcPr>
          <w:p w14:paraId="52438C0D">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年初结转结余</w:t>
            </w:r>
          </w:p>
        </w:tc>
        <w:tc>
          <w:tcPr>
            <w:tcW w:w="2074" w:type="dxa"/>
            <w:noWrap w:val="0"/>
            <w:vAlign w:val="center"/>
          </w:tcPr>
          <w:p w14:paraId="00F3C80F">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lang w:val="en-US"/>
              </w:rPr>
            </w:pPr>
          </w:p>
        </w:tc>
        <w:tc>
          <w:tcPr>
            <w:tcW w:w="2081" w:type="dxa"/>
            <w:noWrap w:val="0"/>
            <w:vAlign w:val="center"/>
          </w:tcPr>
          <w:p w14:paraId="24CEA426">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rPr>
            </w:pPr>
          </w:p>
        </w:tc>
        <w:tc>
          <w:tcPr>
            <w:tcW w:w="2081" w:type="dxa"/>
            <w:noWrap w:val="0"/>
            <w:vAlign w:val="center"/>
          </w:tcPr>
          <w:p w14:paraId="7B0F9A3A">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lang w:val="en-US"/>
              </w:rPr>
            </w:pPr>
          </w:p>
        </w:tc>
      </w:tr>
      <w:tr w14:paraId="687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066" w:type="dxa"/>
            <w:noWrap w:val="0"/>
            <w:vAlign w:val="center"/>
          </w:tcPr>
          <w:p w14:paraId="2D206584">
            <w:pPr>
              <w:pStyle w:val="28"/>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bCs w:val="0"/>
                <w:color w:val="FF0000"/>
                <w:sz w:val="24"/>
                <w:szCs w:val="24"/>
              </w:rPr>
            </w:pPr>
            <w:r>
              <w:rPr>
                <w:rFonts w:hint="default" w:ascii="Times New Roman" w:hAnsi="Times New Roman" w:eastAsia="仿宋_GB2312" w:cs="Times New Roman"/>
                <w:b/>
                <w:bCs w:val="0"/>
                <w:sz w:val="24"/>
                <w:szCs w:val="24"/>
              </w:rPr>
              <w:t>总计</w:t>
            </w:r>
          </w:p>
        </w:tc>
        <w:tc>
          <w:tcPr>
            <w:tcW w:w="2074" w:type="dxa"/>
            <w:noWrap w:val="0"/>
            <w:vAlign w:val="center"/>
          </w:tcPr>
          <w:p w14:paraId="5F2225CB">
            <w:pPr>
              <w:pStyle w:val="28"/>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b/>
                <w:bCs w:val="0"/>
                <w:sz w:val="24"/>
                <w:szCs w:val="24"/>
                <w:lang w:val="en-US"/>
              </w:rPr>
            </w:pPr>
            <w:r>
              <w:rPr>
                <w:rFonts w:hint="default" w:ascii="Times New Roman" w:hAnsi="Times New Roman" w:eastAsia="仿宋_GB2312" w:cs="Times New Roman"/>
                <w:sz w:val="24"/>
                <w:szCs w:val="24"/>
                <w:shd w:val="clear" w:color="auto" w:fill="FFFFFF"/>
                <w:lang w:val="en-US" w:eastAsia="zh-CN"/>
              </w:rPr>
              <w:t>12787.88</w:t>
            </w:r>
          </w:p>
        </w:tc>
        <w:tc>
          <w:tcPr>
            <w:tcW w:w="2081" w:type="dxa"/>
            <w:noWrap w:val="0"/>
            <w:vAlign w:val="center"/>
          </w:tcPr>
          <w:p w14:paraId="5CCCA317">
            <w:pPr>
              <w:pStyle w:val="28"/>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b/>
                <w:bCs w:val="0"/>
                <w:sz w:val="24"/>
                <w:szCs w:val="24"/>
              </w:rPr>
            </w:pPr>
            <w:r>
              <w:rPr>
                <w:rFonts w:hint="default" w:ascii="Times New Roman" w:hAnsi="Times New Roman" w:eastAsia="仿宋_GB2312" w:cs="Times New Roman"/>
                <w:sz w:val="24"/>
                <w:szCs w:val="24"/>
                <w:shd w:val="clear" w:color="auto" w:fill="FFFFFF"/>
                <w:lang w:val="en-US" w:eastAsia="zh-CN"/>
              </w:rPr>
              <w:t>6250.40</w:t>
            </w:r>
          </w:p>
        </w:tc>
        <w:tc>
          <w:tcPr>
            <w:tcW w:w="2081" w:type="dxa"/>
            <w:noWrap w:val="0"/>
            <w:vAlign w:val="center"/>
          </w:tcPr>
          <w:p w14:paraId="63296254">
            <w:pPr>
              <w:pStyle w:val="28"/>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b/>
                <w:bCs w:val="0"/>
                <w:sz w:val="24"/>
                <w:szCs w:val="24"/>
              </w:rPr>
            </w:pPr>
            <w:r>
              <w:rPr>
                <w:rFonts w:hint="default" w:ascii="Times New Roman" w:hAnsi="Times New Roman" w:eastAsia="仿宋_GB2312" w:cs="Times New Roman"/>
                <w:sz w:val="24"/>
                <w:szCs w:val="24"/>
                <w:shd w:val="clear" w:color="auto" w:fill="FFFFFF"/>
                <w:lang w:val="en-US" w:eastAsia="zh-CN"/>
              </w:rPr>
              <w:t>19038.28</w:t>
            </w:r>
          </w:p>
        </w:tc>
      </w:tr>
    </w:tbl>
    <w:p w14:paraId="2F10EBF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rPr>
          <w:rFonts w:hint="default" w:ascii="Times New Roman" w:hAnsi="Times New Roman" w:cs="Times New Roman"/>
          <w:color w:val="000000"/>
          <w:kern w:val="0"/>
          <w:szCs w:val="32"/>
          <w:shd w:val="clear" w:color="auto" w:fill="FFFFFF"/>
          <w:lang w:val="zh-CN"/>
        </w:rPr>
      </w:pPr>
      <w:r>
        <w:rPr>
          <w:rFonts w:hint="default" w:ascii="Times New Roman" w:hAnsi="Times New Roman" w:eastAsia="楷体_GB2312" w:cs="Times New Roman"/>
          <w:b/>
          <w:color w:val="000000"/>
          <w:kern w:val="0"/>
          <w:szCs w:val="32"/>
          <w:shd w:val="clear" w:color="auto" w:fill="FFFFFF"/>
          <w:lang w:val="zh-CN"/>
        </w:rPr>
        <w:t>（二）部门财政资金支出情况</w:t>
      </w:r>
    </w:p>
    <w:p w14:paraId="7AA3686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仿宋_GB2312" w:cs="Times New Roman"/>
          <w:color w:val="000000"/>
          <w:kern w:val="0"/>
          <w:szCs w:val="32"/>
          <w:shd w:val="clear" w:color="auto" w:fill="FFFFFF"/>
          <w:lang w:val="zh-CN"/>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年一般公共预算财政拨款</w:t>
      </w:r>
      <w:r>
        <w:rPr>
          <w:rFonts w:hint="default" w:ascii="Times New Roman" w:hAnsi="Times New Roman" w:eastAsia="仿宋_GB2312" w:cs="Times New Roman"/>
          <w:color w:val="000000"/>
          <w:sz w:val="32"/>
          <w:szCs w:val="32"/>
          <w:lang w:val="en-US" w:eastAsia="zh-CN"/>
        </w:rPr>
        <w:t>支出19038.28</w:t>
      </w:r>
      <w:r>
        <w:rPr>
          <w:rFonts w:hint="default" w:ascii="Times New Roman" w:hAnsi="Times New Roman" w:eastAsia="仿宋_GB2312" w:cs="Times New Roman"/>
          <w:color w:val="000000"/>
          <w:sz w:val="32"/>
          <w:szCs w:val="32"/>
        </w:rPr>
        <w:t>万元，主要用于以下方面:</w:t>
      </w:r>
      <w:r>
        <w:rPr>
          <w:rFonts w:hint="default" w:ascii="Times New Roman" w:hAnsi="Times New Roman" w:eastAsia="仿宋_GB2312" w:cs="Times New Roman"/>
          <w:b w:val="0"/>
          <w:bCs/>
          <w:color w:val="000000"/>
          <w:sz w:val="32"/>
          <w:szCs w:val="32"/>
        </w:rPr>
        <w:t>公共安全（类）支出</w:t>
      </w:r>
      <w:r>
        <w:rPr>
          <w:rFonts w:hint="default" w:ascii="Times New Roman" w:hAnsi="Times New Roman" w:eastAsia="仿宋_GB2312" w:cs="Times New Roman"/>
          <w:b w:val="0"/>
          <w:bCs/>
          <w:color w:val="000000"/>
          <w:sz w:val="32"/>
          <w:szCs w:val="32"/>
          <w:lang w:val="en-US" w:eastAsia="zh-CN"/>
        </w:rPr>
        <w:t>17052.36</w:t>
      </w:r>
      <w:r>
        <w:rPr>
          <w:rFonts w:hint="default" w:ascii="Times New Roman" w:hAnsi="Times New Roman" w:eastAsia="仿宋_GB2312" w:cs="Times New Roman"/>
          <w:b w:val="0"/>
          <w:bCs/>
          <w:color w:val="000000"/>
          <w:sz w:val="32"/>
          <w:szCs w:val="32"/>
        </w:rPr>
        <w:t>万元，占</w:t>
      </w:r>
      <w:r>
        <w:rPr>
          <w:rFonts w:hint="default" w:ascii="Times New Roman" w:hAnsi="Times New Roman" w:eastAsia="仿宋_GB2312" w:cs="Times New Roman"/>
          <w:b w:val="0"/>
          <w:bCs/>
          <w:color w:val="000000"/>
          <w:sz w:val="32"/>
          <w:szCs w:val="32"/>
          <w:lang w:val="en-US" w:eastAsia="zh-CN"/>
        </w:rPr>
        <w:t>89.57</w:t>
      </w:r>
      <w:r>
        <w:rPr>
          <w:rFonts w:hint="default" w:ascii="Times New Roman" w:hAnsi="Times New Roman" w:eastAsia="仿宋_GB2312" w:cs="Times New Roman"/>
          <w:b w:val="0"/>
          <w:bCs/>
          <w:color w:val="000000"/>
          <w:sz w:val="32"/>
          <w:szCs w:val="32"/>
        </w:rPr>
        <w:t>%；文化旅游体育与传媒</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val="en-US" w:eastAsia="zh-CN"/>
        </w:rPr>
        <w:t>类</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支出</w:t>
      </w:r>
      <w:r>
        <w:rPr>
          <w:rFonts w:hint="default" w:ascii="Times New Roman" w:hAnsi="Times New Roman" w:eastAsia="仿宋_GB2312" w:cs="Times New Roman"/>
          <w:b w:val="0"/>
          <w:bCs/>
          <w:color w:val="000000"/>
          <w:sz w:val="32"/>
          <w:szCs w:val="32"/>
          <w:lang w:val="en-US" w:eastAsia="zh-CN"/>
        </w:rPr>
        <w:t>2.00万元，占0.01%；</w:t>
      </w:r>
      <w:r>
        <w:rPr>
          <w:rFonts w:hint="default" w:ascii="Times New Roman" w:hAnsi="Times New Roman" w:eastAsia="仿宋_GB2312" w:cs="Times New Roman"/>
          <w:b w:val="0"/>
          <w:bCs/>
          <w:color w:val="000000"/>
          <w:sz w:val="32"/>
          <w:szCs w:val="32"/>
        </w:rPr>
        <w:t>社会保障和就业（类）支出</w:t>
      </w:r>
      <w:r>
        <w:rPr>
          <w:rFonts w:hint="default" w:ascii="Times New Roman" w:hAnsi="Times New Roman" w:eastAsia="仿宋_GB2312" w:cs="Times New Roman"/>
          <w:b w:val="0"/>
          <w:bCs/>
          <w:color w:val="000000"/>
          <w:sz w:val="32"/>
          <w:szCs w:val="32"/>
          <w:lang w:val="en-US" w:eastAsia="zh-CN"/>
        </w:rPr>
        <w:t>974.09</w:t>
      </w:r>
      <w:r>
        <w:rPr>
          <w:rFonts w:hint="default" w:ascii="Times New Roman" w:hAnsi="Times New Roman" w:eastAsia="仿宋_GB2312" w:cs="Times New Roman"/>
          <w:b w:val="0"/>
          <w:bCs/>
          <w:color w:val="000000"/>
          <w:sz w:val="32"/>
          <w:szCs w:val="32"/>
        </w:rPr>
        <w:t>万元，占</w:t>
      </w:r>
      <w:r>
        <w:rPr>
          <w:rFonts w:hint="default" w:ascii="Times New Roman" w:hAnsi="Times New Roman" w:eastAsia="仿宋_GB2312" w:cs="Times New Roman"/>
          <w:b w:val="0"/>
          <w:bCs/>
          <w:color w:val="000000"/>
          <w:sz w:val="32"/>
          <w:szCs w:val="32"/>
          <w:lang w:val="en-US" w:eastAsia="zh-CN"/>
        </w:rPr>
        <w:t>5.12</w:t>
      </w:r>
      <w:r>
        <w:rPr>
          <w:rFonts w:hint="default" w:ascii="Times New Roman" w:hAnsi="Times New Roman" w:eastAsia="仿宋_GB2312" w:cs="Times New Roman"/>
          <w:b w:val="0"/>
          <w:bCs/>
          <w:color w:val="000000"/>
          <w:sz w:val="32"/>
          <w:szCs w:val="32"/>
        </w:rPr>
        <w:t>%；卫生健康（类）支出</w:t>
      </w:r>
      <w:r>
        <w:rPr>
          <w:rFonts w:hint="default" w:ascii="Times New Roman" w:hAnsi="Times New Roman" w:eastAsia="仿宋_GB2312" w:cs="Times New Roman"/>
          <w:b w:val="0"/>
          <w:bCs/>
          <w:color w:val="000000"/>
          <w:sz w:val="32"/>
          <w:szCs w:val="32"/>
          <w:lang w:val="en-US" w:eastAsia="zh-CN"/>
        </w:rPr>
        <w:t>349.42</w:t>
      </w:r>
      <w:r>
        <w:rPr>
          <w:rFonts w:hint="default" w:ascii="Times New Roman" w:hAnsi="Times New Roman" w:eastAsia="仿宋_GB2312" w:cs="Times New Roman"/>
          <w:b w:val="0"/>
          <w:bCs/>
          <w:color w:val="000000"/>
          <w:sz w:val="32"/>
          <w:szCs w:val="32"/>
        </w:rPr>
        <w:t>万元，占</w:t>
      </w:r>
      <w:r>
        <w:rPr>
          <w:rFonts w:hint="default" w:ascii="Times New Roman" w:hAnsi="Times New Roman" w:eastAsia="仿宋_GB2312" w:cs="Times New Roman"/>
          <w:b w:val="0"/>
          <w:bCs/>
          <w:color w:val="000000"/>
          <w:sz w:val="32"/>
          <w:szCs w:val="32"/>
          <w:lang w:val="en-US" w:eastAsia="zh-CN"/>
        </w:rPr>
        <w:t>1.83</w:t>
      </w:r>
      <w:r>
        <w:rPr>
          <w:rFonts w:hint="default" w:ascii="Times New Roman" w:hAnsi="Times New Roman" w:eastAsia="仿宋_GB2312" w:cs="Times New Roman"/>
          <w:b w:val="0"/>
          <w:bCs/>
          <w:color w:val="000000"/>
          <w:sz w:val="32"/>
          <w:szCs w:val="32"/>
        </w:rPr>
        <w:t>%；住房保障（类）支出</w:t>
      </w:r>
      <w:r>
        <w:rPr>
          <w:rFonts w:hint="default" w:ascii="Times New Roman" w:hAnsi="Times New Roman" w:eastAsia="仿宋_GB2312" w:cs="Times New Roman"/>
          <w:b w:val="0"/>
          <w:bCs/>
          <w:color w:val="000000"/>
          <w:sz w:val="32"/>
          <w:szCs w:val="32"/>
          <w:lang w:val="en-US" w:eastAsia="zh-CN"/>
        </w:rPr>
        <w:t>660.42</w:t>
      </w:r>
      <w:r>
        <w:rPr>
          <w:rFonts w:hint="default" w:ascii="Times New Roman" w:hAnsi="Times New Roman" w:eastAsia="仿宋_GB2312" w:cs="Times New Roman"/>
          <w:b w:val="0"/>
          <w:bCs/>
          <w:color w:val="000000"/>
          <w:sz w:val="32"/>
          <w:szCs w:val="32"/>
        </w:rPr>
        <w:t>万元，占</w:t>
      </w:r>
      <w:r>
        <w:rPr>
          <w:rFonts w:hint="default" w:ascii="Times New Roman" w:hAnsi="Times New Roman" w:eastAsia="仿宋_GB2312" w:cs="Times New Roman"/>
          <w:b w:val="0"/>
          <w:bCs/>
          <w:color w:val="000000"/>
          <w:sz w:val="32"/>
          <w:szCs w:val="32"/>
          <w:lang w:val="en-US" w:eastAsia="zh-CN"/>
        </w:rPr>
        <w:t>3.47</w:t>
      </w:r>
      <w:r>
        <w:rPr>
          <w:rFonts w:hint="default" w:ascii="Times New Roman" w:hAnsi="Times New Roman" w:eastAsia="仿宋_GB2312" w:cs="Times New Roman"/>
          <w:b w:val="0"/>
          <w:bCs/>
          <w:color w:val="000000"/>
          <w:sz w:val="32"/>
          <w:szCs w:val="32"/>
        </w:rPr>
        <w:t>%。</w:t>
      </w:r>
    </w:p>
    <w:p w14:paraId="6BD3576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ascii="Times New Roman" w:hAnsi="Times New Roman" w:eastAsia="仿宋_GB2312" w:cs="Times New Roman"/>
          <w:szCs w:val="32"/>
        </w:rPr>
      </w:pPr>
      <w:r>
        <w:rPr>
          <w:rFonts w:hint="default" w:ascii="Times New Roman" w:hAnsi="Times New Roman" w:eastAsia="仿宋_GB2312" w:cs="Times New Roman"/>
          <w:color w:val="000000"/>
          <w:sz w:val="32"/>
          <w:szCs w:val="32"/>
          <w:lang w:val="zh-CN"/>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zh-CN"/>
        </w:rPr>
        <w:t>年度，遂宁市公安局财政支出年初预算为</w:t>
      </w:r>
      <w:r>
        <w:rPr>
          <w:rFonts w:hint="default" w:ascii="Times New Roman" w:hAnsi="Times New Roman" w:eastAsia="仿宋_GB2312" w:cs="Times New Roman"/>
          <w:color w:val="000000"/>
          <w:sz w:val="32"/>
          <w:szCs w:val="32"/>
          <w:lang w:val="en-US" w:eastAsia="zh-CN"/>
        </w:rPr>
        <w:t>12787.88</w:t>
      </w:r>
      <w:r>
        <w:rPr>
          <w:rFonts w:hint="default" w:ascii="Times New Roman" w:hAnsi="Times New Roman" w:eastAsia="仿宋_GB2312" w:cs="Times New Roman"/>
          <w:color w:val="000000"/>
          <w:sz w:val="32"/>
          <w:szCs w:val="32"/>
          <w:lang w:val="zh-CN"/>
        </w:rPr>
        <w:t>万元，中期调整</w:t>
      </w:r>
      <w:r>
        <w:rPr>
          <w:rFonts w:hint="default" w:ascii="Times New Roman" w:hAnsi="Times New Roman" w:eastAsia="仿宋_GB2312" w:cs="Times New Roman"/>
          <w:color w:val="000000"/>
          <w:sz w:val="32"/>
          <w:szCs w:val="32"/>
          <w:lang w:val="en-US" w:eastAsia="zh-CN"/>
        </w:rPr>
        <w:t>金额6250.40</w:t>
      </w:r>
      <w:r>
        <w:rPr>
          <w:rFonts w:hint="default" w:ascii="Times New Roman" w:hAnsi="Times New Roman" w:eastAsia="仿宋_GB2312" w:cs="Times New Roman"/>
          <w:color w:val="000000"/>
          <w:sz w:val="32"/>
          <w:szCs w:val="32"/>
          <w:lang w:val="zh-CN"/>
        </w:rPr>
        <w:t>万元，调整后预算支出总额为</w:t>
      </w:r>
      <w:r>
        <w:rPr>
          <w:rFonts w:hint="default" w:ascii="Times New Roman" w:hAnsi="Times New Roman" w:eastAsia="仿宋_GB2312" w:cs="Times New Roman"/>
          <w:color w:val="000000"/>
          <w:sz w:val="32"/>
          <w:szCs w:val="32"/>
          <w:lang w:val="en-US" w:eastAsia="zh-CN"/>
        </w:rPr>
        <w:t>19038.28</w:t>
      </w:r>
      <w:r>
        <w:rPr>
          <w:rFonts w:hint="default" w:ascii="Times New Roman" w:hAnsi="Times New Roman" w:eastAsia="仿宋_GB2312" w:cs="Times New Roman"/>
          <w:color w:val="000000"/>
          <w:sz w:val="32"/>
          <w:szCs w:val="32"/>
          <w:lang w:val="zh-CN"/>
        </w:rPr>
        <w:t>万元，部门支出预算执行总额为</w:t>
      </w:r>
      <w:r>
        <w:rPr>
          <w:rFonts w:hint="default" w:ascii="Times New Roman" w:hAnsi="Times New Roman" w:eastAsia="仿宋_GB2312" w:cs="Times New Roman"/>
          <w:color w:val="000000"/>
          <w:sz w:val="32"/>
          <w:szCs w:val="32"/>
          <w:lang w:val="en-US" w:eastAsia="zh-CN"/>
        </w:rPr>
        <w:t>19038.28</w:t>
      </w:r>
      <w:r>
        <w:rPr>
          <w:rFonts w:hint="default" w:ascii="Times New Roman" w:hAnsi="Times New Roman" w:eastAsia="仿宋_GB2312" w:cs="Times New Roman"/>
          <w:color w:val="000000"/>
          <w:sz w:val="32"/>
          <w:szCs w:val="32"/>
          <w:lang w:val="zh-CN"/>
        </w:rPr>
        <w:t>万元，部门总体执行进度为</w:t>
      </w:r>
      <w:r>
        <w:rPr>
          <w:rFonts w:hint="default" w:ascii="Times New Roman" w:hAnsi="Times New Roman" w:eastAsia="仿宋_GB2312" w:cs="Times New Roman"/>
          <w:color w:val="000000"/>
          <w:sz w:val="32"/>
          <w:szCs w:val="32"/>
          <w:lang w:val="en-US" w:eastAsia="zh-CN"/>
        </w:rPr>
        <w:t>100.00</w:t>
      </w:r>
      <w:r>
        <w:rPr>
          <w:rFonts w:hint="default" w:ascii="Times New Roman" w:hAnsi="Times New Roman" w:eastAsia="仿宋_GB2312" w:cs="Times New Roman"/>
          <w:color w:val="000000"/>
          <w:sz w:val="32"/>
          <w:szCs w:val="32"/>
          <w:lang w:val="zh-CN"/>
        </w:rPr>
        <w:t>%，其中：基本支出预算总额为</w:t>
      </w:r>
      <w:r>
        <w:rPr>
          <w:rFonts w:hint="default" w:ascii="Times New Roman" w:hAnsi="Times New Roman" w:eastAsia="仿宋_GB2312" w:cs="Times New Roman"/>
          <w:color w:val="000000"/>
          <w:sz w:val="32"/>
          <w:szCs w:val="32"/>
          <w:lang w:val="en-US" w:eastAsia="zh-CN"/>
        </w:rPr>
        <w:t>10747.16</w:t>
      </w:r>
      <w:r>
        <w:rPr>
          <w:rFonts w:hint="default" w:ascii="Times New Roman" w:hAnsi="Times New Roman" w:eastAsia="仿宋_GB2312" w:cs="Times New Roman"/>
          <w:color w:val="000000"/>
          <w:sz w:val="32"/>
          <w:szCs w:val="32"/>
          <w:lang w:val="zh-CN"/>
        </w:rPr>
        <w:t>万元，基本支出执行总额为</w:t>
      </w:r>
      <w:r>
        <w:rPr>
          <w:rFonts w:hint="default" w:ascii="Times New Roman" w:hAnsi="Times New Roman" w:eastAsia="仿宋_GB2312" w:cs="Times New Roman"/>
          <w:color w:val="000000"/>
          <w:sz w:val="32"/>
          <w:szCs w:val="32"/>
          <w:lang w:val="en-US" w:eastAsia="zh-CN"/>
        </w:rPr>
        <w:t>10747.16</w:t>
      </w:r>
      <w:r>
        <w:rPr>
          <w:rFonts w:hint="default" w:ascii="Times New Roman" w:hAnsi="Times New Roman" w:eastAsia="仿宋_GB2312" w:cs="Times New Roman"/>
          <w:color w:val="000000"/>
          <w:sz w:val="32"/>
          <w:szCs w:val="32"/>
          <w:lang w:val="zh-CN"/>
        </w:rPr>
        <w:t>万元，基本支出总体执行进度</w:t>
      </w:r>
      <w:r>
        <w:rPr>
          <w:rFonts w:hint="default" w:ascii="Times New Roman" w:hAnsi="Times New Roman" w:eastAsia="仿宋_GB2312" w:cs="Times New Roman"/>
          <w:color w:val="000000"/>
          <w:sz w:val="32"/>
          <w:szCs w:val="32"/>
          <w:lang w:val="en-US" w:eastAsia="zh-CN"/>
        </w:rPr>
        <w:t>100.00</w:t>
      </w:r>
      <w:r>
        <w:rPr>
          <w:rFonts w:hint="default" w:ascii="Times New Roman" w:hAnsi="Times New Roman" w:eastAsia="仿宋_GB2312" w:cs="Times New Roman"/>
          <w:color w:val="000000"/>
          <w:sz w:val="32"/>
          <w:szCs w:val="32"/>
          <w:lang w:val="zh-CN"/>
        </w:rPr>
        <w:t>%；项目支出预算总额为</w:t>
      </w:r>
      <w:r>
        <w:rPr>
          <w:rFonts w:hint="default" w:ascii="Times New Roman" w:hAnsi="Times New Roman" w:eastAsia="仿宋_GB2312" w:cs="Times New Roman"/>
          <w:color w:val="000000"/>
          <w:sz w:val="32"/>
          <w:szCs w:val="32"/>
          <w:lang w:val="en-US" w:eastAsia="zh-CN"/>
        </w:rPr>
        <w:t>8291.13</w:t>
      </w:r>
      <w:r>
        <w:rPr>
          <w:rFonts w:hint="default" w:ascii="Times New Roman" w:hAnsi="Times New Roman" w:eastAsia="仿宋_GB2312" w:cs="Times New Roman"/>
          <w:color w:val="000000"/>
          <w:sz w:val="32"/>
          <w:szCs w:val="32"/>
          <w:lang w:val="zh-CN"/>
        </w:rPr>
        <w:t>万元，项目支出执行总额为</w:t>
      </w:r>
      <w:r>
        <w:rPr>
          <w:rFonts w:hint="default" w:ascii="Times New Roman" w:hAnsi="Times New Roman" w:eastAsia="仿宋_GB2312" w:cs="Times New Roman"/>
          <w:color w:val="000000"/>
          <w:sz w:val="32"/>
          <w:szCs w:val="32"/>
          <w:lang w:val="en-US" w:eastAsia="zh-CN"/>
        </w:rPr>
        <w:t>8291.13</w:t>
      </w:r>
      <w:r>
        <w:rPr>
          <w:rFonts w:hint="default" w:ascii="Times New Roman" w:hAnsi="Times New Roman" w:eastAsia="仿宋_GB2312" w:cs="Times New Roman"/>
          <w:color w:val="000000"/>
          <w:sz w:val="32"/>
          <w:szCs w:val="32"/>
          <w:lang w:val="zh-CN"/>
        </w:rPr>
        <w:t>万元，项目支出总体执行进度100</w:t>
      </w:r>
      <w:r>
        <w:rPr>
          <w:rFonts w:hint="default" w:ascii="Times New Roman" w:hAnsi="Times New Roman" w:eastAsia="仿宋_GB2312" w:cs="Times New Roman"/>
          <w:color w:val="000000"/>
          <w:sz w:val="32"/>
          <w:szCs w:val="32"/>
          <w:lang w:val="en-US" w:eastAsia="zh-CN"/>
        </w:rPr>
        <w:t>.00</w:t>
      </w:r>
      <w:r>
        <w:rPr>
          <w:rFonts w:hint="default" w:ascii="Times New Roman" w:hAnsi="Times New Roman" w:eastAsia="仿宋_GB2312" w:cs="Times New Roman"/>
          <w:color w:val="000000"/>
          <w:sz w:val="32"/>
          <w:szCs w:val="32"/>
          <w:lang w:val="zh-CN"/>
        </w:rPr>
        <w:t>%。</w:t>
      </w:r>
    </w:p>
    <w:tbl>
      <w:tblPr>
        <w:tblStyle w:val="12"/>
        <w:tblpPr w:leftFromText="180" w:rightFromText="180" w:vertAnchor="text" w:horzAnchor="page" w:tblpX="1790"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156"/>
        <w:gridCol w:w="1426"/>
        <w:gridCol w:w="1352"/>
        <w:gridCol w:w="1390"/>
        <w:gridCol w:w="1383"/>
      </w:tblGrid>
      <w:tr w14:paraId="1140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noWrap w:val="0"/>
            <w:vAlign w:val="center"/>
          </w:tcPr>
          <w:p w14:paraId="3BB637DC">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项目名称</w:t>
            </w:r>
          </w:p>
        </w:tc>
        <w:tc>
          <w:tcPr>
            <w:tcW w:w="1156" w:type="dxa"/>
            <w:noWrap w:val="0"/>
            <w:vAlign w:val="center"/>
          </w:tcPr>
          <w:p w14:paraId="665A1EFA">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年</w:t>
            </w:r>
            <w:r>
              <w:rPr>
                <w:rFonts w:hint="default" w:ascii="Times New Roman" w:hAnsi="Times New Roman" w:eastAsia="黑体" w:cs="Times New Roman"/>
                <w:b w:val="0"/>
                <w:bCs/>
                <w:sz w:val="21"/>
                <w:szCs w:val="21"/>
                <w:lang w:val="en-US"/>
              </w:rPr>
              <w:t>初</w:t>
            </w:r>
            <w:r>
              <w:rPr>
                <w:rFonts w:hint="default" w:ascii="Times New Roman" w:hAnsi="Times New Roman" w:eastAsia="黑体" w:cs="Times New Roman"/>
                <w:b w:val="0"/>
                <w:bCs/>
                <w:sz w:val="21"/>
                <w:szCs w:val="21"/>
              </w:rPr>
              <w:t>预算</w:t>
            </w:r>
          </w:p>
        </w:tc>
        <w:tc>
          <w:tcPr>
            <w:tcW w:w="1426" w:type="dxa"/>
            <w:noWrap w:val="0"/>
            <w:vAlign w:val="center"/>
          </w:tcPr>
          <w:p w14:paraId="211FDB1D">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中期调整</w:t>
            </w:r>
          </w:p>
        </w:tc>
        <w:tc>
          <w:tcPr>
            <w:tcW w:w="1352" w:type="dxa"/>
            <w:tcBorders>
              <w:bottom w:val="single" w:color="auto" w:sz="4" w:space="0"/>
            </w:tcBorders>
            <w:noWrap w:val="0"/>
            <w:vAlign w:val="center"/>
          </w:tcPr>
          <w:p w14:paraId="5B427E46">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年</w:t>
            </w:r>
            <w:r>
              <w:rPr>
                <w:rFonts w:hint="default" w:ascii="Times New Roman" w:hAnsi="Times New Roman" w:eastAsia="黑体" w:cs="Times New Roman"/>
                <w:b w:val="0"/>
                <w:bCs/>
                <w:sz w:val="21"/>
                <w:szCs w:val="21"/>
                <w:lang w:val="en-US"/>
              </w:rPr>
              <w:t>度</w:t>
            </w:r>
            <w:r>
              <w:rPr>
                <w:rFonts w:hint="default" w:ascii="Times New Roman" w:hAnsi="Times New Roman" w:eastAsia="黑体" w:cs="Times New Roman"/>
                <w:b w:val="0"/>
                <w:bCs/>
                <w:sz w:val="21"/>
                <w:szCs w:val="21"/>
              </w:rPr>
              <w:t>总预算</w:t>
            </w:r>
          </w:p>
        </w:tc>
        <w:tc>
          <w:tcPr>
            <w:tcW w:w="1390" w:type="dxa"/>
            <w:tcBorders>
              <w:bottom w:val="single" w:color="auto" w:sz="4" w:space="0"/>
            </w:tcBorders>
            <w:noWrap w:val="0"/>
            <w:vAlign w:val="center"/>
          </w:tcPr>
          <w:p w14:paraId="4E89EE1B">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预算执行</w:t>
            </w:r>
          </w:p>
        </w:tc>
        <w:tc>
          <w:tcPr>
            <w:tcW w:w="1383" w:type="dxa"/>
            <w:noWrap w:val="0"/>
            <w:vAlign w:val="center"/>
          </w:tcPr>
          <w:p w14:paraId="5D6F830C">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执行率（%）</w:t>
            </w:r>
          </w:p>
        </w:tc>
      </w:tr>
      <w:tr w14:paraId="4500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5" w:type="dxa"/>
            <w:noWrap w:val="0"/>
            <w:vAlign w:val="center"/>
          </w:tcPr>
          <w:p w14:paraId="79666BAB">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一、基本支出</w:t>
            </w:r>
          </w:p>
        </w:tc>
        <w:tc>
          <w:tcPr>
            <w:tcW w:w="1156" w:type="dxa"/>
            <w:noWrap w:val="0"/>
            <w:vAlign w:val="center"/>
          </w:tcPr>
          <w:p w14:paraId="5AE2B482">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9134.46</w:t>
            </w:r>
          </w:p>
        </w:tc>
        <w:tc>
          <w:tcPr>
            <w:tcW w:w="1426" w:type="dxa"/>
            <w:tcBorders>
              <w:top w:val="nil"/>
              <w:left w:val="nil"/>
              <w:bottom w:val="single" w:color="auto" w:sz="4" w:space="0"/>
              <w:right w:val="single" w:color="auto" w:sz="8" w:space="0"/>
            </w:tcBorders>
            <w:noWrap w:val="0"/>
            <w:vAlign w:val="center"/>
          </w:tcPr>
          <w:p w14:paraId="05A34410">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1612.70</w:t>
            </w:r>
          </w:p>
        </w:tc>
        <w:tc>
          <w:tcPr>
            <w:tcW w:w="1352" w:type="dxa"/>
            <w:tcBorders>
              <w:top w:val="single" w:color="auto" w:sz="4" w:space="0"/>
              <w:left w:val="nil"/>
              <w:bottom w:val="single" w:color="auto" w:sz="4" w:space="0"/>
              <w:right w:val="single" w:color="auto" w:sz="4" w:space="0"/>
            </w:tcBorders>
            <w:noWrap w:val="0"/>
            <w:vAlign w:val="center"/>
          </w:tcPr>
          <w:p w14:paraId="54819E95">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10747.16</w:t>
            </w:r>
          </w:p>
        </w:tc>
        <w:tc>
          <w:tcPr>
            <w:tcW w:w="1390" w:type="dxa"/>
            <w:tcBorders>
              <w:top w:val="single" w:color="auto" w:sz="4" w:space="0"/>
              <w:left w:val="single" w:color="auto" w:sz="4" w:space="0"/>
              <w:bottom w:val="single" w:color="auto" w:sz="4" w:space="0"/>
              <w:right w:val="nil"/>
            </w:tcBorders>
            <w:noWrap w:val="0"/>
            <w:vAlign w:val="center"/>
          </w:tcPr>
          <w:p w14:paraId="43CE1302">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rPr>
              <w:t>10747.16</w:t>
            </w:r>
          </w:p>
        </w:tc>
        <w:tc>
          <w:tcPr>
            <w:tcW w:w="1383" w:type="dxa"/>
            <w:noWrap w:val="0"/>
            <w:vAlign w:val="center"/>
          </w:tcPr>
          <w:p w14:paraId="69447E7F">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rPr>
              <w:t>100%</w:t>
            </w:r>
          </w:p>
        </w:tc>
      </w:tr>
      <w:tr w14:paraId="52E9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5" w:type="dxa"/>
            <w:noWrap w:val="0"/>
            <w:vAlign w:val="center"/>
          </w:tcPr>
          <w:p w14:paraId="071035A4">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人员经费</w:t>
            </w:r>
          </w:p>
        </w:tc>
        <w:tc>
          <w:tcPr>
            <w:tcW w:w="1156" w:type="dxa"/>
            <w:noWrap w:val="0"/>
            <w:vAlign w:val="center"/>
          </w:tcPr>
          <w:p w14:paraId="5F4D0018">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6944.77</w:t>
            </w:r>
          </w:p>
        </w:tc>
        <w:tc>
          <w:tcPr>
            <w:tcW w:w="1426" w:type="dxa"/>
            <w:tcBorders>
              <w:top w:val="nil"/>
              <w:left w:val="nil"/>
              <w:bottom w:val="single" w:color="auto" w:sz="4" w:space="0"/>
              <w:right w:val="single" w:color="auto" w:sz="8" w:space="0"/>
            </w:tcBorders>
            <w:noWrap w:val="0"/>
            <w:vAlign w:val="center"/>
          </w:tcPr>
          <w:p w14:paraId="71F6D5C8">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1571.45</w:t>
            </w:r>
          </w:p>
        </w:tc>
        <w:tc>
          <w:tcPr>
            <w:tcW w:w="1352" w:type="dxa"/>
            <w:tcBorders>
              <w:top w:val="single" w:color="auto" w:sz="4" w:space="0"/>
              <w:left w:val="nil"/>
              <w:bottom w:val="single" w:color="auto" w:sz="4" w:space="0"/>
              <w:right w:val="single" w:color="auto" w:sz="4" w:space="0"/>
            </w:tcBorders>
            <w:noWrap w:val="0"/>
            <w:vAlign w:val="center"/>
          </w:tcPr>
          <w:p w14:paraId="2C66AE9A">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8516.22</w:t>
            </w:r>
          </w:p>
        </w:tc>
        <w:tc>
          <w:tcPr>
            <w:tcW w:w="1390" w:type="dxa"/>
            <w:tcBorders>
              <w:top w:val="single" w:color="auto" w:sz="4" w:space="0"/>
              <w:left w:val="single" w:color="auto" w:sz="4" w:space="0"/>
              <w:bottom w:val="single" w:color="auto" w:sz="4" w:space="0"/>
              <w:right w:val="nil"/>
            </w:tcBorders>
            <w:noWrap w:val="0"/>
            <w:vAlign w:val="center"/>
          </w:tcPr>
          <w:p w14:paraId="1E8C00D2">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rPr>
              <w:t>8516.22</w:t>
            </w:r>
          </w:p>
        </w:tc>
        <w:tc>
          <w:tcPr>
            <w:tcW w:w="1383" w:type="dxa"/>
            <w:noWrap w:val="0"/>
            <w:vAlign w:val="center"/>
          </w:tcPr>
          <w:p w14:paraId="4259A5F0">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rPr>
              <w:t>100%</w:t>
            </w:r>
          </w:p>
        </w:tc>
      </w:tr>
      <w:tr w14:paraId="0878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5" w:type="dxa"/>
            <w:noWrap w:val="0"/>
            <w:vAlign w:val="center"/>
          </w:tcPr>
          <w:p w14:paraId="21C5EC36">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公用经费</w:t>
            </w:r>
          </w:p>
        </w:tc>
        <w:tc>
          <w:tcPr>
            <w:tcW w:w="1156" w:type="dxa"/>
            <w:noWrap w:val="0"/>
            <w:vAlign w:val="center"/>
          </w:tcPr>
          <w:p w14:paraId="6DFF6A06">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2189.69</w:t>
            </w:r>
          </w:p>
        </w:tc>
        <w:tc>
          <w:tcPr>
            <w:tcW w:w="1426" w:type="dxa"/>
            <w:tcBorders>
              <w:top w:val="nil"/>
              <w:left w:val="nil"/>
              <w:bottom w:val="single" w:color="auto" w:sz="4" w:space="0"/>
              <w:right w:val="single" w:color="auto" w:sz="8" w:space="0"/>
            </w:tcBorders>
            <w:noWrap w:val="0"/>
            <w:vAlign w:val="center"/>
          </w:tcPr>
          <w:p w14:paraId="139F06CB">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41.25</w:t>
            </w:r>
          </w:p>
        </w:tc>
        <w:tc>
          <w:tcPr>
            <w:tcW w:w="1352" w:type="dxa"/>
            <w:tcBorders>
              <w:top w:val="single" w:color="auto" w:sz="4" w:space="0"/>
              <w:left w:val="nil"/>
              <w:bottom w:val="single" w:color="auto" w:sz="4" w:space="0"/>
              <w:right w:val="single" w:color="auto" w:sz="4" w:space="0"/>
            </w:tcBorders>
            <w:noWrap w:val="0"/>
            <w:vAlign w:val="center"/>
          </w:tcPr>
          <w:p w14:paraId="066DD18A">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2230.94</w:t>
            </w:r>
          </w:p>
        </w:tc>
        <w:tc>
          <w:tcPr>
            <w:tcW w:w="1390" w:type="dxa"/>
            <w:tcBorders>
              <w:top w:val="single" w:color="auto" w:sz="4" w:space="0"/>
              <w:left w:val="single" w:color="auto" w:sz="4" w:space="0"/>
              <w:bottom w:val="single" w:color="auto" w:sz="4" w:space="0"/>
              <w:right w:val="nil"/>
            </w:tcBorders>
            <w:noWrap w:val="0"/>
            <w:vAlign w:val="center"/>
          </w:tcPr>
          <w:p w14:paraId="39250E4D">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rPr>
              <w:t>2230.94</w:t>
            </w:r>
          </w:p>
        </w:tc>
        <w:tc>
          <w:tcPr>
            <w:tcW w:w="1383" w:type="dxa"/>
            <w:noWrap w:val="0"/>
            <w:vAlign w:val="center"/>
          </w:tcPr>
          <w:p w14:paraId="37085CB8">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rPr>
              <w:t>100%</w:t>
            </w:r>
          </w:p>
        </w:tc>
      </w:tr>
      <w:tr w14:paraId="1F00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95" w:type="dxa"/>
            <w:noWrap w:val="0"/>
            <w:vAlign w:val="center"/>
          </w:tcPr>
          <w:p w14:paraId="5028487C">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二、项目支出</w:t>
            </w:r>
          </w:p>
        </w:tc>
        <w:tc>
          <w:tcPr>
            <w:tcW w:w="1156" w:type="dxa"/>
            <w:noWrap w:val="0"/>
            <w:vAlign w:val="center"/>
          </w:tcPr>
          <w:p w14:paraId="27131D34">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3653.42</w:t>
            </w:r>
          </w:p>
        </w:tc>
        <w:tc>
          <w:tcPr>
            <w:tcW w:w="1426" w:type="dxa"/>
            <w:tcBorders>
              <w:top w:val="nil"/>
              <w:left w:val="nil"/>
              <w:bottom w:val="single" w:color="auto" w:sz="4" w:space="0"/>
              <w:right w:val="single" w:color="auto" w:sz="8" w:space="0"/>
            </w:tcBorders>
            <w:noWrap w:val="0"/>
            <w:vAlign w:val="center"/>
          </w:tcPr>
          <w:p w14:paraId="768739D8">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4637.70</w:t>
            </w:r>
          </w:p>
        </w:tc>
        <w:tc>
          <w:tcPr>
            <w:tcW w:w="1352" w:type="dxa"/>
            <w:tcBorders>
              <w:top w:val="single" w:color="auto" w:sz="4" w:space="0"/>
              <w:left w:val="nil"/>
              <w:bottom w:val="single" w:color="auto" w:sz="4" w:space="0"/>
              <w:right w:val="single" w:color="auto" w:sz="4" w:space="0"/>
            </w:tcBorders>
            <w:noWrap w:val="0"/>
            <w:vAlign w:val="center"/>
          </w:tcPr>
          <w:p w14:paraId="7C58ACAA">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8291.12</w:t>
            </w:r>
          </w:p>
        </w:tc>
        <w:tc>
          <w:tcPr>
            <w:tcW w:w="1390" w:type="dxa"/>
            <w:tcBorders>
              <w:top w:val="single" w:color="auto" w:sz="4" w:space="0"/>
              <w:left w:val="single" w:color="auto" w:sz="4" w:space="0"/>
              <w:bottom w:val="single" w:color="auto" w:sz="4" w:space="0"/>
              <w:right w:val="nil"/>
            </w:tcBorders>
            <w:noWrap w:val="0"/>
            <w:vAlign w:val="center"/>
          </w:tcPr>
          <w:p w14:paraId="0BBCE9FD">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val="en-US" w:eastAsia="zh-CN"/>
              </w:rPr>
              <w:t>8291.12</w:t>
            </w:r>
          </w:p>
        </w:tc>
        <w:tc>
          <w:tcPr>
            <w:tcW w:w="1383" w:type="dxa"/>
            <w:noWrap w:val="0"/>
            <w:vAlign w:val="center"/>
          </w:tcPr>
          <w:p w14:paraId="32F193BE">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100%</w:t>
            </w:r>
          </w:p>
        </w:tc>
      </w:tr>
      <w:tr w14:paraId="504A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95" w:type="dxa"/>
            <w:noWrap w:val="0"/>
            <w:vAlign w:val="center"/>
          </w:tcPr>
          <w:p w14:paraId="37C817CC">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
                <w:bCs w:val="0"/>
                <w:sz w:val="21"/>
                <w:szCs w:val="21"/>
              </w:rPr>
              <w:t>总计</w:t>
            </w:r>
          </w:p>
        </w:tc>
        <w:tc>
          <w:tcPr>
            <w:tcW w:w="1156" w:type="dxa"/>
            <w:noWrap w:val="0"/>
            <w:vAlign w:val="center"/>
          </w:tcPr>
          <w:p w14:paraId="3E74D683">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b/>
                <w:bCs w:val="0"/>
                <w:sz w:val="21"/>
                <w:szCs w:val="21"/>
                <w:shd w:val="clear" w:color="auto" w:fill="FFFFFF"/>
                <w:lang w:val="en-US" w:eastAsia="zh-CN"/>
              </w:rPr>
              <w:t>12787.88</w:t>
            </w:r>
          </w:p>
        </w:tc>
        <w:tc>
          <w:tcPr>
            <w:tcW w:w="1426" w:type="dxa"/>
            <w:tcBorders>
              <w:top w:val="nil"/>
              <w:left w:val="nil"/>
              <w:bottom w:val="single" w:color="auto" w:sz="4" w:space="0"/>
              <w:right w:val="single" w:color="auto" w:sz="8" w:space="0"/>
            </w:tcBorders>
            <w:noWrap w:val="0"/>
            <w:vAlign w:val="center"/>
          </w:tcPr>
          <w:p w14:paraId="2CF62440">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bCs w:val="0"/>
                <w:sz w:val="21"/>
                <w:szCs w:val="21"/>
                <w:lang w:val="en-US" w:eastAsia="zh-CN"/>
              </w:rPr>
            </w:pPr>
            <w:r>
              <w:rPr>
                <w:rFonts w:hint="default" w:ascii="Times New Roman" w:hAnsi="Times New Roman" w:eastAsia="仿宋_GB2312" w:cs="Times New Roman"/>
                <w:b/>
                <w:bCs w:val="0"/>
                <w:sz w:val="21"/>
                <w:szCs w:val="21"/>
                <w:shd w:val="clear" w:color="auto" w:fill="FFFFFF"/>
                <w:lang w:val="en-US" w:eastAsia="zh-CN"/>
              </w:rPr>
              <w:t>6250.40</w:t>
            </w:r>
          </w:p>
        </w:tc>
        <w:tc>
          <w:tcPr>
            <w:tcW w:w="1352" w:type="dxa"/>
            <w:tcBorders>
              <w:top w:val="single" w:color="auto" w:sz="4" w:space="0"/>
              <w:left w:val="nil"/>
              <w:bottom w:val="single" w:color="auto" w:sz="4" w:space="0"/>
              <w:right w:val="single" w:color="auto" w:sz="4" w:space="0"/>
            </w:tcBorders>
            <w:noWrap w:val="0"/>
            <w:vAlign w:val="center"/>
          </w:tcPr>
          <w:p w14:paraId="74FACEC8">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bCs w:val="0"/>
                <w:sz w:val="21"/>
                <w:szCs w:val="21"/>
                <w:shd w:val="clear" w:color="auto" w:fill="FFFFFF"/>
                <w:lang w:val="en-US" w:eastAsia="zh-CN"/>
              </w:rPr>
              <w:t>19038.28</w:t>
            </w:r>
          </w:p>
        </w:tc>
        <w:tc>
          <w:tcPr>
            <w:tcW w:w="1390" w:type="dxa"/>
            <w:tcBorders>
              <w:top w:val="single" w:color="auto" w:sz="4" w:space="0"/>
              <w:left w:val="single" w:color="auto" w:sz="4" w:space="0"/>
              <w:bottom w:val="single" w:color="auto" w:sz="4" w:space="0"/>
              <w:right w:val="nil"/>
            </w:tcBorders>
            <w:noWrap w:val="0"/>
            <w:vAlign w:val="center"/>
          </w:tcPr>
          <w:p w14:paraId="5B6AF241">
            <w:pPr>
              <w:pStyle w:val="28"/>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sz w:val="21"/>
                <w:szCs w:val="21"/>
                <w:shd w:val="clear" w:color="auto" w:fill="FFFFFF"/>
                <w:lang w:val="en-US" w:eastAsia="zh-CN"/>
              </w:rPr>
              <w:t>19038.28</w:t>
            </w:r>
          </w:p>
        </w:tc>
        <w:tc>
          <w:tcPr>
            <w:tcW w:w="1383" w:type="dxa"/>
            <w:noWrap w:val="0"/>
            <w:vAlign w:val="center"/>
          </w:tcPr>
          <w:p w14:paraId="7A35E242">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
                <w:bCs w:val="0"/>
                <w:sz w:val="21"/>
                <w:szCs w:val="21"/>
                <w:lang w:val="en-US" w:eastAsia="zh-CN"/>
              </w:rPr>
              <w:t>100</w:t>
            </w:r>
            <w:r>
              <w:rPr>
                <w:rFonts w:hint="default" w:ascii="Times New Roman" w:hAnsi="Times New Roman" w:eastAsia="仿宋_GB2312" w:cs="Times New Roman"/>
                <w:b/>
                <w:bCs w:val="0"/>
                <w:sz w:val="21"/>
                <w:szCs w:val="21"/>
                <w:lang w:val="en-US"/>
              </w:rPr>
              <w:t>%</w:t>
            </w:r>
          </w:p>
        </w:tc>
      </w:tr>
      <w:tr w14:paraId="3289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95" w:type="dxa"/>
            <w:noWrap w:val="0"/>
            <w:vAlign w:val="center"/>
          </w:tcPr>
          <w:p w14:paraId="74CA8E0C">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bCs w:val="0"/>
                <w:sz w:val="21"/>
                <w:szCs w:val="21"/>
              </w:rPr>
            </w:pPr>
            <w:r>
              <w:rPr>
                <w:rFonts w:hint="default" w:ascii="Times New Roman" w:hAnsi="Times New Roman" w:eastAsia="仿宋_GB2312" w:cs="Times New Roman"/>
                <w:sz w:val="21"/>
                <w:szCs w:val="21"/>
              </w:rPr>
              <w:t>年末结转结余</w:t>
            </w:r>
          </w:p>
        </w:tc>
        <w:tc>
          <w:tcPr>
            <w:tcW w:w="1156" w:type="dxa"/>
            <w:noWrap w:val="0"/>
            <w:vAlign w:val="center"/>
          </w:tcPr>
          <w:p w14:paraId="5B889AC1">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bCs w:val="0"/>
                <w:sz w:val="21"/>
                <w:szCs w:val="21"/>
                <w:lang w:val="en-US"/>
              </w:rPr>
            </w:pPr>
            <w:r>
              <w:rPr>
                <w:rFonts w:hint="default" w:ascii="Times New Roman" w:hAnsi="Times New Roman" w:eastAsia="仿宋_GB2312" w:cs="Times New Roman"/>
                <w:b/>
                <w:bCs w:val="0"/>
                <w:sz w:val="21"/>
                <w:szCs w:val="21"/>
                <w:lang w:val="en-US"/>
              </w:rPr>
              <w:t>-</w:t>
            </w:r>
          </w:p>
        </w:tc>
        <w:tc>
          <w:tcPr>
            <w:tcW w:w="1426" w:type="dxa"/>
            <w:noWrap w:val="0"/>
            <w:vAlign w:val="center"/>
          </w:tcPr>
          <w:p w14:paraId="09EA6B66">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bCs w:val="0"/>
                <w:sz w:val="21"/>
                <w:szCs w:val="21"/>
                <w:lang w:val="en-US"/>
              </w:rPr>
            </w:pPr>
            <w:r>
              <w:rPr>
                <w:rFonts w:hint="default" w:ascii="Times New Roman" w:hAnsi="Times New Roman" w:eastAsia="仿宋_GB2312" w:cs="Times New Roman"/>
                <w:b/>
                <w:bCs w:val="0"/>
                <w:sz w:val="21"/>
                <w:szCs w:val="21"/>
                <w:lang w:val="en-US"/>
              </w:rPr>
              <w:t>-</w:t>
            </w:r>
          </w:p>
        </w:tc>
        <w:tc>
          <w:tcPr>
            <w:tcW w:w="1352" w:type="dxa"/>
            <w:tcBorders>
              <w:top w:val="single" w:color="auto" w:sz="4" w:space="0"/>
            </w:tcBorders>
            <w:noWrap w:val="0"/>
            <w:vAlign w:val="center"/>
          </w:tcPr>
          <w:p w14:paraId="0B8B50CC">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bCs w:val="0"/>
                <w:sz w:val="21"/>
                <w:szCs w:val="21"/>
                <w:lang w:val="en-US"/>
              </w:rPr>
            </w:pPr>
            <w:r>
              <w:rPr>
                <w:rFonts w:hint="default" w:ascii="Times New Roman" w:hAnsi="Times New Roman" w:eastAsia="仿宋_GB2312" w:cs="Times New Roman"/>
                <w:b/>
                <w:bCs w:val="0"/>
                <w:sz w:val="21"/>
                <w:szCs w:val="21"/>
                <w:lang w:val="en-US"/>
              </w:rPr>
              <w:t>-</w:t>
            </w:r>
          </w:p>
        </w:tc>
        <w:tc>
          <w:tcPr>
            <w:tcW w:w="1390" w:type="dxa"/>
            <w:tcBorders>
              <w:top w:val="single" w:color="auto" w:sz="4" w:space="0"/>
            </w:tcBorders>
            <w:noWrap w:val="0"/>
            <w:vAlign w:val="center"/>
          </w:tcPr>
          <w:p w14:paraId="767BD212">
            <w:pPr>
              <w:keepNext w:val="0"/>
              <w:keepLines w:val="0"/>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w:t>
            </w:r>
          </w:p>
        </w:tc>
        <w:tc>
          <w:tcPr>
            <w:tcW w:w="1383" w:type="dxa"/>
            <w:noWrap w:val="0"/>
            <w:vAlign w:val="center"/>
          </w:tcPr>
          <w:p w14:paraId="6FAC5168">
            <w:pPr>
              <w:pStyle w:val="28"/>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bCs w:val="0"/>
                <w:sz w:val="21"/>
                <w:szCs w:val="21"/>
                <w:lang w:val="en-US"/>
              </w:rPr>
            </w:pPr>
            <w:r>
              <w:rPr>
                <w:rFonts w:hint="default" w:ascii="Times New Roman" w:hAnsi="Times New Roman" w:eastAsia="仿宋_GB2312" w:cs="Times New Roman"/>
                <w:b/>
                <w:bCs w:val="0"/>
                <w:sz w:val="21"/>
                <w:szCs w:val="21"/>
                <w:lang w:val="en-US"/>
              </w:rPr>
              <w:t>-</w:t>
            </w:r>
          </w:p>
        </w:tc>
      </w:tr>
    </w:tbl>
    <w:p w14:paraId="41612280">
      <w:pPr>
        <w:keepNext w:val="0"/>
        <w:keepLines w:val="0"/>
        <w:pageBreakBefore w:val="0"/>
        <w:widowControl/>
        <w:kinsoku/>
        <w:wordWrap/>
        <w:overflowPunct/>
        <w:topLinePunct w:val="0"/>
        <w:autoSpaceDE/>
        <w:autoSpaceDN/>
        <w:bidi w:val="0"/>
        <w:adjustRightInd/>
        <w:snapToGrid/>
        <w:spacing w:line="560" w:lineRule="exact"/>
        <w:ind w:right="0" w:rightChars="0" w:firstLine="660" w:firstLineChars="200"/>
        <w:contextualSpacing/>
        <w:jc w:val="both"/>
        <w:textAlignment w:val="auto"/>
        <w:outlineLvl w:val="9"/>
        <w:rPr>
          <w:rFonts w:hint="default" w:ascii="Times New Roman" w:hAnsi="Times New Roman" w:eastAsia="楷体_GB2312" w:cs="Times New Roman"/>
          <w:b w:val="0"/>
          <w:bCs w:val="0"/>
          <w:sz w:val="33"/>
          <w:szCs w:val="33"/>
          <w:lang w:eastAsia="zh-CN"/>
        </w:rPr>
      </w:pPr>
      <w:r>
        <w:rPr>
          <w:rFonts w:hint="default" w:ascii="Times New Roman" w:hAnsi="Times New Roman" w:eastAsia="楷体_GB2312" w:cs="Times New Roman"/>
          <w:b w:val="0"/>
          <w:bCs w:val="0"/>
          <w:color w:val="000000"/>
          <w:kern w:val="0"/>
          <w:sz w:val="33"/>
          <w:szCs w:val="33"/>
          <w:highlight w:val="none"/>
          <w:shd w:val="clear" w:color="auto" w:fill="FFFFFF"/>
          <w:lang w:val="zh-CN"/>
        </w:rPr>
        <w:t>（三）</w:t>
      </w:r>
      <w:r>
        <w:rPr>
          <w:rFonts w:hint="default" w:ascii="Times New Roman" w:hAnsi="Times New Roman" w:eastAsia="楷体_GB2312" w:cs="Times New Roman"/>
          <w:b w:val="0"/>
          <w:bCs w:val="0"/>
          <w:sz w:val="33"/>
          <w:szCs w:val="33"/>
        </w:rPr>
        <w:t>结余分配和结转结余情况</w:t>
      </w:r>
      <w:r>
        <w:rPr>
          <w:rFonts w:hint="default" w:ascii="Times New Roman" w:hAnsi="Times New Roman" w:eastAsia="楷体_GB2312" w:cs="Times New Roman"/>
          <w:b w:val="0"/>
          <w:bCs w:val="0"/>
          <w:sz w:val="33"/>
          <w:szCs w:val="33"/>
          <w:lang w:eastAsia="zh-CN"/>
        </w:rPr>
        <w:t>。</w:t>
      </w:r>
    </w:p>
    <w:p w14:paraId="39933464">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cs="Times New Roman"/>
          <w:color w:val="auto"/>
          <w:kern w:val="0"/>
          <w:sz w:val="32"/>
          <w:szCs w:val="32"/>
          <w:highlight w:val="none"/>
          <w:shd w:val="clear" w:color="auto" w:fill="FFFFFF"/>
          <w:lang w:val="en-US" w:eastAsia="zh-CN" w:bidi="ar-SA"/>
        </w:rPr>
        <w:t>遂宁市公安局</w:t>
      </w:r>
      <w:r>
        <w:rPr>
          <w:rFonts w:hint="default" w:ascii="Times New Roman" w:hAnsi="Times New Roman" w:eastAsia="仿宋_GB2312" w:cs="Times New Roman"/>
          <w:color w:val="auto"/>
          <w:kern w:val="0"/>
          <w:sz w:val="32"/>
          <w:szCs w:val="32"/>
          <w:highlight w:val="none"/>
          <w:shd w:val="clear" w:color="auto" w:fill="FFFFFF"/>
          <w:lang w:val="en-US" w:eastAsia="zh-CN" w:bidi="ar-SA"/>
        </w:rPr>
        <w:t>2024年决算报表中无结转结余情况。</w:t>
      </w:r>
    </w:p>
    <w:p w14:paraId="4CEFA68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7ADD18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（一）部门预算总体绩效分析</w:t>
      </w:r>
    </w:p>
    <w:p w14:paraId="2C190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rPr>
        <w:t>履职效能</w:t>
      </w:r>
    </w:p>
    <w:p w14:paraId="0AD492AC">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0"/>
          <w:sz w:val="32"/>
          <w:szCs w:val="32"/>
          <w:shd w:val="clear" w:color="auto" w:fill="FFFFFF"/>
          <w:lang w:val="zh-CN"/>
        </w:rPr>
        <w:t>（</w:t>
      </w:r>
      <w:r>
        <w:rPr>
          <w:rFonts w:hint="default" w:ascii="Times New Roman" w:hAnsi="Times New Roman" w:eastAsia="仿宋_GB2312" w:cs="Times New Roman"/>
          <w:color w:val="auto"/>
          <w:kern w:val="0"/>
          <w:sz w:val="32"/>
          <w:szCs w:val="32"/>
          <w:shd w:val="clear" w:color="auto" w:fill="FFFFFF"/>
        </w:rPr>
        <w:t>1</w:t>
      </w:r>
      <w:r>
        <w:rPr>
          <w:rFonts w:hint="default" w:ascii="Times New Roman" w:hAnsi="Times New Roman" w:eastAsia="仿宋_GB2312" w:cs="Times New Roman"/>
          <w:color w:val="auto"/>
          <w:kern w:val="0"/>
          <w:sz w:val="32"/>
          <w:szCs w:val="32"/>
          <w:shd w:val="clear" w:color="auto" w:fill="FFFFFF"/>
          <w:lang w:val="zh-CN"/>
        </w:rPr>
        <w:t>）加强科技能力建设</w:t>
      </w:r>
    </w:p>
    <w:p w14:paraId="028C6E3D">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0"/>
          <w:sz w:val="32"/>
          <w:szCs w:val="32"/>
          <w:shd w:val="clear" w:color="auto" w:fill="FFFFFF"/>
          <w:lang w:val="zh-CN"/>
        </w:rPr>
        <w:t>实施警务提能行动，升级打造遂宁公安智慧警务“星斗”工程、加强技术侦察能力建设、</w:t>
      </w:r>
      <w:r>
        <w:rPr>
          <w:rFonts w:hint="default" w:ascii="Times New Roman" w:hAnsi="Times New Roman" w:eastAsia="仿宋_GB2312" w:cs="Times New Roman"/>
          <w:color w:val="auto"/>
          <w:kern w:val="0"/>
          <w:sz w:val="32"/>
          <w:szCs w:val="32"/>
          <w:shd w:val="clear" w:color="auto" w:fill="FFFFFF"/>
          <w:lang w:val="en-US" w:eastAsia="zh-CN"/>
        </w:rPr>
        <w:t>推动</w:t>
      </w:r>
      <w:r>
        <w:rPr>
          <w:rFonts w:hint="default" w:ascii="Times New Roman" w:hAnsi="Times New Roman" w:eastAsia="仿宋_GB2312" w:cs="Times New Roman"/>
          <w:color w:val="auto"/>
          <w:kern w:val="0"/>
          <w:sz w:val="32"/>
          <w:szCs w:val="32"/>
          <w:shd w:val="clear" w:color="auto" w:fill="FFFFFF"/>
          <w:lang w:val="zh-CN"/>
        </w:rPr>
        <w:t>网安核心能力</w:t>
      </w:r>
      <w:r>
        <w:rPr>
          <w:rFonts w:hint="default" w:ascii="Times New Roman" w:hAnsi="Times New Roman" w:eastAsia="仿宋_GB2312" w:cs="Times New Roman"/>
          <w:color w:val="auto"/>
          <w:kern w:val="0"/>
          <w:sz w:val="32"/>
          <w:szCs w:val="32"/>
          <w:shd w:val="clear" w:color="auto" w:fill="FFFFFF"/>
          <w:lang w:val="en-US" w:eastAsia="zh-CN"/>
        </w:rPr>
        <w:t>项目建设</w:t>
      </w:r>
      <w:r>
        <w:rPr>
          <w:rFonts w:hint="eastAsia" w:ascii="Times New Roman" w:hAnsi="Times New Roman" w:cs="Times New Roman"/>
          <w:color w:val="auto"/>
          <w:kern w:val="0"/>
          <w:sz w:val="32"/>
          <w:szCs w:val="32"/>
          <w:shd w:val="clear" w:color="auto" w:fill="FFFFFF"/>
          <w:lang w:val="en-US" w:eastAsia="zh-CN"/>
        </w:rPr>
        <w:t>，</w:t>
      </w:r>
      <w:r>
        <w:rPr>
          <w:rFonts w:hint="default" w:ascii="Times New Roman" w:hAnsi="Times New Roman" w:eastAsia="仿宋_GB2312" w:cs="Times New Roman"/>
          <w:color w:val="auto"/>
          <w:kern w:val="0"/>
          <w:sz w:val="32"/>
          <w:szCs w:val="32"/>
          <w:shd w:val="clear" w:color="auto" w:fill="FFFFFF"/>
          <w:lang w:val="zh-CN"/>
        </w:rPr>
        <w:t>加强应急物资、运力、通讯、装备、设施等建设，提升综合保障能力。</w:t>
      </w:r>
    </w:p>
    <w:p w14:paraId="2F388634">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（2）深化社会治安整体防控</w:t>
      </w:r>
    </w:p>
    <w:p w14:paraId="3091F0F6">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FF0000"/>
          <w:kern w:val="0"/>
          <w:sz w:val="32"/>
          <w:szCs w:val="32"/>
          <w:shd w:val="clear" w:color="auto" w:fill="FFFFFF"/>
          <w:lang w:eastAsia="zh-CN"/>
        </w:rPr>
      </w:pPr>
      <w:r>
        <w:rPr>
          <w:rFonts w:hint="default" w:ascii="Times New Roman" w:hAnsi="Times New Roman" w:eastAsia="仿宋_GB2312" w:cs="Times New Roman"/>
          <w:color w:val="auto"/>
          <w:sz w:val="32"/>
          <w:szCs w:val="32"/>
        </w:rPr>
        <w:t>将效率革命精神贯穿到公安工作全过程、各方面，全力服务保障“实业兴市”“引客入遂”两大战略，持续做优“警政事•遂心办”公安政务服务品牌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szCs w:val="32"/>
        </w:rPr>
        <w:t>强化警法执行联动，配合法院处置相关资产，处置率位于全省前列。</w:t>
      </w:r>
      <w:r>
        <w:rPr>
          <w:rFonts w:hint="default" w:ascii="Times New Roman" w:hAnsi="Times New Roman" w:eastAsia="仿宋_GB2312" w:cs="Times New Roman"/>
          <w:color w:val="auto"/>
          <w:kern w:val="0"/>
          <w:sz w:val="32"/>
          <w:szCs w:val="32"/>
          <w:shd w:val="clear" w:color="auto" w:fill="FFFFFF"/>
        </w:rPr>
        <w:t>进一步加强社会面防控网、城乡社区防控网、单位内部防控网、重点行业防控网、视频监控网、信息网络防控网等“六张网”建设，着力构建点线面结合、人防物防技防结合、打防管控结合、网上网下结合的全时空、广覆盖、立体化治安防控体系，不断提高动态化、信息化条件下驾驭社会治安局势能力。</w:t>
      </w:r>
      <w:r>
        <w:rPr>
          <w:rFonts w:hint="default" w:ascii="Times New Roman" w:hAnsi="Times New Roman" w:eastAsia="仿宋_GB2312" w:cs="Times New Roman"/>
          <w:bCs/>
          <w:color w:val="auto"/>
          <w:sz w:val="32"/>
          <w:szCs w:val="32"/>
        </w:rPr>
        <w:t>创新交通事故“警医消保”联动救援救治机制、道路交通“电子劝导员”等多个“善治”品牌，</w:t>
      </w:r>
      <w:r>
        <w:rPr>
          <w:rFonts w:hint="default" w:ascii="Times New Roman" w:hAnsi="Times New Roman" w:eastAsia="仿宋_GB2312" w:cs="Times New Roman"/>
          <w:color w:val="auto"/>
          <w:sz w:val="32"/>
          <w:szCs w:val="32"/>
        </w:rPr>
        <w:t>圆满完成观音湖马拉松、跨年电音节等“引客入遂”大型活动安保任务</w:t>
      </w:r>
      <w:r>
        <w:rPr>
          <w:rFonts w:hint="default" w:ascii="Times New Roman" w:hAnsi="Times New Roman" w:eastAsia="仿宋_GB2312" w:cs="Times New Roman"/>
          <w:color w:val="auto"/>
          <w:sz w:val="32"/>
          <w:szCs w:val="32"/>
          <w:lang w:eastAsia="zh-CN"/>
        </w:rPr>
        <w:t>。</w:t>
      </w:r>
    </w:p>
    <w:p w14:paraId="371F27B2">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（3）重拳打击违法犯罪行动</w:t>
      </w:r>
    </w:p>
    <w:p w14:paraId="178E088E">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sz w:val="32"/>
          <w:szCs w:val="32"/>
        </w:rPr>
        <w:t>举办首届遂潼“护网2024”攻防实战演习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szCs w:val="32"/>
        </w:rPr>
        <w:t>查处各类交通违法行为23.06万余起，“减量遏大”全省综合排名第4，大型活动、枪爆危化、森林防灭火、校园安全、监管留置场所等领域安全可控。</w:t>
      </w:r>
      <w:r>
        <w:rPr>
          <w:rFonts w:hint="default" w:ascii="Times New Roman" w:hAnsi="Times New Roman" w:eastAsia="仿宋_GB2312" w:cs="Times New Roman"/>
          <w:color w:val="auto"/>
          <w:kern w:val="0"/>
          <w:sz w:val="32"/>
          <w:szCs w:val="32"/>
          <w:shd w:val="clear" w:color="auto" w:fill="FFFFFF"/>
        </w:rPr>
        <w:t>扎实开展严打突出违法犯罪、多发类犯罪、民生类违法犯罪，全力深化执法规范化建设。重点常态化推进扫黑除恶斗争、打击盗抢骗多发性侵财犯罪、打击电信网络诈骗犯罪等专项行动，加强反拐防拐专项整治。严厉打击非法集资、假冒侵权和网络传销等违法犯罪。开展“平安校园”活动，始终保持对各类违法犯罪的严打高压态势，提升整体打击效能。</w:t>
      </w:r>
    </w:p>
    <w:p w14:paraId="08E13630">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（4）优化公安管理服务</w:t>
      </w:r>
    </w:p>
    <w:p w14:paraId="39A88093">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推进公安机关窗口单位规范化建设，完善服务设施，提升公安行政服务效能</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加强环境污染防治，深化河道警长制，严打环境污染违法犯罪。</w:t>
      </w:r>
    </w:p>
    <w:p w14:paraId="4159C87F">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（5）大力提升科技信息水平</w:t>
      </w:r>
    </w:p>
    <w:p w14:paraId="5FAA7B7A">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加强信息化建设，</w:t>
      </w:r>
      <w:r>
        <w:rPr>
          <w:rFonts w:hint="default" w:ascii="Times New Roman" w:hAnsi="Times New Roman" w:eastAsia="仿宋_GB2312" w:cs="Times New Roman"/>
          <w:sz w:val="32"/>
          <w:szCs w:val="32"/>
        </w:rPr>
        <w:t>积极</w:t>
      </w:r>
      <w:r>
        <w:rPr>
          <w:rFonts w:hint="default" w:ascii="Times New Roman" w:hAnsi="Times New Roman" w:eastAsia="仿宋_GB2312" w:cs="Times New Roman"/>
          <w:bCs/>
          <w:sz w:val="32"/>
          <w:szCs w:val="32"/>
        </w:rPr>
        <w:t>打造遂宁公安“智慧星斗”工程品牌，建立完善“情指中心+大数据实战中心+警种专班+一线所队”四位一体智慧警务赋能工作机制</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color w:val="000000"/>
          <w:kern w:val="0"/>
          <w:sz w:val="32"/>
          <w:szCs w:val="32"/>
          <w:shd w:val="clear" w:color="auto" w:fill="FFFFFF"/>
        </w:rPr>
        <w:t>加强移动警务终端配备和使用，支撑警务实战。推进“天网”工程建设，推动整合社会信息资源，提升公安工作科技化信息化智能化水平。</w:t>
      </w:r>
    </w:p>
    <w:p w14:paraId="503D932E">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（6）大力提升履职能力</w:t>
      </w:r>
    </w:p>
    <w:p w14:paraId="645D6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rPr>
        <w:t>大力开展政治理论、警务实战、专业技能、纪律作风等方式轮训培训，提升民警、辅警依法履职能力。</w:t>
      </w:r>
      <w:r>
        <w:rPr>
          <w:rFonts w:hint="default" w:ascii="Times New Roman" w:hAnsi="Times New Roman" w:eastAsia="仿宋_GB2312" w:cs="Times New Roman"/>
          <w:bCs/>
          <w:sz w:val="32"/>
          <w:szCs w:val="32"/>
        </w:rPr>
        <w:t>扎实开展党纪学习教育，组织警示教育200余场次、“厉兵大讲堂”7期。</w:t>
      </w:r>
      <w:r>
        <w:rPr>
          <w:rFonts w:hint="default" w:ascii="Times New Roman" w:hAnsi="Times New Roman" w:eastAsia="仿宋_GB2312" w:cs="Times New Roman"/>
          <w:sz w:val="32"/>
          <w:szCs w:val="32"/>
        </w:rPr>
        <w:t>构建完善“1+1+3+N”新时代遂宁公安特色大监督格局，</w:t>
      </w:r>
      <w:r>
        <w:rPr>
          <w:rFonts w:hint="default" w:ascii="Times New Roman" w:hAnsi="Times New Roman" w:eastAsia="仿宋_GB2312" w:cs="Times New Roman"/>
          <w:bCs/>
          <w:sz w:val="32"/>
          <w:szCs w:val="32"/>
        </w:rPr>
        <w:t>常态开展“三项体检”和“五小问题”整治，启动辅警队伍专项教育整顿。</w:t>
      </w:r>
      <w:r>
        <w:rPr>
          <w:rFonts w:hint="default" w:ascii="Times New Roman" w:hAnsi="Times New Roman" w:eastAsia="仿宋_GB2312" w:cs="Times New Roman"/>
          <w:color w:val="000000"/>
          <w:kern w:val="0"/>
          <w:sz w:val="32"/>
          <w:szCs w:val="32"/>
          <w:shd w:val="clear" w:color="auto" w:fill="FFFFFF"/>
        </w:rPr>
        <w:t>狠抓从优待警，落实关爱民警、减轻基层负担“30条措施”，加大民警维权力度，增强民警职业认同感、归属感和荣誉感。</w:t>
      </w:r>
    </w:p>
    <w:p w14:paraId="16340F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预算管理</w:t>
      </w:r>
    </w:p>
    <w:p w14:paraId="556471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（1）预算编制质量</w:t>
      </w:r>
    </w:p>
    <w:p w14:paraId="5EF90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按照《</w:t>
      </w:r>
      <w:r>
        <w:rPr>
          <w:rFonts w:hint="eastAsia" w:ascii="Times New Roman" w:hAnsi="Times New Roman" w:cs="Times New Roman"/>
          <w:color w:val="000000"/>
          <w:kern w:val="0"/>
          <w:sz w:val="32"/>
          <w:szCs w:val="32"/>
          <w:highlight w:val="none"/>
          <w:shd w:val="clear" w:color="auto" w:fill="FFFFFF"/>
          <w:lang w:val="en-US" w:eastAsia="zh-CN"/>
        </w:rPr>
        <w:t>中华人民共和国预算法</w:t>
      </w:r>
      <w:r>
        <w:rPr>
          <w:rFonts w:hint="default" w:ascii="Times New Roman" w:hAnsi="Times New Roman" w:eastAsia="仿宋_GB2312" w:cs="Times New Roman"/>
          <w:color w:val="000000"/>
          <w:kern w:val="0"/>
          <w:sz w:val="32"/>
          <w:szCs w:val="32"/>
          <w:highlight w:val="none"/>
          <w:shd w:val="clear" w:color="auto" w:fill="FFFFFF"/>
          <w:lang w:val="en-US" w:eastAsia="zh-CN"/>
        </w:rPr>
        <w:t>》有关规定和2024年部门预算编制政策口径，将2024年所有收入和支出均纳入部门预算管理。按要求完成了预算基础库、项目库、预算草案和项目绩效目标的编报工作。根据2024年初预算批复文件及2024年1</w:t>
      </w:r>
      <w:r>
        <w:rPr>
          <w:rFonts w:hint="eastAsia" w:ascii="Times New Roman" w:hAnsi="Times New Roman"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12月预算可执行情况表,本单位2024年偏离度48.88%,产生偏离度主要原因为年度中期下达政法转移支付资金及智慧警务大楼修建资金。根据《部门整体支出绩效自评打分表》的评分说明,本项指标权重8分，得分4.09分。</w:t>
      </w:r>
    </w:p>
    <w:p w14:paraId="4C8C36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（2）支出执行进度</w:t>
      </w:r>
    </w:p>
    <w:p w14:paraId="6E93BD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根据《遂宁市公安局2024年度单位预算》年初预算批复文件及2024年1</w:t>
      </w:r>
      <w:r>
        <w:rPr>
          <w:rFonts w:hint="eastAsia" w:ascii="Times New Roman" w:hAnsi="Times New Roman" w:cs="Times New Roman"/>
          <w:b w:val="0"/>
          <w:color w:val="000000"/>
          <w:kern w:val="0"/>
          <w:sz w:val="32"/>
          <w:szCs w:val="32"/>
          <w:highlight w:val="none"/>
          <w:shd w:val="clear" w:color="auto" w:fill="FFFFFF"/>
          <w:lang w:val="en-US" w:eastAsia="zh-CN" w:bidi="ar-SA"/>
        </w:rPr>
        <w:t>—</w:t>
      </w: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12月预算可执行情况表。根据《部门整体支出绩效自评打分表》的评分说明本项指标权重9分、得分8.4分。</w:t>
      </w:r>
    </w:p>
    <w:p w14:paraId="2E05F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（3）预算年终结余</w:t>
      </w:r>
    </w:p>
    <w:p w14:paraId="2E8916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本单位2024年年终结转结余资金0万元，单位整体预算结余率0%。根据《部门整体支出绩效自评打分表》的评分说明本项指标权重8分、得分8分。</w:t>
      </w:r>
    </w:p>
    <w:p w14:paraId="04ACA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（4）</w:t>
      </w:r>
      <w:bookmarkStart w:id="0" w:name="OLE_LINK26"/>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严控一般性支出</w:t>
      </w:r>
      <w:bookmarkEnd w:id="0"/>
    </w:p>
    <w:p w14:paraId="22981B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根据《遂宁市公安局2024年度单位预算》年初预算批复文件、2024年1</w:t>
      </w:r>
      <w:r>
        <w:rPr>
          <w:rFonts w:hint="eastAsia" w:ascii="Times New Roman" w:hAnsi="Times New Roman" w:cs="Times New Roman"/>
          <w:b w:val="0"/>
          <w:color w:val="000000"/>
          <w:kern w:val="0"/>
          <w:sz w:val="32"/>
          <w:szCs w:val="32"/>
          <w:highlight w:val="none"/>
          <w:shd w:val="clear" w:color="auto" w:fill="FFFFFF"/>
          <w:lang w:val="en-US" w:eastAsia="zh-CN" w:bidi="ar-SA"/>
        </w:rPr>
        <w:t>—</w:t>
      </w: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12月预算可执行情况表及2024年部门决算表。根据《部门整体支出绩效自评打分表》的评分说明本项指标权重6分、得分6分。</w:t>
      </w:r>
    </w:p>
    <w:p w14:paraId="5B968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资产管理</w:t>
      </w:r>
    </w:p>
    <w:p w14:paraId="66431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人均资产变化率</w:t>
      </w:r>
    </w:p>
    <w:p w14:paraId="0BF6A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color w:val="000000"/>
          <w:kern w:val="0"/>
          <w:sz w:val="32"/>
          <w:szCs w:val="32"/>
          <w:highlight w:val="none"/>
          <w:shd w:val="clear" w:color="auto" w:fill="FFFFFF"/>
          <w:lang w:val="zh-CN" w:eastAsia="zh-CN" w:bidi="ar-SA"/>
        </w:rPr>
      </w:pPr>
      <w:r>
        <w:rPr>
          <w:rFonts w:hint="default" w:ascii="Times New Roman" w:hAnsi="Times New Roman" w:eastAsia="仿宋_GB2312" w:cs="Times New Roman"/>
          <w:b w:val="0"/>
          <w:color w:val="000000"/>
          <w:kern w:val="0"/>
          <w:sz w:val="32"/>
          <w:szCs w:val="32"/>
          <w:highlight w:val="none"/>
          <w:shd w:val="clear" w:color="auto" w:fill="FFFFFF"/>
          <w:lang w:val="zh-CN" w:eastAsia="zh-CN" w:bidi="ar-SA"/>
        </w:rPr>
        <w:t>根据2024年部门决算报表、部门预算报表及部门行政事业性国有资产报表资料,本单位人均资产变化率</w:t>
      </w: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20.90</w:t>
      </w:r>
      <w:r>
        <w:rPr>
          <w:rFonts w:hint="default" w:ascii="Times New Roman" w:hAnsi="Times New Roman" w:eastAsia="仿宋_GB2312" w:cs="Times New Roman"/>
          <w:b w:val="0"/>
          <w:color w:val="000000"/>
          <w:kern w:val="0"/>
          <w:sz w:val="32"/>
          <w:szCs w:val="32"/>
          <w:highlight w:val="none"/>
          <w:shd w:val="clear" w:color="auto" w:fill="FFFFFF"/>
          <w:lang w:val="zh-CN" w:eastAsia="zh-CN" w:bidi="ar-SA"/>
        </w:rPr>
        <w:t>%（其中2024年行政事业单位人均占有资产</w:t>
      </w: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6.70</w:t>
      </w:r>
      <w:r>
        <w:rPr>
          <w:rFonts w:hint="default" w:ascii="Times New Roman" w:hAnsi="Times New Roman" w:eastAsia="仿宋_GB2312" w:cs="Times New Roman"/>
          <w:b w:val="0"/>
          <w:color w:val="000000"/>
          <w:kern w:val="0"/>
          <w:sz w:val="32"/>
          <w:szCs w:val="32"/>
          <w:highlight w:val="none"/>
          <w:shd w:val="clear" w:color="auto" w:fill="FFFFFF"/>
          <w:lang w:val="zh-CN" w:eastAsia="zh-CN" w:bidi="ar-SA"/>
        </w:rPr>
        <w:t>万元/人、2023年行政事业单位人均占有资产</w:t>
      </w: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8.47</w:t>
      </w:r>
      <w:r>
        <w:rPr>
          <w:rFonts w:hint="default" w:ascii="Times New Roman" w:hAnsi="Times New Roman" w:eastAsia="仿宋_GB2312" w:cs="Times New Roman"/>
          <w:b w:val="0"/>
          <w:color w:val="000000"/>
          <w:kern w:val="0"/>
          <w:sz w:val="32"/>
          <w:szCs w:val="32"/>
          <w:highlight w:val="none"/>
          <w:shd w:val="clear" w:color="auto" w:fill="FFFFFF"/>
          <w:lang w:val="zh-CN" w:eastAsia="zh-CN" w:bidi="ar-SA"/>
        </w:rPr>
        <w:t>万元/人）根据《部门整体支出绩效自评打分表》评分说明,本项指标权重3分、得分0分。</w:t>
      </w:r>
    </w:p>
    <w:tbl>
      <w:tblPr>
        <w:tblStyle w:val="12"/>
        <w:tblpPr w:leftFromText="180" w:rightFromText="180" w:vertAnchor="text" w:horzAnchor="page" w:tblpX="1482" w:tblpY="157"/>
        <w:tblOverlap w:val="never"/>
        <w:tblW w:w="9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2"/>
        <w:gridCol w:w="1192"/>
        <w:gridCol w:w="1192"/>
        <w:gridCol w:w="1192"/>
        <w:gridCol w:w="1192"/>
        <w:gridCol w:w="1192"/>
        <w:gridCol w:w="1192"/>
        <w:gridCol w:w="1192"/>
      </w:tblGrid>
      <w:tr w14:paraId="2EAE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5"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0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年份</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6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固定资产净值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6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无形资产净值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B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总资产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9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编制内实有人数</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4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人均资产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2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人均资产变化率</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0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人均资产增长</w:t>
            </w:r>
          </w:p>
        </w:tc>
      </w:tr>
      <w:tr w14:paraId="7943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3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2023年度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1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2723.37</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A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341.76</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2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3075.13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8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363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0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8.47 </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D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-20.90%</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7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-20.90%</w:t>
            </w:r>
          </w:p>
        </w:tc>
      </w:tr>
      <w:tr w14:paraId="2A2F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893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2024年度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A7B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2242.37</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325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262.18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803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2504.55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595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374</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A00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6.70 </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47EF">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i w:val="0"/>
                <w:color w:val="000000"/>
                <w:sz w:val="24"/>
                <w:szCs w:val="24"/>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C32C">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i w:val="0"/>
                <w:color w:val="000000"/>
                <w:sz w:val="24"/>
                <w:szCs w:val="24"/>
                <w:u w:val="none"/>
              </w:rPr>
            </w:pPr>
          </w:p>
        </w:tc>
      </w:tr>
    </w:tbl>
    <w:p w14:paraId="1ADADF0D">
      <w:pPr>
        <w:pStyle w:val="1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_GB2312" w:cs="Times New Roman"/>
          <w:b w:val="0"/>
          <w:color w:val="000000"/>
          <w:kern w:val="0"/>
          <w:sz w:val="33"/>
          <w:szCs w:val="33"/>
          <w:highlight w:val="none"/>
          <w:shd w:val="clear" w:color="auto" w:fill="FFFFFF"/>
          <w:lang w:val="zh-CN" w:eastAsia="zh-CN" w:bidi="ar-SA"/>
        </w:rPr>
      </w:pPr>
    </w:p>
    <w:p w14:paraId="2F80A264">
      <w:pPr>
        <w:pStyle w:val="16"/>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val="0"/>
          <w:bCs w:val="0"/>
          <w:color w:val="000000"/>
          <w:kern w:val="0"/>
          <w:sz w:val="32"/>
          <w:szCs w:val="32"/>
          <w:highlight w:val="none"/>
          <w:shd w:val="clear" w:color="auto" w:fill="FFFFFF"/>
          <w:lang w:val="zh-CN" w:eastAsia="zh-CN" w:bidi="ar-SA"/>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SA"/>
        </w:rPr>
        <w:t>2</w:t>
      </w:r>
      <w:r>
        <w:rPr>
          <w:rFonts w:hint="default" w:ascii="Times New Roman" w:hAnsi="Times New Roman" w:eastAsia="仿宋_GB2312" w:cs="Times New Roman"/>
          <w:b w:val="0"/>
          <w:bCs w:val="0"/>
          <w:color w:val="000000"/>
          <w:kern w:val="0"/>
          <w:sz w:val="32"/>
          <w:szCs w:val="32"/>
          <w:highlight w:val="none"/>
          <w:shd w:val="clear" w:color="auto" w:fill="FFFFFF"/>
          <w:lang w:val="zh-CN" w:eastAsia="zh-CN" w:bidi="ar-SA"/>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SA"/>
        </w:rPr>
        <w:t>资产利用率</w:t>
      </w:r>
    </w:p>
    <w:p w14:paraId="2F3DCC5C">
      <w:pPr>
        <w:pStyle w:val="16"/>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val="0"/>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根据遂宁市公安局截至2024年12月31日固定资产卡片明细数据，本单位资产22149.65万元，所有资产均在使用，资产利用率100%。</w:t>
      </w:r>
    </w:p>
    <w:p w14:paraId="6B174871">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（3）资产盘活率</w:t>
      </w:r>
    </w:p>
    <w:p w14:paraId="0B7ADDD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b w:val="0"/>
          <w:color w:val="000000"/>
          <w:kern w:val="0"/>
          <w:sz w:val="32"/>
          <w:szCs w:val="32"/>
          <w:highlight w:val="none"/>
          <w:shd w:val="clear" w:color="auto" w:fill="FFFFFF"/>
          <w:lang w:val="en-US" w:eastAsia="zh-CN" w:bidi="ar-SA"/>
        </w:rPr>
      </w:pP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根据遂宁市公安局截至2024年12月31日固定资产卡片明细数据，并结合</w:t>
      </w:r>
      <w:r>
        <w:rPr>
          <w:rFonts w:hint="eastAsia" w:ascii="Times New Roman" w:hAnsi="Times New Roman" w:cs="Times New Roman"/>
          <w:b w:val="0"/>
          <w:color w:val="000000"/>
          <w:kern w:val="0"/>
          <w:sz w:val="32"/>
          <w:szCs w:val="32"/>
          <w:highlight w:val="none"/>
          <w:shd w:val="clear" w:color="auto" w:fill="FFFFFF"/>
          <w:lang w:val="en-US" w:eastAsia="zh-CN" w:bidi="ar-SA"/>
        </w:rPr>
        <w:t>现场勘查</w:t>
      </w: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情况。2024年</w:t>
      </w:r>
      <w:r>
        <w:rPr>
          <w:rFonts w:hint="default" w:ascii="Times New Roman" w:hAnsi="Times New Roman" w:eastAsia="仿宋_GB2312" w:cs="Times New Roman"/>
          <w:b w:val="0"/>
          <w:color w:val="000000"/>
          <w:kern w:val="0"/>
          <w:sz w:val="32"/>
          <w:szCs w:val="32"/>
          <w:highlight w:val="none"/>
          <w:shd w:val="clear" w:color="auto" w:fill="FFFFFF"/>
          <w:lang w:val="zh-CN" w:eastAsia="zh-CN" w:bidi="ar-SA"/>
        </w:rPr>
        <w:t>单位</w:t>
      </w: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无</w:t>
      </w:r>
      <w:r>
        <w:rPr>
          <w:rFonts w:hint="default" w:ascii="Times New Roman" w:hAnsi="Times New Roman" w:eastAsia="仿宋_GB2312" w:cs="Times New Roman"/>
          <w:b w:val="0"/>
          <w:color w:val="000000"/>
          <w:kern w:val="0"/>
          <w:sz w:val="32"/>
          <w:szCs w:val="32"/>
          <w:highlight w:val="none"/>
          <w:shd w:val="clear" w:color="auto" w:fill="FFFFFF"/>
          <w:lang w:val="zh-CN" w:eastAsia="zh-CN" w:bidi="ar-SA"/>
        </w:rPr>
        <w:t>闲置资产占比变化率</w:t>
      </w:r>
      <w:r>
        <w:rPr>
          <w:rFonts w:hint="default" w:ascii="Times New Roman" w:hAnsi="Times New Roman" w:eastAsia="仿宋_GB2312" w:cs="Times New Roman"/>
          <w:b w:val="0"/>
          <w:color w:val="000000"/>
          <w:kern w:val="0"/>
          <w:sz w:val="32"/>
          <w:szCs w:val="32"/>
          <w:highlight w:val="none"/>
          <w:shd w:val="clear" w:color="auto" w:fill="FFFFFF"/>
          <w:lang w:val="en-US" w:eastAsia="zh-CN" w:bidi="ar-SA"/>
        </w:rPr>
        <w:t>，根据《部门整体支出绩效自评打分表》的评分说明本项指标权重3分、得分3分。</w:t>
      </w:r>
    </w:p>
    <w:p w14:paraId="27EAB81C">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rPr>
        <w:t>采购管理</w:t>
      </w:r>
    </w:p>
    <w:p w14:paraId="08F2E9A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（1）支持中小企业发展</w:t>
      </w:r>
    </w:p>
    <w:p w14:paraId="177C5A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根据单位涉及政府采购预算的《政府采购预算表》及《遂宁市公安局2024年面向中小企业预留项目执行情况公告》。本单位2024年采购共计723.27万元，其中，面向小微企业采购566.27万元，占78.29%。符合财政部工业和信息化部《关于印发〈政府采购促进中小企业发展管理办法〉的通知》（财库〔2020〕46号）有关要求。根据《部门整体支出绩效自评打分表》的评分说明本项指标权重3分、得分3分。</w:t>
      </w:r>
    </w:p>
    <w:p w14:paraId="577093C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（2）采购执行率</w:t>
      </w:r>
    </w:p>
    <w:p w14:paraId="3C707A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本单位2024年度政府采购项目资金723.27万元，2024年采购执行率100%。根据《部门整体支出绩效自评打分表》的评分说明本项指标权重3分、得分3分。</w:t>
      </w:r>
    </w:p>
    <w:p w14:paraId="1765DB1A">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960" w:firstLineChars="3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5.</w:t>
      </w:r>
      <w:r>
        <w:rPr>
          <w:rFonts w:hint="default" w:ascii="Times New Roman" w:hAnsi="Times New Roman" w:eastAsia="仿宋_GB2312" w:cs="Times New Roman"/>
          <w:b w:val="0"/>
          <w:bCs w:val="0"/>
          <w:color w:val="000000"/>
          <w:kern w:val="0"/>
          <w:sz w:val="32"/>
          <w:szCs w:val="32"/>
          <w:highlight w:val="none"/>
          <w:shd w:val="clear" w:color="auto" w:fill="FFFFFF"/>
          <w:lang w:val="zh-CN"/>
        </w:rPr>
        <w:t>财务管理</w:t>
      </w:r>
    </w:p>
    <w:p w14:paraId="054B5285">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（1）财务管理制度建设情况</w:t>
      </w:r>
    </w:p>
    <w:p w14:paraId="6CA44A70">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b w:val="0"/>
          <w:bCs w:val="0"/>
          <w:sz w:val="32"/>
          <w:szCs w:val="32"/>
          <w:highlight w:val="yellow"/>
          <w:lang w:val="en-US" w:eastAsia="zh-CN"/>
        </w:rPr>
      </w:pPr>
      <w:r>
        <w:rPr>
          <w:rFonts w:hint="default" w:ascii="Times New Roman" w:hAnsi="Times New Roman" w:eastAsia="仿宋_GB2312" w:cs="Times New Roman"/>
          <w:b w:val="0"/>
          <w:bCs w:val="0"/>
          <w:sz w:val="32"/>
          <w:szCs w:val="32"/>
          <w:highlight w:val="none"/>
          <w:lang w:val="en-US" w:eastAsia="zh-CN"/>
        </w:rPr>
        <w:t>本单位制定了《遂宁市公安局预算管理制度</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遂宁市公安局内部控制制度（试行）》</w:t>
      </w:r>
      <w:r>
        <w:rPr>
          <w:rFonts w:hint="eastAsia" w:ascii="Times New Roman" w:hAnsi="Times New Roman" w:cs="Times New Roman"/>
          <w:b w:val="0"/>
          <w:bCs w:val="0"/>
          <w:sz w:val="32"/>
          <w:szCs w:val="32"/>
          <w:highlight w:val="none"/>
          <w:lang w:val="en-US" w:eastAsia="zh-CN"/>
        </w:rPr>
        <w:t>等</w:t>
      </w:r>
      <w:r>
        <w:rPr>
          <w:rFonts w:hint="default" w:ascii="Times New Roman" w:hAnsi="Times New Roman" w:eastAsia="仿宋_GB2312" w:cs="Times New Roman"/>
          <w:b w:val="0"/>
          <w:bCs w:val="0"/>
          <w:sz w:val="32"/>
          <w:szCs w:val="32"/>
          <w:highlight w:val="none"/>
          <w:lang w:val="en-US" w:eastAsia="zh-CN"/>
        </w:rPr>
        <w:t>制度，财务工作严格执行有关制度执行。不涉及扣分。</w:t>
      </w:r>
    </w:p>
    <w:p w14:paraId="4BD4B0A0">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（2）财务岗位设置情况</w:t>
      </w:r>
    </w:p>
    <w:p w14:paraId="24265343">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单位设置会计、出纳财务工作岗位。会计岗位的职责权限为账务核算与处理，对外报送各项财务资料；出纳岗位的职责权限为对单位资金审核合理后予以录入支付。本单位严格实行不相容岗位分离。不涉及扣分。</w:t>
      </w:r>
    </w:p>
    <w:p w14:paraId="242B9770">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（3）资金使用规范情况</w:t>
      </w:r>
    </w:p>
    <w:p w14:paraId="7A9441A9">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sz w:val="32"/>
          <w:szCs w:val="32"/>
          <w:highlight w:val="none"/>
          <w:lang w:val="en-US" w:eastAsia="zh-CN"/>
        </w:rPr>
        <w:t>财务单位在本部门绩效自评价期间抽查了人员经费，日常公用经费等项目支付有关资料。单位资金使用符合相关财务管理制度规定的（专项资金管理办法）。不涉及扣分。</w:t>
      </w:r>
    </w:p>
    <w:p w14:paraId="6E855D5B">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cs="Times New Roman"/>
          <w:b w:val="0"/>
          <w:bCs w:val="0"/>
          <w:color w:val="000000"/>
          <w:kern w:val="0"/>
          <w:sz w:val="32"/>
          <w:szCs w:val="32"/>
          <w:highlight w:val="none"/>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p>
    <w:p w14:paraId="244E28B3">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highlight w:val="none"/>
          <w:lang w:val="zh-CN" w:eastAsia="zh-CN"/>
        </w:rPr>
      </w:pPr>
      <w:r>
        <w:rPr>
          <w:rFonts w:hint="default" w:ascii="Times New Roman" w:hAnsi="Times New Roman" w:eastAsia="仿宋_GB2312" w:cs="Times New Roman"/>
          <w:b w:val="0"/>
          <w:bCs w:val="0"/>
          <w:highlight w:val="none"/>
          <w:lang w:val="en-US" w:eastAsia="zh-CN"/>
        </w:rPr>
        <w:t>常年项目绩效分析。</w:t>
      </w:r>
      <w:r>
        <w:rPr>
          <w:rFonts w:hint="default" w:ascii="Times New Roman" w:hAnsi="Times New Roman" w:eastAsia="仿宋_GB2312" w:cs="Times New Roman"/>
          <w:b w:val="0"/>
          <w:bCs w:val="0"/>
          <w:highlight w:val="none"/>
          <w:lang w:val="zh-CN" w:eastAsia="zh-CN"/>
        </w:rPr>
        <w:t>该类项目总数</w:t>
      </w:r>
      <w:r>
        <w:rPr>
          <w:rFonts w:hint="default" w:ascii="Times New Roman" w:hAnsi="Times New Roman" w:eastAsia="仿宋_GB2312" w:cs="Times New Roman"/>
          <w:b w:val="0"/>
          <w:bCs w:val="0"/>
          <w:highlight w:val="none"/>
          <w:lang w:val="en-US" w:eastAsia="zh-CN"/>
        </w:rPr>
        <w:t>17</w:t>
      </w:r>
      <w:r>
        <w:rPr>
          <w:rFonts w:hint="default" w:ascii="Times New Roman" w:hAnsi="Times New Roman" w:eastAsia="仿宋_GB2312" w:cs="Times New Roman"/>
          <w:b w:val="0"/>
          <w:bCs w:val="0"/>
          <w:highlight w:val="none"/>
          <w:lang w:val="zh-CN" w:eastAsia="zh-CN"/>
        </w:rPr>
        <w:t>个，涉及预算总金额</w:t>
      </w:r>
      <w:r>
        <w:rPr>
          <w:rFonts w:hint="default" w:ascii="Times New Roman" w:hAnsi="Times New Roman" w:eastAsia="仿宋_GB2312" w:cs="Times New Roman"/>
          <w:b w:val="0"/>
          <w:bCs w:val="0"/>
          <w:highlight w:val="none"/>
          <w:lang w:val="en-US" w:eastAsia="zh-CN"/>
        </w:rPr>
        <w:t>3610.17</w:t>
      </w:r>
      <w:r>
        <w:rPr>
          <w:rFonts w:hint="default" w:ascii="Times New Roman" w:hAnsi="Times New Roman" w:eastAsia="仿宋_GB2312" w:cs="Times New Roman"/>
          <w:b w:val="0"/>
          <w:bCs w:val="0"/>
          <w:highlight w:val="none"/>
          <w:lang w:val="zh-CN" w:eastAsia="zh-CN"/>
        </w:rPr>
        <w:t>万元，1—1</w:t>
      </w:r>
      <w:r>
        <w:rPr>
          <w:rFonts w:hint="default" w:ascii="Times New Roman" w:hAnsi="Times New Roman" w:eastAsia="仿宋_GB2312" w:cs="Times New Roman"/>
          <w:b w:val="0"/>
          <w:bCs w:val="0"/>
          <w:highlight w:val="none"/>
          <w:lang w:val="en-US" w:eastAsia="zh-CN"/>
        </w:rPr>
        <w:t>2</w:t>
      </w:r>
      <w:r>
        <w:rPr>
          <w:rFonts w:hint="default" w:ascii="Times New Roman" w:hAnsi="Times New Roman" w:eastAsia="仿宋_GB2312" w:cs="Times New Roman"/>
          <w:b w:val="0"/>
          <w:bCs w:val="0"/>
          <w:highlight w:val="none"/>
          <w:lang w:val="zh-CN" w:eastAsia="zh-CN"/>
        </w:rPr>
        <w:t>月预算执行总体进度为</w:t>
      </w:r>
      <w:r>
        <w:rPr>
          <w:rFonts w:hint="default"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lang w:val="zh-CN" w:eastAsia="zh-CN"/>
        </w:rPr>
        <w:t>%，其中：预算结余率大于</w:t>
      </w:r>
      <w:r>
        <w:rPr>
          <w:rFonts w:hint="default" w:ascii="Times New Roman" w:hAnsi="Times New Roman" w:eastAsia="仿宋_GB2312" w:cs="Times New Roman"/>
          <w:b w:val="0"/>
          <w:bCs w:val="0"/>
          <w:highlight w:val="none"/>
          <w:lang w:val="en-US" w:eastAsia="zh-CN"/>
        </w:rPr>
        <w:t>10%</w:t>
      </w:r>
      <w:r>
        <w:rPr>
          <w:rFonts w:hint="default" w:ascii="Times New Roman" w:hAnsi="Times New Roman" w:eastAsia="仿宋_GB2312" w:cs="Times New Roman"/>
          <w:b w:val="0"/>
          <w:bCs w:val="0"/>
          <w:highlight w:val="none"/>
          <w:lang w:val="zh-CN" w:eastAsia="zh-CN"/>
        </w:rPr>
        <w:t>的项目共计</w:t>
      </w:r>
      <w:r>
        <w:rPr>
          <w:rFonts w:hint="default" w:ascii="Times New Roman" w:hAnsi="Times New Roman" w:eastAsia="仿宋_GB2312" w:cs="Times New Roman"/>
          <w:b w:val="0"/>
          <w:bCs w:val="0"/>
          <w:highlight w:val="none"/>
          <w:lang w:val="en-US" w:eastAsia="zh-CN"/>
        </w:rPr>
        <w:t>0</w:t>
      </w:r>
      <w:r>
        <w:rPr>
          <w:rFonts w:hint="default" w:ascii="Times New Roman" w:hAnsi="Times New Roman" w:eastAsia="仿宋_GB2312" w:cs="Times New Roman"/>
          <w:b w:val="0"/>
          <w:bCs w:val="0"/>
          <w:highlight w:val="none"/>
          <w:lang w:val="zh-CN" w:eastAsia="zh-CN"/>
        </w:rPr>
        <w:t>个。</w:t>
      </w:r>
    </w:p>
    <w:p w14:paraId="07582D1D">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highlight w:val="none"/>
          <w:lang w:val="zh-CN" w:eastAsia="zh-CN"/>
        </w:rPr>
      </w:pPr>
      <w:r>
        <w:rPr>
          <w:rFonts w:hint="default" w:ascii="Times New Roman" w:hAnsi="Times New Roman" w:eastAsia="仿宋_GB2312" w:cs="Times New Roman"/>
          <w:b w:val="0"/>
          <w:bCs w:val="0"/>
          <w:highlight w:val="none"/>
          <w:lang w:val="en-US" w:eastAsia="zh-CN"/>
        </w:rPr>
        <w:t>阶段（一次性）项目绩效分析。</w:t>
      </w:r>
      <w:r>
        <w:rPr>
          <w:rFonts w:hint="default" w:ascii="Times New Roman" w:hAnsi="Times New Roman" w:eastAsia="仿宋_GB2312" w:cs="Times New Roman"/>
          <w:b w:val="0"/>
          <w:bCs w:val="0"/>
          <w:highlight w:val="none"/>
          <w:lang w:val="zh-CN" w:eastAsia="zh-CN"/>
        </w:rPr>
        <w:t>该类项目总数</w:t>
      </w:r>
      <w:r>
        <w:rPr>
          <w:rFonts w:hint="default" w:ascii="Times New Roman" w:hAnsi="Times New Roman" w:eastAsia="仿宋_GB2312" w:cs="Times New Roman"/>
          <w:b w:val="0"/>
          <w:bCs w:val="0"/>
          <w:highlight w:val="none"/>
          <w:lang w:val="en-US" w:eastAsia="zh-CN"/>
        </w:rPr>
        <w:t>9</w:t>
      </w:r>
      <w:r>
        <w:rPr>
          <w:rFonts w:hint="default" w:ascii="Times New Roman" w:hAnsi="Times New Roman" w:eastAsia="仿宋_GB2312" w:cs="Times New Roman"/>
          <w:b w:val="0"/>
          <w:bCs w:val="0"/>
          <w:highlight w:val="none"/>
          <w:lang w:val="zh-CN" w:eastAsia="zh-CN"/>
        </w:rPr>
        <w:t>个，涉及预算总金额</w:t>
      </w:r>
      <w:r>
        <w:rPr>
          <w:rFonts w:hint="default" w:ascii="Times New Roman" w:hAnsi="Times New Roman" w:eastAsia="仿宋_GB2312" w:cs="Times New Roman"/>
          <w:b w:val="0"/>
          <w:bCs w:val="0"/>
          <w:highlight w:val="none"/>
          <w:lang w:val="en-US" w:eastAsia="zh-CN"/>
        </w:rPr>
        <w:t>4680.96</w:t>
      </w:r>
      <w:r>
        <w:rPr>
          <w:rFonts w:hint="default" w:ascii="Times New Roman" w:hAnsi="Times New Roman" w:eastAsia="仿宋_GB2312" w:cs="Times New Roman"/>
          <w:b w:val="0"/>
          <w:bCs w:val="0"/>
          <w:highlight w:val="none"/>
          <w:lang w:val="zh-CN" w:eastAsia="zh-CN"/>
        </w:rPr>
        <w:t>万元，1—1</w:t>
      </w:r>
      <w:r>
        <w:rPr>
          <w:rFonts w:hint="default" w:ascii="Times New Roman" w:hAnsi="Times New Roman" w:eastAsia="仿宋_GB2312" w:cs="Times New Roman"/>
          <w:b w:val="0"/>
          <w:bCs w:val="0"/>
          <w:highlight w:val="none"/>
          <w:lang w:val="en-US" w:eastAsia="zh-CN"/>
        </w:rPr>
        <w:t>2</w:t>
      </w:r>
      <w:r>
        <w:rPr>
          <w:rFonts w:hint="default" w:ascii="Times New Roman" w:hAnsi="Times New Roman" w:eastAsia="仿宋_GB2312" w:cs="Times New Roman"/>
          <w:b w:val="0"/>
          <w:bCs w:val="0"/>
          <w:highlight w:val="none"/>
          <w:lang w:val="zh-CN" w:eastAsia="zh-CN"/>
        </w:rPr>
        <w:t>月预算执行总体进度为</w:t>
      </w:r>
      <w:r>
        <w:rPr>
          <w:rFonts w:hint="default"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lang w:val="zh-CN" w:eastAsia="zh-CN"/>
        </w:rPr>
        <w:t>%，其中：预算结余率大于</w:t>
      </w:r>
      <w:r>
        <w:rPr>
          <w:rFonts w:hint="default" w:ascii="Times New Roman" w:hAnsi="Times New Roman" w:eastAsia="仿宋_GB2312" w:cs="Times New Roman"/>
          <w:b w:val="0"/>
          <w:bCs w:val="0"/>
          <w:highlight w:val="none"/>
          <w:lang w:val="en-US" w:eastAsia="zh-CN"/>
        </w:rPr>
        <w:t>10%</w:t>
      </w:r>
      <w:r>
        <w:rPr>
          <w:rFonts w:hint="default" w:ascii="Times New Roman" w:hAnsi="Times New Roman" w:eastAsia="仿宋_GB2312" w:cs="Times New Roman"/>
          <w:b w:val="0"/>
          <w:bCs w:val="0"/>
          <w:highlight w:val="none"/>
          <w:lang w:val="zh-CN" w:eastAsia="zh-CN"/>
        </w:rPr>
        <w:t>的项目共计</w:t>
      </w:r>
      <w:r>
        <w:rPr>
          <w:rFonts w:hint="default" w:ascii="Times New Roman" w:hAnsi="Times New Roman" w:eastAsia="仿宋_GB2312" w:cs="Times New Roman"/>
          <w:b w:val="0"/>
          <w:bCs w:val="0"/>
          <w:highlight w:val="none"/>
          <w:lang w:val="en-US" w:eastAsia="zh-CN"/>
        </w:rPr>
        <w:t>0</w:t>
      </w:r>
      <w:r>
        <w:rPr>
          <w:rFonts w:hint="default" w:ascii="Times New Roman" w:hAnsi="Times New Roman" w:eastAsia="仿宋_GB2312" w:cs="Times New Roman"/>
          <w:b w:val="0"/>
          <w:bCs w:val="0"/>
          <w:highlight w:val="none"/>
          <w:lang w:val="zh-CN" w:eastAsia="zh-CN"/>
        </w:rPr>
        <w:t>个。</w:t>
      </w:r>
    </w:p>
    <w:p w14:paraId="3F0CDC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rPr>
        <w:t>项目决策</w:t>
      </w:r>
    </w:p>
    <w:p w14:paraId="2C482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（1）决策程序</w:t>
      </w:r>
    </w:p>
    <w:p w14:paraId="34913FBE">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根据事前绩效评估管理相关规定，对“年度预算100万元以上的新增项目，年度预算增幅达到30%或增加金额100万元以上的延续性项目”开展事前绩效评估。2024年本单位应开展部门预算阶段项目（含一次性项目）总数26个、实际开展部门预算阶段项目（含一次性项目）26个，开展比例100%。根据《部门整体支出绩效自评打分表》的评分说明本项指标权重4分、得分4分。</w:t>
      </w:r>
    </w:p>
    <w:p w14:paraId="650B6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（2）目标设置</w:t>
      </w:r>
    </w:p>
    <w:p w14:paraId="64F3C9AB">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根据《中共遂宁市委办公室遂宁市人民政府办公室印发</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关于深入实施预算绩效管理的工作方案〉的通知》</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遂委办〔2022〕41号</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，2024年本单位不存在绩效目标与计划期内的任务量、预算安排不相匹配的部门预算阶段项目（含一次性项目）的项目。根据《部门整体支出绩效自评打分表》的评分说明本项指标权重4分、得分4分。</w:t>
      </w:r>
    </w:p>
    <w:p w14:paraId="6BB430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（3）项目入库</w:t>
      </w:r>
    </w:p>
    <w:p w14:paraId="26126648">
      <w:pPr>
        <w:pStyle w:val="16"/>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val="0"/>
          <w:bCs w:val="0"/>
          <w:kern w:val="2"/>
          <w:sz w:val="32"/>
          <w:szCs w:val="32"/>
          <w:highlight w:val="none"/>
          <w:lang w:val="zh-CN" w:eastAsia="zh-CN" w:bidi="ar-SA"/>
        </w:rPr>
      </w:pPr>
      <w:r>
        <w:rPr>
          <w:rFonts w:hint="default" w:ascii="Times New Roman" w:hAnsi="Times New Roman" w:eastAsia="仿宋_GB2312" w:cs="Times New Roman"/>
          <w:b w:val="0"/>
          <w:bCs w:val="0"/>
          <w:kern w:val="2"/>
          <w:sz w:val="32"/>
          <w:szCs w:val="32"/>
          <w:highlight w:val="none"/>
          <w:lang w:val="en-US" w:eastAsia="zh-CN" w:bidi="ar-SA"/>
        </w:rPr>
        <w:t>根据遂宁市财政局《关于编制部门2024</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2026年支出规划和2024年部门预算的通知》（遂财预〔2023〕17号），2024年部门预算项目要求入库时间为2023年7月30日之前。根据一体化系统导出项目目录明细数据。不存规定时间未入财政库部门预算阶段项目（含一次性项目），项目入库及时率100%。根据《部门整体支出绩效自评打分表》的评分说明本项指标权重4分、得分4分。</w:t>
      </w:r>
    </w:p>
    <w:p w14:paraId="1D1FB9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en-US" w:eastAsia="zh-CN"/>
        </w:rPr>
        <w:t>2.项目执行</w:t>
      </w:r>
    </w:p>
    <w:p w14:paraId="42175D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（1）执行同向</w:t>
      </w:r>
    </w:p>
    <w:p w14:paraId="24009A33">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2024年本单位预算阶段项目（含一次性项目）总数26个。根据《部门整体支出绩效自评打分表》的评分说明本项指标权重5分、得分5分。</w:t>
      </w:r>
    </w:p>
    <w:p w14:paraId="4D6AD5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（2）项目调整</w:t>
      </w:r>
    </w:p>
    <w:p w14:paraId="3CB15F9C">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2024年度遂宁市公安局不涉及应采取未采取收回预算、调整目标等处置措施的部门预算阶段项目（含一次性项目）。根据《部门整体支出绩效自评打分表》的评分说明本项指标权重6分、得分6分。</w:t>
      </w:r>
    </w:p>
    <w:p w14:paraId="351BF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（3）执行结果</w:t>
      </w:r>
    </w:p>
    <w:p w14:paraId="01472F2E">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2024年本单位共实施26个项目，其中：常年项目17个，一次性项目和阶段项目9个。根据一体化系统预算可执行情况表，共0个常年项目预算结余率小于10%，0个常年项目预算结余率大于10%；共0个一次性项目和阶段项目预算结余率小于10%，0个一次性项目和阶段年项目预算结余率大于10%。</w:t>
      </w:r>
    </w:p>
    <w:p w14:paraId="25057069">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highlight w:val="none"/>
          <w:lang w:val="zh-CN" w:eastAsia="zh-CN"/>
        </w:rPr>
      </w:pPr>
      <w:r>
        <w:rPr>
          <w:rFonts w:hint="default" w:ascii="Times New Roman" w:hAnsi="Times New Roman" w:eastAsia="仿宋_GB2312" w:cs="Times New Roman"/>
          <w:b w:val="0"/>
          <w:bCs w:val="0"/>
          <w:sz w:val="32"/>
          <w:szCs w:val="32"/>
          <w:highlight w:val="none"/>
          <w:lang w:val="en-US" w:eastAsia="zh-CN"/>
        </w:rPr>
        <w:t>根据《部门整体支出绩效自评打分表》的评分说明本项指标权重4分、得分4分。</w:t>
      </w:r>
    </w:p>
    <w:p w14:paraId="266F8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sz w:val="32"/>
          <w:szCs w:val="32"/>
          <w:highlight w:val="none"/>
          <w:u w:val="none"/>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color w:val="000000"/>
          <w:kern w:val="0"/>
          <w:sz w:val="32"/>
          <w:szCs w:val="32"/>
          <w:highlight w:val="none"/>
          <w:shd w:val="clear" w:color="auto" w:fill="FFFFFF"/>
          <w:lang w:val="zh-CN"/>
        </w:rPr>
        <w:t>目标实现</w:t>
      </w:r>
    </w:p>
    <w:p w14:paraId="148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（1）目标完成</w:t>
      </w:r>
    </w:p>
    <w:p w14:paraId="18C5A46B">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2024年本单位共实施26个项目。26个项目共有34条数量指标，34条数量指标均完成目标值。根据《部门整体支出绩效自评打分表》的评分说明本项指标权重6分、得分6分。</w:t>
      </w:r>
    </w:p>
    <w:p w14:paraId="6E8D3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（2）目标偏离</w:t>
      </w:r>
    </w:p>
    <w:p w14:paraId="41F1C56B">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2025年本单位共实施26个项目。26个项目共有34条数量指标，2024年已完成预期指标值的数量指标共计34条。根据《部门整体支出绩效自评打分表》的评分说明本项指标权重6分、得分6分。</w:t>
      </w:r>
    </w:p>
    <w:p w14:paraId="64D2D1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（3）实现效果</w:t>
      </w:r>
    </w:p>
    <w:p w14:paraId="29D1AEFF">
      <w:pPr>
        <w:pStyle w:val="16"/>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333333"/>
          <w:sz w:val="32"/>
          <w:szCs w:val="32"/>
          <w:highlight w:val="none"/>
          <w:u w:val="none"/>
          <w:shd w:val="clear" w:color="auto" w:fill="auto"/>
          <w:lang w:bidi="ar"/>
        </w:rPr>
      </w:pPr>
      <w:r>
        <w:rPr>
          <w:rFonts w:hint="default" w:ascii="Times New Roman" w:hAnsi="Times New Roman" w:eastAsia="仿宋_GB2312" w:cs="Times New Roman"/>
          <w:b w:val="0"/>
          <w:bCs w:val="0"/>
          <w:kern w:val="2"/>
          <w:sz w:val="32"/>
          <w:szCs w:val="32"/>
          <w:highlight w:val="none"/>
          <w:lang w:val="en-US" w:eastAsia="zh-CN" w:bidi="ar-SA"/>
        </w:rPr>
        <w:t>2024年本单位共实施26项目，26个项目共有26条效益指标，经核查26条效益指标完成。各类项目均实现其效果。根据《部门整体支出绩效自评打分表》的评分说明本项指标权重5分、得分5分。</w:t>
      </w:r>
    </w:p>
    <w:p w14:paraId="6CF92CF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color w:val="000000"/>
          <w:kern w:val="0"/>
          <w:sz w:val="32"/>
          <w:szCs w:val="32"/>
          <w:highlight w:val="none"/>
          <w:shd w:val="clear" w:color="auto" w:fill="FFFFFF"/>
          <w:lang w:val="zh-CN"/>
        </w:rPr>
        <w:t>绩效分析</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p>
    <w:p w14:paraId="7099859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b w:val="0"/>
          <w:bCs w:val="0"/>
          <w:sz w:val="32"/>
          <w:szCs w:val="32"/>
          <w:highlight w:val="none"/>
          <w:u w:val="none"/>
          <w:lang w:val="zh-CN" w:eastAsia="zh-CN"/>
        </w:rPr>
        <w:t>遂宁市公安局2024年度不涉及国有资本、行政事业性国有资产、债券资金、政府采购和政府购买服务等重点领域。</w:t>
      </w:r>
    </w:p>
    <w:p w14:paraId="680BA5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（四）绩效结果应用情况。</w:t>
      </w:r>
    </w:p>
    <w:p w14:paraId="77EA62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bCs w:val="0"/>
          <w:sz w:val="33"/>
          <w:szCs w:val="33"/>
        </w:rPr>
      </w:pPr>
      <w:r>
        <w:rPr>
          <w:rFonts w:hint="default" w:ascii="Times New Roman" w:hAnsi="Times New Roman" w:eastAsia="仿宋_GB2312" w:cs="Times New Roman"/>
          <w:color w:val="000000"/>
          <w:kern w:val="0"/>
          <w:szCs w:val="32"/>
          <w:highlight w:val="none"/>
          <w:shd w:val="clear" w:color="auto" w:fill="FFFFFF"/>
          <w:lang w:val="en-US" w:eastAsia="zh-CN"/>
        </w:rPr>
        <w:t>我单位严格按照要求在市财政部门批复二十日后，根据市财政要求按时在遂宁政务</w:t>
      </w:r>
      <w:r>
        <w:rPr>
          <w:rFonts w:hint="default" w:ascii="Times New Roman" w:hAnsi="Times New Roman" w:eastAsia="仿宋_GB2312" w:cs="Times New Roman"/>
          <w:color w:val="000000"/>
          <w:kern w:val="0"/>
          <w:szCs w:val="32"/>
          <w:highlight w:val="none"/>
          <w:shd w:val="clear" w:color="auto" w:fill="FFFFFF"/>
          <w:lang w:val="en-US" w:eastAsia="zh-CN"/>
        </w:rPr>
        <w:fldChar w:fldCharType="begin"/>
      </w:r>
      <w:r>
        <w:rPr>
          <w:rFonts w:hint="default" w:ascii="Times New Roman" w:hAnsi="Times New Roman" w:eastAsia="仿宋_GB2312" w:cs="Times New Roman"/>
          <w:color w:val="000000"/>
          <w:kern w:val="0"/>
          <w:szCs w:val="32"/>
          <w:highlight w:val="none"/>
          <w:shd w:val="clear" w:color="auto" w:fill="FFFFFF"/>
          <w:lang w:val="en-US" w:eastAsia="zh-CN"/>
        </w:rPr>
        <w:instrText xml:space="preserve"> HYPERLINK "https://snjsj.suining.gov.cn信息公开网上公示本绩效目标情况。同时部门整体支出绩效自评报告及其他按要求应公开的绩效信息均已信息公开。" </w:instrText>
      </w:r>
      <w:r>
        <w:rPr>
          <w:rFonts w:hint="default" w:ascii="Times New Roman" w:hAnsi="Times New Roman" w:eastAsia="仿宋_GB2312" w:cs="Times New Roman"/>
          <w:color w:val="000000"/>
          <w:kern w:val="0"/>
          <w:szCs w:val="32"/>
          <w:highlight w:val="none"/>
          <w:shd w:val="clear" w:color="auto" w:fill="FFFFFF"/>
          <w:lang w:val="en-US" w:eastAsia="zh-CN"/>
        </w:rPr>
        <w:fldChar w:fldCharType="separate"/>
      </w:r>
      <w:r>
        <w:rPr>
          <w:rFonts w:hint="default" w:ascii="Times New Roman" w:hAnsi="Times New Roman" w:eastAsia="仿宋_GB2312" w:cs="Times New Roman"/>
          <w:color w:val="000000"/>
          <w:kern w:val="0"/>
          <w:szCs w:val="32"/>
          <w:highlight w:val="none"/>
          <w:shd w:val="clear" w:color="auto" w:fill="FFFFFF"/>
          <w:lang w:val="en-US" w:eastAsia="zh-CN"/>
        </w:rPr>
        <w:t>信息公开网上公示本绩效目标情况。同时单位整体支出绩效自评报告及其他按要求应公开的绩效信息均已信息公开。</w:t>
      </w:r>
      <w:r>
        <w:rPr>
          <w:rFonts w:hint="default" w:ascii="Times New Roman" w:hAnsi="Times New Roman" w:eastAsia="仿宋_GB2312" w:cs="Times New Roman"/>
          <w:color w:val="000000"/>
          <w:kern w:val="0"/>
          <w:szCs w:val="32"/>
          <w:highlight w:val="none"/>
          <w:shd w:val="clear" w:color="auto" w:fill="FFFFFF"/>
          <w:lang w:val="en-US" w:eastAsia="zh-CN"/>
        </w:rPr>
        <w:fldChar w:fldCharType="end"/>
      </w:r>
    </w:p>
    <w:p w14:paraId="17C14D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31C22E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p>
    <w:p w14:paraId="58C12F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en-US" w:eastAsia="zh-CN"/>
        </w:rPr>
      </w:pPr>
      <w:r>
        <w:rPr>
          <w:rFonts w:hint="default" w:ascii="Times New Roman" w:hAnsi="Times New Roman" w:eastAsia="仿宋_GB2312" w:cs="Times New Roman"/>
          <w:color w:val="000000"/>
          <w:kern w:val="0"/>
          <w:szCs w:val="32"/>
          <w:highlight w:val="none"/>
          <w:shd w:val="clear" w:color="auto" w:fill="FFFFFF"/>
          <w:lang w:val="en-US" w:eastAsia="zh-CN"/>
        </w:rPr>
        <w:t>本单位2024年认真履行职能职责，部门整体预算管理规范、一般性支出控制良好，绩效管理工作完成率100%，采购管理规范，基本完成了各项目标任务。依照《部门整体支出绩效自评打分表》，从评价情况来看，我单位部门预算整体绩效总体合格，预算编制质量较高，绩效目标明确，预算执行及综合管理较好，总体得分92.49分。</w:t>
      </w:r>
    </w:p>
    <w:p w14:paraId="228141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（二）存在问题</w:t>
      </w:r>
    </w:p>
    <w:p w14:paraId="25D802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en-US" w:eastAsia="zh-CN"/>
        </w:rPr>
      </w:pPr>
      <w:r>
        <w:rPr>
          <w:rFonts w:hint="default" w:ascii="Times New Roman" w:hAnsi="Times New Roman" w:eastAsia="仿宋_GB2312" w:cs="Times New Roman"/>
          <w:color w:val="000000"/>
          <w:kern w:val="0"/>
          <w:szCs w:val="32"/>
          <w:shd w:val="clear" w:color="auto" w:fill="FFFFFF"/>
          <w:lang w:val="en-US" w:eastAsia="zh-CN"/>
        </w:rPr>
        <w:t>1.</w:t>
      </w:r>
      <w:r>
        <w:rPr>
          <w:rFonts w:hint="default" w:ascii="Times New Roman" w:hAnsi="Times New Roman" w:eastAsia="仿宋_GB2312" w:cs="Times New Roman"/>
          <w:color w:val="000000"/>
          <w:kern w:val="0"/>
          <w:szCs w:val="32"/>
          <w:shd w:val="clear" w:color="auto" w:fill="FFFFFF"/>
        </w:rPr>
        <w:t>单位年初预算数与年末决算数偏差率较大，主要原因为中省转移支付资金</w:t>
      </w:r>
      <w:r>
        <w:rPr>
          <w:rFonts w:hint="default" w:ascii="Times New Roman" w:hAnsi="Times New Roman" w:eastAsia="仿宋_GB2312" w:cs="Times New Roman"/>
          <w:color w:val="auto"/>
          <w:kern w:val="0"/>
          <w:szCs w:val="32"/>
          <w:shd w:val="clear" w:color="auto" w:fill="FFFFFF"/>
        </w:rPr>
        <w:t>和</w:t>
      </w:r>
      <w:r>
        <w:rPr>
          <w:rFonts w:hint="default" w:ascii="Times New Roman" w:hAnsi="Times New Roman" w:eastAsia="仿宋_GB2312" w:cs="Times New Roman"/>
          <w:color w:val="auto"/>
          <w:kern w:val="0"/>
          <w:szCs w:val="32"/>
          <w:shd w:val="clear" w:color="auto" w:fill="FFFFFF"/>
          <w:lang w:val="en-US" w:eastAsia="zh-CN"/>
        </w:rPr>
        <w:t>智慧警务业务技术用房</w:t>
      </w:r>
      <w:r>
        <w:rPr>
          <w:rFonts w:hint="default" w:ascii="Times New Roman" w:hAnsi="Times New Roman" w:eastAsia="仿宋_GB2312" w:cs="Times New Roman"/>
          <w:color w:val="auto"/>
          <w:kern w:val="0"/>
          <w:szCs w:val="32"/>
          <w:shd w:val="clear" w:color="auto" w:fill="FFFFFF"/>
        </w:rPr>
        <w:t>建设资金为年度中期追加，无法纳入年初预算。</w:t>
      </w:r>
    </w:p>
    <w:p w14:paraId="277F45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en-US" w:eastAsia="zh-CN"/>
        </w:rPr>
      </w:pPr>
      <w:r>
        <w:rPr>
          <w:rFonts w:hint="default" w:ascii="Times New Roman" w:hAnsi="Times New Roman" w:eastAsia="仿宋_GB2312" w:cs="Times New Roman"/>
          <w:color w:val="000000"/>
          <w:kern w:val="0"/>
          <w:szCs w:val="32"/>
          <w:highlight w:val="none"/>
          <w:shd w:val="clear" w:color="auto" w:fill="FFFFFF"/>
          <w:lang w:val="en-US" w:eastAsia="zh-CN"/>
        </w:rPr>
        <w:t>2.人均资产变化率过大。由于单位资产数量金额较大，根据固定资产、无形资产折旧年限，每年折旧金额较大，导致人均资产变化率过大。</w:t>
      </w:r>
    </w:p>
    <w:p w14:paraId="3BD772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p>
    <w:p w14:paraId="511339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zh-CN" w:eastAsia="zh-CN"/>
        </w:rPr>
      </w:pPr>
      <w:r>
        <w:rPr>
          <w:rFonts w:hint="default" w:ascii="Times New Roman" w:hAnsi="Times New Roman" w:eastAsia="仿宋_GB2312" w:cs="Times New Roman"/>
          <w:color w:val="000000"/>
          <w:kern w:val="0"/>
          <w:szCs w:val="32"/>
          <w:highlight w:val="none"/>
          <w:shd w:val="clear" w:color="auto" w:fill="FFFFFF"/>
          <w:lang w:val="zh-CN" w:eastAsia="zh-CN"/>
        </w:rPr>
        <w:t>1.重视部门整体支出的绩效评价工作，自主学习绩效评价相关知识，树立绩效评价意识，提高工作实效。年初制定部门整体支出绩效目标，并尽量描述清晰、精确。年底进行绩效目标完成情况总结，对应目标逐一进行回应。</w:t>
      </w:r>
    </w:p>
    <w:p w14:paraId="1BC6B5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zh-CN" w:eastAsia="zh-CN"/>
        </w:rPr>
      </w:pPr>
      <w:r>
        <w:rPr>
          <w:rFonts w:hint="default" w:ascii="Times New Roman" w:hAnsi="Times New Roman" w:eastAsia="仿宋_GB2312" w:cs="Times New Roman"/>
          <w:color w:val="000000"/>
          <w:kern w:val="0"/>
          <w:szCs w:val="32"/>
          <w:highlight w:val="none"/>
          <w:shd w:val="clear" w:color="auto" w:fill="FFFFFF"/>
          <w:lang w:val="zh-CN" w:eastAsia="zh-CN"/>
        </w:rPr>
        <w:t>2.强化预算编制，并严格遵守《</w:t>
      </w:r>
      <w:r>
        <w:rPr>
          <w:rFonts w:hint="eastAsia" w:ascii="Times New Roman" w:hAnsi="Times New Roman" w:cs="Times New Roman"/>
          <w:color w:val="000000"/>
          <w:kern w:val="0"/>
          <w:szCs w:val="32"/>
          <w:highlight w:val="none"/>
          <w:shd w:val="clear" w:color="auto" w:fill="FFFFFF"/>
          <w:lang w:val="zh-CN" w:eastAsia="zh-CN"/>
        </w:rPr>
        <w:t>中华人民共和国预算法</w:t>
      </w:r>
      <w:r>
        <w:rPr>
          <w:rFonts w:hint="default" w:ascii="Times New Roman" w:hAnsi="Times New Roman" w:eastAsia="仿宋_GB2312" w:cs="Times New Roman"/>
          <w:color w:val="000000"/>
          <w:kern w:val="0"/>
          <w:szCs w:val="32"/>
          <w:highlight w:val="none"/>
          <w:shd w:val="clear" w:color="auto" w:fill="FFFFFF"/>
          <w:lang w:val="zh-CN" w:eastAsia="zh-CN"/>
        </w:rPr>
        <w:t>》，各项经费收入全部纳入预算管理，提高预算精准度，追加调整预算严格执行相应的审批程序，预算内各项资金的来源、使用科目的设置规范化。</w:t>
      </w:r>
    </w:p>
    <w:p w14:paraId="41DC97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zh-CN" w:eastAsia="zh-CN"/>
        </w:rPr>
      </w:pPr>
      <w:r>
        <w:rPr>
          <w:rFonts w:hint="default" w:ascii="Times New Roman" w:hAnsi="Times New Roman" w:eastAsia="仿宋_GB2312" w:cs="Times New Roman"/>
          <w:color w:val="000000"/>
          <w:kern w:val="0"/>
          <w:szCs w:val="32"/>
          <w:highlight w:val="none"/>
          <w:shd w:val="clear" w:color="auto" w:fill="FFFFFF"/>
          <w:lang w:val="zh-CN" w:eastAsia="zh-CN"/>
        </w:rPr>
        <w:t>3.部门加强资金管理，对事前、事中进行控制，对支出进行合理把控，避免超预算、无预算开支的现象发生，积极开展年度中期评估，对下半年度资金做好计划，以提高资金使用效益。</w:t>
      </w:r>
    </w:p>
    <w:p w14:paraId="105A5A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zh-CN" w:eastAsia="zh-CN"/>
        </w:rPr>
      </w:pPr>
      <w:r>
        <w:rPr>
          <w:rFonts w:hint="default" w:ascii="Times New Roman" w:hAnsi="Times New Roman" w:eastAsia="仿宋_GB2312" w:cs="Times New Roman"/>
          <w:color w:val="000000"/>
          <w:kern w:val="0"/>
          <w:szCs w:val="32"/>
          <w:highlight w:val="none"/>
          <w:shd w:val="clear" w:color="auto" w:fill="FFFFFF"/>
          <w:lang w:val="zh-CN" w:eastAsia="zh-CN"/>
        </w:rPr>
        <w:t>4.加强财务会计人员业务培训，提升业务质量，严格执行会计基础工作规范。及时准确地记录、反映单位经济活动，确保会计制度遵守执行。须按照统一的会计准则和制度的规定对原始凭证进行审核，对不真实、不合法的原始凭证有权不予接受，并向单位负责人报告；对记载不准确、不完整的原始凭证予以退回，并按照国家统一的会计制度的规定更正、补充。</w:t>
      </w:r>
    </w:p>
    <w:p w14:paraId="58E214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zh-CN" w:eastAsia="zh-CN"/>
        </w:rPr>
      </w:pPr>
      <w:r>
        <w:rPr>
          <w:rFonts w:hint="default" w:ascii="Times New Roman" w:hAnsi="Times New Roman" w:eastAsia="仿宋_GB2312" w:cs="Times New Roman"/>
          <w:color w:val="000000"/>
          <w:kern w:val="0"/>
          <w:szCs w:val="32"/>
          <w:highlight w:val="none"/>
          <w:shd w:val="clear" w:color="auto" w:fill="FFFFFF"/>
          <w:lang w:val="zh-CN" w:eastAsia="zh-CN"/>
        </w:rPr>
        <w:t>5.加强完善内部控制体系，加强财政专项资金的监管工作，做到财政资金流程合规、使用透明、拨付及时，均衡支出。</w:t>
      </w:r>
    </w:p>
    <w:p w14:paraId="781788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Cs w:val="32"/>
          <w:highlight w:val="none"/>
          <w:shd w:val="clear" w:color="auto" w:fill="FFFFFF"/>
          <w:lang w:val="en-US" w:eastAsia="zh-CN"/>
        </w:rPr>
      </w:pPr>
    </w:p>
    <w:p w14:paraId="6DE32157">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cs="Times New Roman"/>
          <w:color w:val="000000"/>
          <w:kern w:val="0"/>
          <w:sz w:val="33"/>
          <w:szCs w:val="33"/>
          <w:highlight w:val="none"/>
          <w:shd w:val="clear" w:color="auto" w:fill="FFFFFF"/>
          <w:lang w:val="en-US" w:eastAsia="zh-CN"/>
        </w:rPr>
        <w:t>附</w:t>
      </w:r>
      <w:r>
        <w:rPr>
          <w:rFonts w:hint="eastAsia" w:ascii="Times New Roman" w:hAnsi="Times New Roman" w:cs="Times New Roman"/>
          <w:color w:val="000000"/>
          <w:kern w:val="0"/>
          <w:sz w:val="33"/>
          <w:szCs w:val="33"/>
          <w:highlight w:val="none"/>
          <w:shd w:val="clear" w:color="auto" w:fill="FFFFFF"/>
          <w:lang w:val="en-US" w:eastAsia="zh-CN"/>
        </w:rPr>
        <w:t>件</w:t>
      </w:r>
      <w:r>
        <w:rPr>
          <w:rFonts w:hint="default" w:ascii="Times New Roman" w:hAnsi="Times New Roman" w:cs="Times New Roman"/>
          <w:color w:val="000000"/>
          <w:kern w:val="0"/>
          <w:sz w:val="33"/>
          <w:szCs w:val="33"/>
          <w:highlight w:val="none"/>
          <w:shd w:val="clear" w:color="auto" w:fill="FFFFFF"/>
          <w:lang w:val="en-US" w:eastAsia="zh-CN"/>
        </w:rPr>
        <w:t>：部门整体支出绩效目标完成情况自评表</w:t>
      </w:r>
    </w:p>
    <w:p w14:paraId="1D62B25D">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p>
    <w:p w14:paraId="2370ABBB">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p>
    <w:p w14:paraId="2AD45AAA">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cs="Times New Roman"/>
          <w:color w:val="000000"/>
          <w:kern w:val="0"/>
          <w:sz w:val="33"/>
          <w:szCs w:val="33"/>
          <w:highlight w:val="none"/>
          <w:shd w:val="clear" w:color="auto" w:fill="FFFFFF"/>
          <w:lang w:val="en-US" w:eastAsia="zh-CN"/>
        </w:rPr>
        <w:t xml:space="preserve">                           遂宁市公安局</w:t>
      </w:r>
    </w:p>
    <w:p w14:paraId="6FC428EA">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cs="Times New Roman"/>
          <w:color w:val="000000"/>
          <w:kern w:val="0"/>
          <w:sz w:val="33"/>
          <w:szCs w:val="33"/>
          <w:highlight w:val="none"/>
          <w:shd w:val="clear" w:color="auto" w:fill="FFFFFF"/>
          <w:lang w:val="en-US" w:eastAsia="zh-CN"/>
        </w:rPr>
        <w:t xml:space="preserve">                          2025年6月3日</w:t>
      </w:r>
      <w:r>
        <w:rPr>
          <w:rFonts w:hint="default" w:ascii="Times New Roman" w:hAnsi="Times New Roman" w:cs="Times New Roman"/>
          <w:color w:val="000000"/>
          <w:kern w:val="0"/>
          <w:sz w:val="33"/>
          <w:szCs w:val="33"/>
          <w:highlight w:val="none"/>
          <w:shd w:val="clear" w:color="auto" w:fill="FFFFFF"/>
          <w:lang w:val="en-US" w:eastAsia="zh-CN"/>
        </w:rPr>
        <w:br w:type="page"/>
      </w:r>
    </w:p>
    <w:p w14:paraId="1A89B2A8">
      <w:pPr>
        <w:pStyle w:val="16"/>
        <w:spacing w:line="560" w:lineRule="exact"/>
        <w:ind w:firstLine="0" w:firstLineChars="0"/>
        <w:rPr>
          <w:rFonts w:hint="eastAsia"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附件</w:t>
      </w:r>
    </w:p>
    <w:p w14:paraId="48B570DE">
      <w:pPr>
        <w:spacing w:line="560" w:lineRule="exact"/>
        <w:jc w:val="center"/>
        <w:rPr>
          <w:rFonts w:hint="eastAsia" w:ascii="方正小标宋简体" w:hAnsi="宋体" w:eastAsia="方正小标宋简体" w:cs="黑体"/>
          <w:color w:val="000000"/>
          <w:kern w:val="0"/>
          <w:sz w:val="44"/>
          <w:szCs w:val="44"/>
        </w:rPr>
      </w:pPr>
      <w:r>
        <w:rPr>
          <w:rFonts w:hint="eastAsia" w:ascii="方正小标宋简体" w:hAnsi="宋体" w:eastAsia="方正小标宋简体" w:cs="黑体"/>
          <w:color w:val="000000"/>
          <w:kern w:val="0"/>
          <w:sz w:val="44"/>
          <w:szCs w:val="44"/>
        </w:rPr>
        <w:t>部门整体支出绩效目标完成情况自评表</w:t>
      </w:r>
    </w:p>
    <w:p w14:paraId="2544580D">
      <w:pPr>
        <w:spacing w:line="360" w:lineRule="exact"/>
        <w:jc w:val="center"/>
        <w:rPr>
          <w:rFonts w:hint="eastAsia" w:ascii="仿宋_GB2312" w:hAnsi="宋体" w:cs="宋体"/>
          <w:color w:val="000000"/>
          <w:kern w:val="0"/>
          <w:sz w:val="28"/>
          <w:szCs w:val="28"/>
        </w:rPr>
      </w:pPr>
      <w:r>
        <w:rPr>
          <w:rFonts w:hint="eastAsia" w:ascii="仿宋_GB2312" w:hAnsi="宋体" w:cs="宋体"/>
          <w:color w:val="000000"/>
          <w:kern w:val="0"/>
          <w:sz w:val="28"/>
          <w:szCs w:val="28"/>
        </w:rPr>
        <w:t>（2024年度）</w:t>
      </w:r>
    </w:p>
    <w:p w14:paraId="4460EF93">
      <w:pPr>
        <w:spacing w:line="360" w:lineRule="exact"/>
        <w:jc w:val="right"/>
        <w:rPr>
          <w:rFonts w:hint="eastAsia" w:ascii="仿宋_GB2312"/>
          <w:sz w:val="28"/>
          <w:szCs w:val="28"/>
        </w:rPr>
      </w:pPr>
      <w:r>
        <w:rPr>
          <w:rFonts w:hint="eastAsia" w:ascii="仿宋_GB2312" w:hAnsi="宋体" w:cs="宋体"/>
          <w:color w:val="000000"/>
          <w:kern w:val="0"/>
          <w:sz w:val="28"/>
          <w:szCs w:val="28"/>
        </w:rPr>
        <w:t xml:space="preserve">                  金额单位：万元</w:t>
      </w:r>
    </w:p>
    <w:tbl>
      <w:tblPr>
        <w:tblStyle w:val="12"/>
        <w:tblW w:w="929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151"/>
        <w:gridCol w:w="692"/>
        <w:gridCol w:w="928"/>
        <w:gridCol w:w="692"/>
        <w:gridCol w:w="2700"/>
        <w:gridCol w:w="360"/>
        <w:gridCol w:w="540"/>
        <w:gridCol w:w="900"/>
        <w:gridCol w:w="866"/>
        <w:gridCol w:w="461"/>
      </w:tblGrid>
      <w:tr w14:paraId="72E6D6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3463" w:type="dxa"/>
            <w:gridSpan w:val="4"/>
            <w:noWrap w:val="0"/>
            <w:tcMar>
              <w:top w:w="15" w:type="dxa"/>
              <w:left w:w="15" w:type="dxa"/>
              <w:right w:w="15" w:type="dxa"/>
            </w:tcMar>
            <w:vAlign w:val="center"/>
          </w:tcPr>
          <w:p w14:paraId="0181AAE8">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部门名称</w:t>
            </w:r>
          </w:p>
        </w:tc>
        <w:tc>
          <w:tcPr>
            <w:tcW w:w="5827" w:type="dxa"/>
            <w:gridSpan w:val="6"/>
            <w:noWrap w:val="0"/>
            <w:tcMar>
              <w:top w:w="15" w:type="dxa"/>
              <w:left w:w="15" w:type="dxa"/>
              <w:right w:w="15" w:type="dxa"/>
            </w:tcMar>
            <w:vAlign w:val="center"/>
          </w:tcPr>
          <w:p w14:paraId="7E2E98C0">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遂宁市公安局部门</w:t>
            </w:r>
          </w:p>
        </w:tc>
      </w:tr>
      <w:tr w14:paraId="1DC674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 w:hRule="atLeast"/>
          <w:jc w:val="center"/>
        </w:trPr>
        <w:tc>
          <w:tcPr>
            <w:tcW w:w="1151" w:type="dxa"/>
            <w:vMerge w:val="restart"/>
            <w:noWrap w:val="0"/>
            <w:tcMar>
              <w:top w:w="15" w:type="dxa"/>
              <w:left w:w="15" w:type="dxa"/>
              <w:right w:w="15" w:type="dxa"/>
            </w:tcMar>
            <w:vAlign w:val="center"/>
          </w:tcPr>
          <w:p w14:paraId="475FDAF4">
            <w:pPr>
              <w:widowControl/>
              <w:spacing w:line="24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年度部门整体支出预算</w:t>
            </w:r>
          </w:p>
        </w:tc>
        <w:tc>
          <w:tcPr>
            <w:tcW w:w="2312" w:type="dxa"/>
            <w:gridSpan w:val="3"/>
            <w:noWrap w:val="0"/>
            <w:tcMar>
              <w:top w:w="15" w:type="dxa"/>
              <w:left w:w="15" w:type="dxa"/>
              <w:right w:w="15" w:type="dxa"/>
            </w:tcMar>
            <w:vAlign w:val="center"/>
          </w:tcPr>
          <w:p w14:paraId="783B40AF">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资金总额</w:t>
            </w:r>
          </w:p>
        </w:tc>
        <w:tc>
          <w:tcPr>
            <w:tcW w:w="3060" w:type="dxa"/>
            <w:gridSpan w:val="2"/>
            <w:noWrap w:val="0"/>
            <w:tcMar>
              <w:top w:w="15" w:type="dxa"/>
              <w:left w:w="15" w:type="dxa"/>
              <w:right w:w="15" w:type="dxa"/>
            </w:tcMar>
            <w:vAlign w:val="center"/>
          </w:tcPr>
          <w:p w14:paraId="0F6C0AE8">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财政拨款</w:t>
            </w:r>
          </w:p>
        </w:tc>
        <w:tc>
          <w:tcPr>
            <w:tcW w:w="2767" w:type="dxa"/>
            <w:gridSpan w:val="4"/>
            <w:noWrap w:val="0"/>
            <w:tcMar>
              <w:top w:w="15" w:type="dxa"/>
              <w:left w:w="15" w:type="dxa"/>
              <w:right w:w="15" w:type="dxa"/>
            </w:tcMar>
            <w:vAlign w:val="center"/>
          </w:tcPr>
          <w:p w14:paraId="2109F3E2">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其他资金</w:t>
            </w:r>
          </w:p>
        </w:tc>
      </w:tr>
      <w:tr w14:paraId="72106B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1" w:hRule="atLeast"/>
          <w:jc w:val="center"/>
        </w:trPr>
        <w:tc>
          <w:tcPr>
            <w:tcW w:w="1151" w:type="dxa"/>
            <w:vMerge w:val="continue"/>
            <w:noWrap w:val="0"/>
            <w:tcMar>
              <w:top w:w="15" w:type="dxa"/>
              <w:left w:w="15" w:type="dxa"/>
              <w:right w:w="15" w:type="dxa"/>
            </w:tcMar>
            <w:vAlign w:val="center"/>
          </w:tcPr>
          <w:p w14:paraId="1B1F6096">
            <w:pPr>
              <w:spacing w:line="300" w:lineRule="exact"/>
              <w:jc w:val="center"/>
              <w:rPr>
                <w:rFonts w:hint="eastAsia" w:ascii="仿宋_GB2312" w:hAnsi="宋体" w:cs="宋体"/>
                <w:color w:val="000000"/>
                <w:sz w:val="24"/>
              </w:rPr>
            </w:pPr>
          </w:p>
        </w:tc>
        <w:tc>
          <w:tcPr>
            <w:tcW w:w="2312" w:type="dxa"/>
            <w:gridSpan w:val="3"/>
            <w:noWrap w:val="0"/>
            <w:tcMar>
              <w:top w:w="15" w:type="dxa"/>
              <w:left w:w="15" w:type="dxa"/>
              <w:right w:w="15" w:type="dxa"/>
            </w:tcMar>
            <w:vAlign w:val="center"/>
          </w:tcPr>
          <w:p w14:paraId="408A1EEA">
            <w:pPr>
              <w:widowControl/>
              <w:spacing w:line="300" w:lineRule="exact"/>
              <w:jc w:val="center"/>
              <w:textAlignment w:val="center"/>
              <w:rPr>
                <w:rFonts w:hint="default" w:ascii="仿宋_GB2312" w:hAnsi="宋体" w:eastAsia="仿宋_GB2312" w:cs="宋体"/>
                <w:color w:val="000000"/>
                <w:sz w:val="24"/>
                <w:lang w:val="en-US" w:eastAsia="zh-CN"/>
              </w:rPr>
            </w:pPr>
            <w:r>
              <w:rPr>
                <w:rFonts w:hint="eastAsia" w:ascii="仿宋_GB2312" w:hAnsi="宋体" w:cs="宋体"/>
                <w:color w:val="000000"/>
                <w:kern w:val="0"/>
                <w:sz w:val="24"/>
                <w:lang w:val="en-US" w:eastAsia="zh-CN"/>
              </w:rPr>
              <w:t>19038.28</w:t>
            </w:r>
          </w:p>
        </w:tc>
        <w:tc>
          <w:tcPr>
            <w:tcW w:w="3060" w:type="dxa"/>
            <w:gridSpan w:val="2"/>
            <w:noWrap w:val="0"/>
            <w:tcMar>
              <w:top w:w="15" w:type="dxa"/>
              <w:left w:w="15" w:type="dxa"/>
              <w:right w:w="15" w:type="dxa"/>
            </w:tcMar>
            <w:vAlign w:val="center"/>
          </w:tcPr>
          <w:p w14:paraId="5EE91615">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lang w:val="en-US" w:eastAsia="zh-CN"/>
              </w:rPr>
              <w:t>19038.28</w:t>
            </w:r>
          </w:p>
        </w:tc>
        <w:tc>
          <w:tcPr>
            <w:tcW w:w="2767" w:type="dxa"/>
            <w:gridSpan w:val="4"/>
            <w:noWrap w:val="0"/>
            <w:tcMar>
              <w:top w:w="15" w:type="dxa"/>
              <w:left w:w="15" w:type="dxa"/>
              <w:right w:w="15" w:type="dxa"/>
            </w:tcMar>
            <w:vAlign w:val="center"/>
          </w:tcPr>
          <w:p w14:paraId="74A6576B">
            <w:pPr>
              <w:spacing w:line="300" w:lineRule="exact"/>
              <w:jc w:val="right"/>
              <w:rPr>
                <w:rFonts w:hint="eastAsia" w:ascii="仿宋_GB2312" w:hAnsi="宋体" w:cs="宋体"/>
                <w:color w:val="000000"/>
                <w:sz w:val="24"/>
              </w:rPr>
            </w:pPr>
          </w:p>
        </w:tc>
      </w:tr>
      <w:tr w14:paraId="13C123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60" w:hRule="atLeast"/>
          <w:jc w:val="center"/>
        </w:trPr>
        <w:tc>
          <w:tcPr>
            <w:tcW w:w="1151" w:type="dxa"/>
            <w:noWrap w:val="0"/>
            <w:tcMar>
              <w:top w:w="15" w:type="dxa"/>
              <w:left w:w="15" w:type="dxa"/>
              <w:right w:w="15" w:type="dxa"/>
            </w:tcMar>
            <w:vAlign w:val="center"/>
          </w:tcPr>
          <w:p w14:paraId="257B6214">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年度</w:t>
            </w:r>
          </w:p>
          <w:p w14:paraId="0CF739F0">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总体</w:t>
            </w:r>
          </w:p>
          <w:p w14:paraId="05ABA33E">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目标</w:t>
            </w:r>
          </w:p>
        </w:tc>
        <w:tc>
          <w:tcPr>
            <w:tcW w:w="8139" w:type="dxa"/>
            <w:gridSpan w:val="9"/>
            <w:noWrap w:val="0"/>
            <w:tcMar>
              <w:top w:w="15" w:type="dxa"/>
              <w:left w:w="15" w:type="dxa"/>
              <w:right w:w="15" w:type="dxa"/>
            </w:tcMar>
            <w:vAlign w:val="center"/>
          </w:tcPr>
          <w:p w14:paraId="6D55A421">
            <w:pPr>
              <w:widowControl/>
              <w:spacing w:line="300" w:lineRule="exact"/>
              <w:ind w:firstLine="480" w:firstLineChars="200"/>
              <w:jc w:val="left"/>
              <w:textAlignment w:val="center"/>
              <w:rPr>
                <w:rFonts w:hint="eastAsia" w:ascii="仿宋_GB2312" w:hAnsi="宋体" w:cs="宋体"/>
                <w:color w:val="000000"/>
                <w:sz w:val="24"/>
              </w:rPr>
            </w:pPr>
            <w:r>
              <w:rPr>
                <w:rFonts w:hint="eastAsia" w:ascii="仿宋_GB2312" w:hAnsi="宋体" w:cs="宋体"/>
                <w:color w:val="000000"/>
                <w:kern w:val="0"/>
                <w:sz w:val="24"/>
              </w:rPr>
              <w:t>2024年，在市委市政府和省厅党委的坚强领导下，坚持总体国家安全观，坚持和发展新时代“枫桥经验”，坚持以人民为中心的发展思想，坚持稳中求进工作总基调，锚定“一年强基础、两年大提升、三至五年大跨越”总体规划，紧扣深入推进公安工作现代化为“一条主线”，坚持对标跨越、改革破冰“两个引领”，聚焦模式提优、基础提级、智慧提能“三项攻坚”，实施主动、主抓、主推、主导“四主模式”，推进加强党的领导、守护人民安宁、完善警务模式、夯实基层基础、建强智慧公安、提升工作质效、淬炼公安铁军“七大重点”，建设成渝线上发案最少、秩序最好、服务最优的平安“星”城，切实以高质量发展促进高水平安全，以高水平安全保障高质量发展，在新征程上向党和人民交出满意答卷。</w:t>
            </w:r>
          </w:p>
        </w:tc>
      </w:tr>
      <w:tr w14:paraId="1FCAE7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1" w:hRule="atLeast"/>
          <w:jc w:val="center"/>
        </w:trPr>
        <w:tc>
          <w:tcPr>
            <w:tcW w:w="1151" w:type="dxa"/>
            <w:vMerge w:val="restart"/>
            <w:noWrap w:val="0"/>
            <w:tcMar>
              <w:top w:w="15" w:type="dxa"/>
              <w:left w:w="15" w:type="dxa"/>
              <w:right w:w="15" w:type="dxa"/>
            </w:tcMar>
            <w:vAlign w:val="center"/>
          </w:tcPr>
          <w:p w14:paraId="6B5CF8F6">
            <w:pPr>
              <w:widowControl/>
              <w:spacing w:line="300" w:lineRule="exact"/>
              <w:jc w:val="center"/>
              <w:textAlignment w:val="center"/>
              <w:rPr>
                <w:rFonts w:hint="eastAsia" w:ascii="仿宋_GB2312" w:hAnsi="宋体" w:cs="宋体"/>
                <w:color w:val="000000"/>
                <w:kern w:val="0"/>
                <w:sz w:val="24"/>
              </w:rPr>
            </w:pPr>
          </w:p>
          <w:p w14:paraId="7BDE18DF">
            <w:pPr>
              <w:widowControl/>
              <w:spacing w:line="300" w:lineRule="exact"/>
              <w:jc w:val="center"/>
              <w:textAlignment w:val="center"/>
              <w:rPr>
                <w:rFonts w:hint="eastAsia" w:ascii="仿宋_GB2312" w:hAnsi="宋体" w:cs="宋体"/>
                <w:color w:val="000000"/>
                <w:kern w:val="0"/>
                <w:sz w:val="24"/>
              </w:rPr>
            </w:pPr>
          </w:p>
          <w:p w14:paraId="0717BC0A">
            <w:pPr>
              <w:widowControl/>
              <w:spacing w:line="300" w:lineRule="exact"/>
              <w:jc w:val="center"/>
              <w:textAlignment w:val="center"/>
              <w:rPr>
                <w:rFonts w:hint="eastAsia" w:ascii="仿宋_GB2312" w:hAnsi="宋体" w:cs="宋体"/>
                <w:color w:val="000000"/>
                <w:kern w:val="0"/>
                <w:sz w:val="24"/>
              </w:rPr>
            </w:pPr>
          </w:p>
          <w:p w14:paraId="2A02180D">
            <w:pPr>
              <w:widowControl/>
              <w:spacing w:line="300" w:lineRule="exact"/>
              <w:jc w:val="center"/>
              <w:textAlignment w:val="center"/>
              <w:rPr>
                <w:rFonts w:hint="eastAsia" w:ascii="仿宋_GB2312" w:hAnsi="宋体" w:cs="宋体"/>
                <w:color w:val="000000"/>
                <w:kern w:val="0"/>
                <w:sz w:val="24"/>
              </w:rPr>
            </w:pPr>
          </w:p>
          <w:p w14:paraId="02A9BFDB">
            <w:pPr>
              <w:widowControl/>
              <w:spacing w:line="300" w:lineRule="exact"/>
              <w:jc w:val="center"/>
              <w:textAlignment w:val="center"/>
              <w:rPr>
                <w:rFonts w:hint="eastAsia" w:ascii="仿宋_GB2312" w:hAnsi="宋体" w:cs="宋体"/>
                <w:color w:val="000000"/>
                <w:kern w:val="0"/>
                <w:sz w:val="24"/>
              </w:rPr>
            </w:pPr>
          </w:p>
          <w:p w14:paraId="7D3F54C7">
            <w:pPr>
              <w:widowControl/>
              <w:spacing w:line="300" w:lineRule="exact"/>
              <w:jc w:val="center"/>
              <w:textAlignment w:val="center"/>
              <w:rPr>
                <w:rFonts w:hint="eastAsia" w:ascii="仿宋_GB2312" w:hAnsi="宋体" w:cs="宋体"/>
                <w:color w:val="000000"/>
                <w:kern w:val="0"/>
                <w:sz w:val="24"/>
              </w:rPr>
            </w:pPr>
          </w:p>
          <w:p w14:paraId="710B7D3A">
            <w:pPr>
              <w:widowControl/>
              <w:spacing w:line="300" w:lineRule="exact"/>
              <w:jc w:val="center"/>
              <w:textAlignment w:val="center"/>
              <w:rPr>
                <w:rFonts w:hint="eastAsia" w:ascii="仿宋_GB2312" w:hAnsi="宋体" w:cs="宋体"/>
                <w:color w:val="000000"/>
                <w:kern w:val="0"/>
                <w:sz w:val="24"/>
              </w:rPr>
            </w:pPr>
          </w:p>
          <w:p w14:paraId="27E48956">
            <w:pPr>
              <w:widowControl/>
              <w:spacing w:line="300" w:lineRule="exact"/>
              <w:jc w:val="center"/>
              <w:textAlignment w:val="center"/>
              <w:rPr>
                <w:rFonts w:hint="eastAsia" w:ascii="仿宋_GB2312" w:hAnsi="宋体" w:cs="宋体"/>
                <w:color w:val="000000"/>
                <w:kern w:val="0"/>
                <w:sz w:val="24"/>
              </w:rPr>
            </w:pPr>
          </w:p>
          <w:p w14:paraId="0458E390">
            <w:pPr>
              <w:widowControl/>
              <w:spacing w:line="300" w:lineRule="exact"/>
              <w:jc w:val="center"/>
              <w:textAlignment w:val="center"/>
              <w:rPr>
                <w:rFonts w:hint="eastAsia" w:ascii="仿宋_GB2312" w:hAnsi="宋体" w:cs="宋体"/>
                <w:color w:val="000000"/>
                <w:kern w:val="0"/>
                <w:sz w:val="24"/>
              </w:rPr>
            </w:pPr>
          </w:p>
          <w:p w14:paraId="01971D21">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年度</w:t>
            </w:r>
          </w:p>
          <w:p w14:paraId="6AD659E1">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主要</w:t>
            </w:r>
          </w:p>
          <w:p w14:paraId="6E4EF80B">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任务</w:t>
            </w:r>
          </w:p>
          <w:p w14:paraId="641B7F37">
            <w:pPr>
              <w:widowControl/>
              <w:spacing w:line="300" w:lineRule="exact"/>
              <w:jc w:val="center"/>
              <w:textAlignment w:val="center"/>
              <w:rPr>
                <w:rFonts w:hint="eastAsia" w:ascii="仿宋_GB2312" w:hAnsi="宋体" w:cs="宋体"/>
                <w:color w:val="000000"/>
                <w:kern w:val="0"/>
                <w:sz w:val="24"/>
              </w:rPr>
            </w:pPr>
          </w:p>
          <w:p w14:paraId="097D7FF9">
            <w:pPr>
              <w:widowControl/>
              <w:spacing w:line="300" w:lineRule="exact"/>
              <w:jc w:val="center"/>
              <w:textAlignment w:val="center"/>
              <w:rPr>
                <w:rFonts w:hint="eastAsia" w:ascii="仿宋_GB2312" w:hAnsi="宋体" w:cs="宋体"/>
                <w:color w:val="000000"/>
                <w:kern w:val="0"/>
                <w:sz w:val="24"/>
              </w:rPr>
            </w:pPr>
          </w:p>
          <w:p w14:paraId="2542CFB2">
            <w:pPr>
              <w:widowControl/>
              <w:spacing w:line="300" w:lineRule="exact"/>
              <w:jc w:val="center"/>
              <w:textAlignment w:val="center"/>
              <w:rPr>
                <w:rFonts w:hint="eastAsia" w:ascii="仿宋_GB2312" w:hAnsi="宋体" w:cs="宋体"/>
                <w:color w:val="000000"/>
                <w:kern w:val="0"/>
                <w:sz w:val="24"/>
              </w:rPr>
            </w:pPr>
          </w:p>
          <w:p w14:paraId="32BEF6E6">
            <w:pPr>
              <w:widowControl/>
              <w:spacing w:line="300" w:lineRule="exact"/>
              <w:jc w:val="center"/>
              <w:textAlignment w:val="center"/>
              <w:rPr>
                <w:rFonts w:hint="eastAsia" w:ascii="仿宋_GB2312" w:hAnsi="宋体" w:cs="宋体"/>
                <w:color w:val="000000"/>
                <w:kern w:val="0"/>
                <w:sz w:val="24"/>
              </w:rPr>
            </w:pPr>
          </w:p>
          <w:p w14:paraId="295C3840">
            <w:pPr>
              <w:widowControl/>
              <w:spacing w:line="300" w:lineRule="exact"/>
              <w:jc w:val="center"/>
              <w:textAlignment w:val="center"/>
              <w:rPr>
                <w:rFonts w:hint="eastAsia" w:ascii="仿宋_GB2312" w:hAnsi="宋体" w:cs="宋体"/>
                <w:color w:val="000000"/>
                <w:kern w:val="0"/>
                <w:sz w:val="24"/>
              </w:rPr>
            </w:pPr>
          </w:p>
          <w:p w14:paraId="54EE3F4B">
            <w:pPr>
              <w:widowControl/>
              <w:spacing w:line="300" w:lineRule="exact"/>
              <w:jc w:val="center"/>
              <w:textAlignment w:val="center"/>
              <w:rPr>
                <w:rFonts w:hint="eastAsia" w:ascii="仿宋_GB2312" w:hAnsi="宋体" w:cs="宋体"/>
                <w:color w:val="000000"/>
                <w:kern w:val="0"/>
                <w:sz w:val="24"/>
              </w:rPr>
            </w:pPr>
          </w:p>
          <w:p w14:paraId="4A44CA64">
            <w:pPr>
              <w:widowControl/>
              <w:spacing w:line="300" w:lineRule="exact"/>
              <w:jc w:val="center"/>
              <w:textAlignment w:val="center"/>
              <w:rPr>
                <w:rFonts w:hint="eastAsia" w:ascii="仿宋_GB2312" w:hAnsi="宋体" w:cs="宋体"/>
                <w:color w:val="000000"/>
                <w:kern w:val="0"/>
                <w:sz w:val="24"/>
              </w:rPr>
            </w:pPr>
          </w:p>
          <w:p w14:paraId="23D4D988">
            <w:pPr>
              <w:widowControl/>
              <w:spacing w:line="300" w:lineRule="exact"/>
              <w:jc w:val="center"/>
              <w:textAlignment w:val="center"/>
              <w:rPr>
                <w:rFonts w:hint="eastAsia" w:ascii="仿宋_GB2312" w:hAnsi="宋体" w:cs="宋体"/>
                <w:color w:val="000000"/>
                <w:kern w:val="0"/>
                <w:sz w:val="24"/>
              </w:rPr>
            </w:pPr>
          </w:p>
          <w:p w14:paraId="4B6D0E1B">
            <w:pPr>
              <w:widowControl/>
              <w:spacing w:line="300" w:lineRule="exact"/>
              <w:jc w:val="center"/>
              <w:textAlignment w:val="center"/>
              <w:rPr>
                <w:rFonts w:hint="eastAsia" w:ascii="仿宋_GB2312" w:hAnsi="宋体" w:cs="宋体"/>
                <w:color w:val="000000"/>
                <w:kern w:val="0"/>
                <w:sz w:val="24"/>
              </w:rPr>
            </w:pPr>
          </w:p>
          <w:p w14:paraId="55287955">
            <w:pPr>
              <w:widowControl/>
              <w:spacing w:line="300" w:lineRule="exact"/>
              <w:jc w:val="center"/>
              <w:textAlignment w:val="center"/>
              <w:rPr>
                <w:rFonts w:hint="eastAsia" w:ascii="仿宋_GB2312" w:hAnsi="宋体" w:cs="宋体"/>
                <w:color w:val="000000"/>
                <w:kern w:val="0"/>
                <w:sz w:val="24"/>
              </w:rPr>
            </w:pPr>
          </w:p>
          <w:p w14:paraId="4A981EC0">
            <w:pPr>
              <w:widowControl/>
              <w:spacing w:line="300" w:lineRule="exact"/>
              <w:jc w:val="center"/>
              <w:textAlignment w:val="center"/>
              <w:rPr>
                <w:rFonts w:hint="eastAsia" w:ascii="仿宋_GB2312" w:hAnsi="宋体" w:cs="宋体"/>
                <w:color w:val="000000"/>
                <w:kern w:val="0"/>
                <w:sz w:val="24"/>
              </w:rPr>
            </w:pPr>
          </w:p>
          <w:p w14:paraId="271A301D">
            <w:pPr>
              <w:widowControl/>
              <w:spacing w:line="300" w:lineRule="exact"/>
              <w:jc w:val="center"/>
              <w:textAlignment w:val="center"/>
              <w:rPr>
                <w:rFonts w:hint="eastAsia" w:ascii="仿宋_GB2312" w:hAnsi="宋体" w:cs="宋体"/>
                <w:color w:val="000000"/>
                <w:kern w:val="0"/>
                <w:sz w:val="24"/>
              </w:rPr>
            </w:pPr>
          </w:p>
          <w:p w14:paraId="4FF89216">
            <w:pPr>
              <w:widowControl/>
              <w:spacing w:line="300" w:lineRule="exact"/>
              <w:jc w:val="center"/>
              <w:textAlignment w:val="center"/>
              <w:rPr>
                <w:rFonts w:hint="eastAsia" w:ascii="仿宋_GB2312" w:hAnsi="宋体" w:cs="宋体"/>
                <w:color w:val="000000"/>
                <w:kern w:val="0"/>
                <w:sz w:val="24"/>
              </w:rPr>
            </w:pPr>
          </w:p>
          <w:p w14:paraId="0C34FE7E">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年度</w:t>
            </w:r>
          </w:p>
          <w:p w14:paraId="10F47FB9">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主要</w:t>
            </w:r>
          </w:p>
          <w:p w14:paraId="59E99E8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任务</w:t>
            </w:r>
          </w:p>
        </w:tc>
        <w:tc>
          <w:tcPr>
            <w:tcW w:w="1620" w:type="dxa"/>
            <w:gridSpan w:val="2"/>
            <w:noWrap w:val="0"/>
            <w:tcMar>
              <w:top w:w="15" w:type="dxa"/>
              <w:left w:w="15" w:type="dxa"/>
              <w:right w:w="15" w:type="dxa"/>
            </w:tcMar>
            <w:vAlign w:val="center"/>
          </w:tcPr>
          <w:p w14:paraId="642C7CC0">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任务名称</w:t>
            </w:r>
          </w:p>
        </w:tc>
        <w:tc>
          <w:tcPr>
            <w:tcW w:w="6519" w:type="dxa"/>
            <w:gridSpan w:val="7"/>
            <w:noWrap w:val="0"/>
            <w:tcMar>
              <w:top w:w="15" w:type="dxa"/>
              <w:left w:w="15" w:type="dxa"/>
              <w:right w:w="15" w:type="dxa"/>
            </w:tcMar>
            <w:vAlign w:val="center"/>
          </w:tcPr>
          <w:p w14:paraId="43F6ABC4">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主要内容</w:t>
            </w:r>
          </w:p>
        </w:tc>
      </w:tr>
      <w:tr w14:paraId="1EDCCF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6" w:hRule="atLeast"/>
          <w:jc w:val="center"/>
        </w:trPr>
        <w:tc>
          <w:tcPr>
            <w:tcW w:w="1151" w:type="dxa"/>
            <w:vMerge w:val="continue"/>
            <w:noWrap w:val="0"/>
            <w:tcMar>
              <w:top w:w="15" w:type="dxa"/>
              <w:left w:w="15" w:type="dxa"/>
              <w:right w:w="15" w:type="dxa"/>
            </w:tcMar>
            <w:vAlign w:val="center"/>
          </w:tcPr>
          <w:p w14:paraId="14763942">
            <w:pPr>
              <w:spacing w:line="300" w:lineRule="exact"/>
              <w:jc w:val="center"/>
              <w:rPr>
                <w:rFonts w:hint="eastAsia" w:ascii="仿宋_GB2312" w:hAnsi="宋体" w:cs="宋体"/>
                <w:color w:val="000000"/>
                <w:sz w:val="24"/>
              </w:rPr>
            </w:pPr>
          </w:p>
        </w:tc>
        <w:tc>
          <w:tcPr>
            <w:tcW w:w="1620" w:type="dxa"/>
            <w:gridSpan w:val="2"/>
            <w:noWrap w:val="0"/>
            <w:tcMar>
              <w:top w:w="15" w:type="dxa"/>
              <w:left w:w="15" w:type="dxa"/>
              <w:right w:w="15" w:type="dxa"/>
            </w:tcMar>
            <w:vAlign w:val="center"/>
          </w:tcPr>
          <w:p w14:paraId="4C2D7320">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加强科技</w:t>
            </w:r>
          </w:p>
          <w:p w14:paraId="5BA539B8">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能力建设</w:t>
            </w:r>
          </w:p>
        </w:tc>
        <w:tc>
          <w:tcPr>
            <w:tcW w:w="6519" w:type="dxa"/>
            <w:gridSpan w:val="7"/>
            <w:noWrap w:val="0"/>
            <w:tcMar>
              <w:top w:w="15" w:type="dxa"/>
              <w:left w:w="15" w:type="dxa"/>
              <w:right w:w="15" w:type="dxa"/>
            </w:tcMar>
            <w:vAlign w:val="center"/>
          </w:tcPr>
          <w:p w14:paraId="5F611658">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实施警务提能行动，升级打造遂宁公安智慧警务“星斗”工程、加强技术侦察能力建设、提升网安核心能力等。加强应急物资、运力、通讯、装备、设施等建设，提升综合保障能力。</w:t>
            </w:r>
          </w:p>
        </w:tc>
      </w:tr>
      <w:tr w14:paraId="44A9C8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0" w:hRule="atLeast"/>
          <w:jc w:val="center"/>
        </w:trPr>
        <w:tc>
          <w:tcPr>
            <w:tcW w:w="1151" w:type="dxa"/>
            <w:vMerge w:val="continue"/>
            <w:noWrap w:val="0"/>
            <w:tcMar>
              <w:top w:w="15" w:type="dxa"/>
              <w:left w:w="15" w:type="dxa"/>
              <w:right w:w="15" w:type="dxa"/>
            </w:tcMar>
            <w:vAlign w:val="center"/>
          </w:tcPr>
          <w:p w14:paraId="5F1A00DC">
            <w:pPr>
              <w:spacing w:line="300" w:lineRule="exact"/>
              <w:jc w:val="center"/>
              <w:rPr>
                <w:rFonts w:hint="eastAsia" w:ascii="仿宋_GB2312" w:hAnsi="宋体" w:cs="宋体"/>
                <w:color w:val="000000"/>
                <w:sz w:val="24"/>
              </w:rPr>
            </w:pPr>
          </w:p>
        </w:tc>
        <w:tc>
          <w:tcPr>
            <w:tcW w:w="1620" w:type="dxa"/>
            <w:gridSpan w:val="2"/>
            <w:noWrap w:val="0"/>
            <w:tcMar>
              <w:top w:w="15" w:type="dxa"/>
              <w:left w:w="15" w:type="dxa"/>
              <w:right w:w="15" w:type="dxa"/>
            </w:tcMar>
            <w:vAlign w:val="center"/>
          </w:tcPr>
          <w:p w14:paraId="7E1E4997">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深化社会治安整体防控</w:t>
            </w:r>
          </w:p>
        </w:tc>
        <w:tc>
          <w:tcPr>
            <w:tcW w:w="6519" w:type="dxa"/>
            <w:gridSpan w:val="7"/>
            <w:noWrap w:val="0"/>
            <w:tcMar>
              <w:top w:w="15" w:type="dxa"/>
              <w:left w:w="15" w:type="dxa"/>
              <w:right w:w="15" w:type="dxa"/>
            </w:tcMar>
            <w:vAlign w:val="center"/>
          </w:tcPr>
          <w:p w14:paraId="4301B53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深入推进社会防控体系建设，进一步加强社会面防控网、城乡社区防控网、单位内部防控网、重点行业防控网、视频监控网、信息网络防控网等“六张网”建设，着力构建点线面结合、人防物防技防结合、打防管控结合、网上网下结合的全时空、广覆盖、立体化治安防控体系，不断提高动态化、信息化条件下驾驭社会治安局势能力。</w:t>
            </w:r>
          </w:p>
        </w:tc>
      </w:tr>
      <w:tr w14:paraId="6CA317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0" w:hRule="atLeast"/>
          <w:jc w:val="center"/>
        </w:trPr>
        <w:tc>
          <w:tcPr>
            <w:tcW w:w="1151" w:type="dxa"/>
            <w:vMerge w:val="continue"/>
            <w:noWrap w:val="0"/>
            <w:tcMar>
              <w:top w:w="15" w:type="dxa"/>
              <w:left w:w="15" w:type="dxa"/>
              <w:right w:w="15" w:type="dxa"/>
            </w:tcMar>
            <w:vAlign w:val="center"/>
          </w:tcPr>
          <w:p w14:paraId="6D46FCE0">
            <w:pPr>
              <w:spacing w:line="300" w:lineRule="exact"/>
              <w:jc w:val="center"/>
              <w:rPr>
                <w:rFonts w:hint="eastAsia" w:ascii="仿宋_GB2312" w:hAnsi="宋体" w:cs="宋体"/>
                <w:color w:val="000000"/>
                <w:sz w:val="24"/>
              </w:rPr>
            </w:pPr>
          </w:p>
        </w:tc>
        <w:tc>
          <w:tcPr>
            <w:tcW w:w="1620" w:type="dxa"/>
            <w:gridSpan w:val="2"/>
            <w:noWrap w:val="0"/>
            <w:tcMar>
              <w:top w:w="15" w:type="dxa"/>
              <w:left w:w="15" w:type="dxa"/>
              <w:right w:w="15" w:type="dxa"/>
            </w:tcMar>
            <w:vAlign w:val="center"/>
          </w:tcPr>
          <w:p w14:paraId="55BE0D75">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重拳打击违法犯罪行动</w:t>
            </w:r>
          </w:p>
        </w:tc>
        <w:tc>
          <w:tcPr>
            <w:tcW w:w="6519" w:type="dxa"/>
            <w:gridSpan w:val="7"/>
            <w:noWrap w:val="0"/>
            <w:tcMar>
              <w:top w:w="15" w:type="dxa"/>
              <w:left w:w="15" w:type="dxa"/>
              <w:right w:w="15" w:type="dxa"/>
            </w:tcMar>
            <w:vAlign w:val="center"/>
          </w:tcPr>
          <w:p w14:paraId="29F106F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扎实开展严打突出违法犯罪、多发类犯罪、民生类违法犯罪，全力深化执法规范化建设。重点常态化推进扫黑除恶</w:t>
            </w:r>
            <w:bookmarkStart w:id="1" w:name="_GoBack"/>
            <w:bookmarkEnd w:id="1"/>
            <w:r>
              <w:rPr>
                <w:rFonts w:hint="eastAsia" w:ascii="仿宋_GB2312" w:hAnsi="宋体" w:cs="宋体"/>
                <w:color w:val="000000"/>
                <w:kern w:val="0"/>
                <w:sz w:val="24"/>
              </w:rPr>
              <w:t>斗争、打击盗抢骗多发性侵财犯罪、打击电信网络诈骗犯罪等专项行动，加强反拐防拐专项整治。严厉打击非法集资、假冒侵权和网络传销等违法犯罪。开展“平安校园”活动，始终保持对各类违法犯罪的严打高压态势，提升整体打击效能。</w:t>
            </w:r>
          </w:p>
        </w:tc>
      </w:tr>
      <w:tr w14:paraId="37EC7C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0" w:hRule="atLeast"/>
          <w:jc w:val="center"/>
        </w:trPr>
        <w:tc>
          <w:tcPr>
            <w:tcW w:w="1151" w:type="dxa"/>
            <w:vMerge w:val="continue"/>
            <w:noWrap w:val="0"/>
            <w:tcMar>
              <w:top w:w="15" w:type="dxa"/>
              <w:left w:w="15" w:type="dxa"/>
              <w:right w:w="15" w:type="dxa"/>
            </w:tcMar>
            <w:vAlign w:val="center"/>
          </w:tcPr>
          <w:p w14:paraId="14DE9277">
            <w:pPr>
              <w:spacing w:line="300" w:lineRule="exact"/>
              <w:jc w:val="center"/>
              <w:rPr>
                <w:rFonts w:hint="eastAsia" w:ascii="仿宋_GB2312" w:hAnsi="宋体" w:cs="宋体"/>
                <w:color w:val="000000"/>
                <w:sz w:val="24"/>
              </w:rPr>
            </w:pPr>
          </w:p>
        </w:tc>
        <w:tc>
          <w:tcPr>
            <w:tcW w:w="1620" w:type="dxa"/>
            <w:gridSpan w:val="2"/>
            <w:noWrap w:val="0"/>
            <w:tcMar>
              <w:top w:w="15" w:type="dxa"/>
              <w:left w:w="15" w:type="dxa"/>
              <w:right w:w="15" w:type="dxa"/>
            </w:tcMar>
            <w:vAlign w:val="center"/>
          </w:tcPr>
          <w:p w14:paraId="5305DED5">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优化公安</w:t>
            </w:r>
          </w:p>
          <w:p w14:paraId="0A4EB727">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管理服务</w:t>
            </w:r>
          </w:p>
        </w:tc>
        <w:tc>
          <w:tcPr>
            <w:tcW w:w="6519" w:type="dxa"/>
            <w:gridSpan w:val="7"/>
            <w:noWrap w:val="0"/>
            <w:tcMar>
              <w:top w:w="15" w:type="dxa"/>
              <w:left w:w="15" w:type="dxa"/>
              <w:right w:w="15" w:type="dxa"/>
            </w:tcMar>
            <w:vAlign w:val="center"/>
          </w:tcPr>
          <w:p w14:paraId="7C737A67">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推进公安机关窗口单位规范化建设，完善服务设施，提升公安行政服务效能；深化户籍制度改革，强化脱贫攻坚，严打扶贫领域违法犯罪，圆满完成公安机关帮扶任务，助推乡村振兴战略；加强环境污染防治，深化河道警长制，严打环境污染违法犯罪。</w:t>
            </w:r>
          </w:p>
        </w:tc>
      </w:tr>
      <w:tr w14:paraId="3A1205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1151" w:type="dxa"/>
            <w:vMerge w:val="continue"/>
            <w:noWrap w:val="0"/>
            <w:tcMar>
              <w:top w:w="15" w:type="dxa"/>
              <w:left w:w="15" w:type="dxa"/>
              <w:right w:w="15" w:type="dxa"/>
            </w:tcMar>
            <w:vAlign w:val="center"/>
          </w:tcPr>
          <w:p w14:paraId="39EC824A">
            <w:pPr>
              <w:spacing w:line="300" w:lineRule="exact"/>
              <w:jc w:val="center"/>
              <w:rPr>
                <w:rFonts w:hint="eastAsia" w:ascii="仿宋_GB2312" w:hAnsi="宋体" w:cs="宋体"/>
                <w:color w:val="000000"/>
                <w:sz w:val="24"/>
              </w:rPr>
            </w:pPr>
          </w:p>
        </w:tc>
        <w:tc>
          <w:tcPr>
            <w:tcW w:w="1620" w:type="dxa"/>
            <w:gridSpan w:val="2"/>
            <w:noWrap w:val="0"/>
            <w:tcMar>
              <w:top w:w="15" w:type="dxa"/>
              <w:left w:w="15" w:type="dxa"/>
              <w:right w:w="15" w:type="dxa"/>
            </w:tcMar>
            <w:vAlign w:val="center"/>
          </w:tcPr>
          <w:p w14:paraId="50168AB0">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大力提升科技信息水平</w:t>
            </w:r>
          </w:p>
        </w:tc>
        <w:tc>
          <w:tcPr>
            <w:tcW w:w="6519" w:type="dxa"/>
            <w:gridSpan w:val="7"/>
            <w:noWrap w:val="0"/>
            <w:tcMar>
              <w:top w:w="15" w:type="dxa"/>
              <w:left w:w="15" w:type="dxa"/>
              <w:right w:w="15" w:type="dxa"/>
            </w:tcMar>
            <w:vAlign w:val="center"/>
          </w:tcPr>
          <w:p w14:paraId="2B80E4D9">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加强信息化建设，加强移动警务终端配备和使用，支撑警务实战。.推进“天网”工程建设，推动整合社会信息资源，提升公安工作科技化信息化智能化水平。</w:t>
            </w:r>
          </w:p>
        </w:tc>
      </w:tr>
      <w:tr w14:paraId="5D8D42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0" w:hRule="atLeast"/>
          <w:jc w:val="center"/>
        </w:trPr>
        <w:tc>
          <w:tcPr>
            <w:tcW w:w="1151" w:type="dxa"/>
            <w:vMerge w:val="continue"/>
            <w:noWrap w:val="0"/>
            <w:tcMar>
              <w:top w:w="15" w:type="dxa"/>
              <w:left w:w="15" w:type="dxa"/>
              <w:right w:w="15" w:type="dxa"/>
            </w:tcMar>
            <w:vAlign w:val="center"/>
          </w:tcPr>
          <w:p w14:paraId="2E87A8DC">
            <w:pPr>
              <w:spacing w:line="300" w:lineRule="exact"/>
              <w:jc w:val="center"/>
              <w:rPr>
                <w:rFonts w:hint="eastAsia" w:ascii="仿宋_GB2312" w:hAnsi="宋体" w:cs="宋体"/>
                <w:color w:val="000000"/>
                <w:sz w:val="24"/>
              </w:rPr>
            </w:pPr>
          </w:p>
        </w:tc>
        <w:tc>
          <w:tcPr>
            <w:tcW w:w="1620" w:type="dxa"/>
            <w:gridSpan w:val="2"/>
            <w:noWrap w:val="0"/>
            <w:tcMar>
              <w:top w:w="15" w:type="dxa"/>
              <w:left w:w="15" w:type="dxa"/>
              <w:right w:w="15" w:type="dxa"/>
            </w:tcMar>
            <w:vAlign w:val="center"/>
          </w:tcPr>
          <w:p w14:paraId="4869B610">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大力提升</w:t>
            </w:r>
          </w:p>
          <w:p w14:paraId="34C49CB2">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履职能力</w:t>
            </w:r>
          </w:p>
        </w:tc>
        <w:tc>
          <w:tcPr>
            <w:tcW w:w="6519" w:type="dxa"/>
            <w:gridSpan w:val="7"/>
            <w:noWrap w:val="0"/>
            <w:tcMar>
              <w:top w:w="15" w:type="dxa"/>
              <w:left w:w="15" w:type="dxa"/>
              <w:right w:w="15" w:type="dxa"/>
            </w:tcMar>
            <w:vAlign w:val="center"/>
          </w:tcPr>
          <w:p w14:paraId="4931B087">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大力开展政治理论、警务实战、专业技能、纪律作风等方式轮训培训，提升民警、辅警依法履职能力。加强培训基地建设，提升硬件、软件支撑训练水平。狠抓从优待警，落实关爱民警、减轻基层负担“30条措施”，加大民警维权力度，增强民警职业认同感、归属感和荣誉感。</w:t>
            </w:r>
          </w:p>
        </w:tc>
      </w:tr>
      <w:tr w14:paraId="49F1F0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23F24CD2">
            <w:pPr>
              <w:spacing w:line="300" w:lineRule="exact"/>
              <w:jc w:val="center"/>
              <w:rPr>
                <w:rFonts w:hint="eastAsia" w:ascii="仿宋_GB2312" w:hAnsi="宋体" w:cs="宋体"/>
                <w:color w:val="000000"/>
                <w:sz w:val="24"/>
              </w:rPr>
            </w:pPr>
          </w:p>
        </w:tc>
        <w:tc>
          <w:tcPr>
            <w:tcW w:w="1620" w:type="dxa"/>
            <w:gridSpan w:val="2"/>
            <w:noWrap w:val="0"/>
            <w:tcMar>
              <w:top w:w="15" w:type="dxa"/>
              <w:left w:w="15" w:type="dxa"/>
              <w:right w:w="15" w:type="dxa"/>
            </w:tcMar>
            <w:vAlign w:val="center"/>
          </w:tcPr>
          <w:p w14:paraId="07F1D8BC">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保障部门人员工资福利</w:t>
            </w:r>
          </w:p>
        </w:tc>
        <w:tc>
          <w:tcPr>
            <w:tcW w:w="6519" w:type="dxa"/>
            <w:gridSpan w:val="7"/>
            <w:noWrap w:val="0"/>
            <w:tcMar>
              <w:top w:w="15" w:type="dxa"/>
              <w:left w:w="15" w:type="dxa"/>
              <w:right w:w="15" w:type="dxa"/>
            </w:tcMar>
            <w:vAlign w:val="center"/>
          </w:tcPr>
          <w:p w14:paraId="407FD563">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全局干警职工工资福利、社会保障缴费等支出</w:t>
            </w:r>
          </w:p>
        </w:tc>
      </w:tr>
      <w:tr w14:paraId="25977B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0B3A10E1">
            <w:pPr>
              <w:spacing w:line="300" w:lineRule="exact"/>
              <w:jc w:val="center"/>
              <w:rPr>
                <w:rFonts w:hint="eastAsia" w:ascii="仿宋_GB2312" w:hAnsi="宋体" w:cs="宋体"/>
                <w:color w:val="000000"/>
                <w:sz w:val="24"/>
              </w:rPr>
            </w:pPr>
          </w:p>
        </w:tc>
        <w:tc>
          <w:tcPr>
            <w:tcW w:w="1620" w:type="dxa"/>
            <w:gridSpan w:val="2"/>
            <w:noWrap w:val="0"/>
            <w:tcMar>
              <w:top w:w="15" w:type="dxa"/>
              <w:left w:w="15" w:type="dxa"/>
              <w:right w:w="15" w:type="dxa"/>
            </w:tcMar>
            <w:vAlign w:val="center"/>
          </w:tcPr>
          <w:p w14:paraId="40B976B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部门行政运行</w:t>
            </w:r>
          </w:p>
        </w:tc>
        <w:tc>
          <w:tcPr>
            <w:tcW w:w="6519" w:type="dxa"/>
            <w:gridSpan w:val="7"/>
            <w:noWrap w:val="0"/>
            <w:tcMar>
              <w:top w:w="15" w:type="dxa"/>
              <w:left w:w="15" w:type="dxa"/>
              <w:right w:w="15" w:type="dxa"/>
            </w:tcMar>
            <w:vAlign w:val="center"/>
          </w:tcPr>
          <w:p w14:paraId="47589A90">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保障部门正常运转</w:t>
            </w:r>
          </w:p>
        </w:tc>
      </w:tr>
      <w:tr w14:paraId="6DB061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restart"/>
            <w:noWrap w:val="0"/>
            <w:tcMar>
              <w:top w:w="15" w:type="dxa"/>
              <w:left w:w="15" w:type="dxa"/>
              <w:right w:w="15" w:type="dxa"/>
            </w:tcMar>
            <w:vAlign w:val="center"/>
          </w:tcPr>
          <w:p w14:paraId="0E37BF0A">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年度</w:t>
            </w:r>
          </w:p>
          <w:p w14:paraId="468D70C3">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绩效</w:t>
            </w:r>
          </w:p>
          <w:p w14:paraId="5569DF6E">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692" w:type="dxa"/>
            <w:noWrap w:val="0"/>
            <w:tcMar>
              <w:top w:w="15" w:type="dxa"/>
              <w:left w:w="15" w:type="dxa"/>
              <w:right w:w="15" w:type="dxa"/>
            </w:tcMar>
            <w:vAlign w:val="center"/>
          </w:tcPr>
          <w:p w14:paraId="756F2FDF">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一级</w:t>
            </w:r>
          </w:p>
          <w:p w14:paraId="2D509EEA">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928" w:type="dxa"/>
            <w:noWrap w:val="0"/>
            <w:tcMar>
              <w:top w:w="15" w:type="dxa"/>
              <w:left w:w="15" w:type="dxa"/>
              <w:right w:w="15" w:type="dxa"/>
            </w:tcMar>
            <w:vAlign w:val="center"/>
          </w:tcPr>
          <w:p w14:paraId="746C1368">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二级</w:t>
            </w:r>
          </w:p>
          <w:p w14:paraId="13510EDD">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3392" w:type="dxa"/>
            <w:gridSpan w:val="2"/>
            <w:noWrap w:val="0"/>
            <w:tcMar>
              <w:top w:w="15" w:type="dxa"/>
              <w:left w:w="15" w:type="dxa"/>
              <w:right w:w="15" w:type="dxa"/>
            </w:tcMar>
            <w:vAlign w:val="center"/>
          </w:tcPr>
          <w:p w14:paraId="75D997F8">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三级指标</w:t>
            </w:r>
          </w:p>
        </w:tc>
        <w:tc>
          <w:tcPr>
            <w:tcW w:w="900" w:type="dxa"/>
            <w:gridSpan w:val="2"/>
            <w:noWrap w:val="0"/>
            <w:tcMar>
              <w:top w:w="15" w:type="dxa"/>
              <w:left w:w="15" w:type="dxa"/>
              <w:right w:w="15" w:type="dxa"/>
            </w:tcMar>
            <w:vAlign w:val="center"/>
          </w:tcPr>
          <w:p w14:paraId="0897D70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绩效指标性质</w:t>
            </w:r>
          </w:p>
        </w:tc>
        <w:tc>
          <w:tcPr>
            <w:tcW w:w="900" w:type="dxa"/>
            <w:noWrap w:val="0"/>
            <w:tcMar>
              <w:top w:w="15" w:type="dxa"/>
              <w:left w:w="15" w:type="dxa"/>
              <w:right w:w="15" w:type="dxa"/>
            </w:tcMar>
            <w:vAlign w:val="center"/>
          </w:tcPr>
          <w:p w14:paraId="30C48FF1">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绩效</w:t>
            </w:r>
          </w:p>
          <w:p w14:paraId="556081C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指标值</w:t>
            </w:r>
          </w:p>
        </w:tc>
        <w:tc>
          <w:tcPr>
            <w:tcW w:w="866" w:type="dxa"/>
            <w:noWrap w:val="0"/>
            <w:tcMar>
              <w:top w:w="15" w:type="dxa"/>
              <w:left w:w="15" w:type="dxa"/>
              <w:right w:w="15" w:type="dxa"/>
            </w:tcMar>
            <w:vAlign w:val="center"/>
          </w:tcPr>
          <w:p w14:paraId="2F490754">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绩效度量单位</w:t>
            </w:r>
          </w:p>
        </w:tc>
        <w:tc>
          <w:tcPr>
            <w:tcW w:w="461" w:type="dxa"/>
            <w:noWrap w:val="0"/>
            <w:tcMar>
              <w:top w:w="15" w:type="dxa"/>
              <w:left w:w="15" w:type="dxa"/>
              <w:right w:w="15" w:type="dxa"/>
            </w:tcMar>
            <w:vAlign w:val="center"/>
          </w:tcPr>
          <w:p w14:paraId="15364301">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权重</w:t>
            </w:r>
          </w:p>
        </w:tc>
      </w:tr>
      <w:tr w14:paraId="59C604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1F75F8D1">
            <w:pPr>
              <w:spacing w:line="300" w:lineRule="exact"/>
              <w:jc w:val="center"/>
              <w:rPr>
                <w:rFonts w:hint="eastAsia" w:ascii="仿宋_GB2312" w:hAnsi="宋体" w:cs="宋体"/>
                <w:color w:val="000000"/>
                <w:sz w:val="24"/>
              </w:rPr>
            </w:pPr>
          </w:p>
        </w:tc>
        <w:tc>
          <w:tcPr>
            <w:tcW w:w="692" w:type="dxa"/>
            <w:vMerge w:val="restart"/>
            <w:noWrap w:val="0"/>
            <w:tcMar>
              <w:top w:w="15" w:type="dxa"/>
              <w:left w:w="15" w:type="dxa"/>
              <w:right w:w="15" w:type="dxa"/>
            </w:tcMar>
            <w:vAlign w:val="center"/>
          </w:tcPr>
          <w:p w14:paraId="066150AF">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产出</w:t>
            </w:r>
          </w:p>
          <w:p w14:paraId="18C22F90">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928" w:type="dxa"/>
            <w:vMerge w:val="restart"/>
            <w:noWrap w:val="0"/>
            <w:tcMar>
              <w:top w:w="15" w:type="dxa"/>
              <w:left w:w="15" w:type="dxa"/>
              <w:right w:w="15" w:type="dxa"/>
            </w:tcMar>
            <w:vAlign w:val="center"/>
          </w:tcPr>
          <w:p w14:paraId="2F9FBD93">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数量</w:t>
            </w:r>
          </w:p>
          <w:p w14:paraId="534182D0">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3392" w:type="dxa"/>
            <w:gridSpan w:val="2"/>
            <w:noWrap w:val="0"/>
            <w:tcMar>
              <w:top w:w="15" w:type="dxa"/>
              <w:left w:w="15" w:type="dxa"/>
              <w:right w:w="15" w:type="dxa"/>
            </w:tcMar>
            <w:vAlign w:val="center"/>
          </w:tcPr>
          <w:p w14:paraId="76F18691">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公安机关业务装备配备数量（件）</w:t>
            </w:r>
          </w:p>
        </w:tc>
        <w:tc>
          <w:tcPr>
            <w:tcW w:w="900" w:type="dxa"/>
            <w:gridSpan w:val="2"/>
            <w:noWrap w:val="0"/>
            <w:tcMar>
              <w:top w:w="15" w:type="dxa"/>
              <w:left w:w="15" w:type="dxa"/>
              <w:right w:w="15" w:type="dxa"/>
            </w:tcMar>
            <w:vAlign w:val="center"/>
          </w:tcPr>
          <w:p w14:paraId="4A1B9B69">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900" w:type="dxa"/>
            <w:noWrap w:val="0"/>
            <w:tcMar>
              <w:top w:w="15" w:type="dxa"/>
              <w:left w:w="15" w:type="dxa"/>
              <w:right w:w="15" w:type="dxa"/>
            </w:tcMar>
            <w:vAlign w:val="center"/>
          </w:tcPr>
          <w:p w14:paraId="099CD53C">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4000</w:t>
            </w:r>
          </w:p>
        </w:tc>
        <w:tc>
          <w:tcPr>
            <w:tcW w:w="866" w:type="dxa"/>
            <w:noWrap w:val="0"/>
            <w:tcMar>
              <w:top w:w="15" w:type="dxa"/>
              <w:left w:w="15" w:type="dxa"/>
              <w:right w:w="15" w:type="dxa"/>
            </w:tcMar>
            <w:vAlign w:val="center"/>
          </w:tcPr>
          <w:p w14:paraId="3A626D8B">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人</w:t>
            </w:r>
          </w:p>
        </w:tc>
        <w:tc>
          <w:tcPr>
            <w:tcW w:w="461" w:type="dxa"/>
            <w:noWrap w:val="0"/>
            <w:tcMar>
              <w:top w:w="15" w:type="dxa"/>
              <w:left w:w="15" w:type="dxa"/>
              <w:right w:w="15" w:type="dxa"/>
            </w:tcMar>
            <w:vAlign w:val="center"/>
          </w:tcPr>
          <w:p w14:paraId="6EBAEAF1">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10</w:t>
            </w:r>
          </w:p>
        </w:tc>
      </w:tr>
      <w:tr w14:paraId="5ABFF7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212818CB">
            <w:pPr>
              <w:spacing w:line="300" w:lineRule="exact"/>
              <w:jc w:val="center"/>
              <w:rPr>
                <w:rFonts w:hint="eastAsia" w:ascii="仿宋_GB2312" w:hAnsi="宋体" w:cs="宋体"/>
                <w:color w:val="000000"/>
                <w:sz w:val="24"/>
              </w:rPr>
            </w:pPr>
          </w:p>
        </w:tc>
        <w:tc>
          <w:tcPr>
            <w:tcW w:w="692" w:type="dxa"/>
            <w:vMerge w:val="continue"/>
            <w:noWrap w:val="0"/>
            <w:tcMar>
              <w:top w:w="15" w:type="dxa"/>
              <w:left w:w="15" w:type="dxa"/>
              <w:right w:w="15" w:type="dxa"/>
            </w:tcMar>
            <w:vAlign w:val="center"/>
          </w:tcPr>
          <w:p w14:paraId="597BC88A">
            <w:pPr>
              <w:spacing w:line="300" w:lineRule="exact"/>
              <w:jc w:val="center"/>
              <w:rPr>
                <w:rFonts w:hint="eastAsia" w:ascii="仿宋_GB2312" w:hAnsi="宋体" w:cs="宋体"/>
                <w:color w:val="000000"/>
                <w:sz w:val="24"/>
              </w:rPr>
            </w:pPr>
          </w:p>
        </w:tc>
        <w:tc>
          <w:tcPr>
            <w:tcW w:w="928" w:type="dxa"/>
            <w:vMerge w:val="continue"/>
            <w:noWrap w:val="0"/>
            <w:tcMar>
              <w:top w:w="15" w:type="dxa"/>
              <w:left w:w="15" w:type="dxa"/>
              <w:right w:w="15" w:type="dxa"/>
            </w:tcMar>
            <w:vAlign w:val="center"/>
          </w:tcPr>
          <w:p w14:paraId="23379491">
            <w:pPr>
              <w:spacing w:line="300" w:lineRule="exact"/>
              <w:jc w:val="center"/>
              <w:rPr>
                <w:rFonts w:hint="eastAsia" w:ascii="仿宋_GB2312" w:hAnsi="宋体" w:cs="宋体"/>
                <w:color w:val="000000"/>
                <w:sz w:val="24"/>
              </w:rPr>
            </w:pPr>
          </w:p>
        </w:tc>
        <w:tc>
          <w:tcPr>
            <w:tcW w:w="3392" w:type="dxa"/>
            <w:gridSpan w:val="2"/>
            <w:noWrap w:val="0"/>
            <w:tcMar>
              <w:top w:w="15" w:type="dxa"/>
              <w:left w:w="15" w:type="dxa"/>
              <w:right w:w="15" w:type="dxa"/>
            </w:tcMar>
            <w:vAlign w:val="center"/>
          </w:tcPr>
          <w:p w14:paraId="76342A31">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实战训练参训人次</w:t>
            </w:r>
          </w:p>
        </w:tc>
        <w:tc>
          <w:tcPr>
            <w:tcW w:w="900" w:type="dxa"/>
            <w:gridSpan w:val="2"/>
            <w:noWrap w:val="0"/>
            <w:tcMar>
              <w:top w:w="15" w:type="dxa"/>
              <w:left w:w="15" w:type="dxa"/>
              <w:right w:w="15" w:type="dxa"/>
            </w:tcMar>
            <w:vAlign w:val="center"/>
          </w:tcPr>
          <w:p w14:paraId="2ADCD731">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900" w:type="dxa"/>
            <w:noWrap w:val="0"/>
            <w:tcMar>
              <w:top w:w="15" w:type="dxa"/>
              <w:left w:w="15" w:type="dxa"/>
              <w:right w:w="15" w:type="dxa"/>
            </w:tcMar>
            <w:vAlign w:val="center"/>
          </w:tcPr>
          <w:p w14:paraId="7E166FE6">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8000</w:t>
            </w:r>
          </w:p>
        </w:tc>
        <w:tc>
          <w:tcPr>
            <w:tcW w:w="866" w:type="dxa"/>
            <w:noWrap w:val="0"/>
            <w:tcMar>
              <w:top w:w="15" w:type="dxa"/>
              <w:left w:w="15" w:type="dxa"/>
              <w:right w:w="15" w:type="dxa"/>
            </w:tcMar>
            <w:vAlign w:val="center"/>
          </w:tcPr>
          <w:p w14:paraId="1857C09D">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人</w:t>
            </w:r>
          </w:p>
        </w:tc>
        <w:tc>
          <w:tcPr>
            <w:tcW w:w="461" w:type="dxa"/>
            <w:noWrap w:val="0"/>
            <w:tcMar>
              <w:top w:w="15" w:type="dxa"/>
              <w:left w:w="15" w:type="dxa"/>
              <w:right w:w="15" w:type="dxa"/>
            </w:tcMar>
            <w:vAlign w:val="center"/>
          </w:tcPr>
          <w:p w14:paraId="4FA08067">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10</w:t>
            </w:r>
          </w:p>
        </w:tc>
      </w:tr>
      <w:tr w14:paraId="524EC8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356C7AC5">
            <w:pPr>
              <w:spacing w:line="300" w:lineRule="exact"/>
              <w:jc w:val="center"/>
              <w:rPr>
                <w:rFonts w:hint="eastAsia" w:ascii="仿宋_GB2312" w:hAnsi="宋体" w:cs="宋体"/>
                <w:color w:val="000000"/>
                <w:sz w:val="24"/>
              </w:rPr>
            </w:pPr>
          </w:p>
        </w:tc>
        <w:tc>
          <w:tcPr>
            <w:tcW w:w="692" w:type="dxa"/>
            <w:vMerge w:val="continue"/>
            <w:noWrap w:val="0"/>
            <w:tcMar>
              <w:top w:w="15" w:type="dxa"/>
              <w:left w:w="15" w:type="dxa"/>
              <w:right w:w="15" w:type="dxa"/>
            </w:tcMar>
            <w:vAlign w:val="center"/>
          </w:tcPr>
          <w:p w14:paraId="5317AC78">
            <w:pPr>
              <w:spacing w:line="300" w:lineRule="exact"/>
              <w:jc w:val="center"/>
              <w:rPr>
                <w:rFonts w:hint="eastAsia" w:ascii="仿宋_GB2312" w:hAnsi="宋体" w:cs="宋体"/>
                <w:color w:val="000000"/>
                <w:sz w:val="24"/>
              </w:rPr>
            </w:pPr>
          </w:p>
        </w:tc>
        <w:tc>
          <w:tcPr>
            <w:tcW w:w="928" w:type="dxa"/>
            <w:vMerge w:val="continue"/>
            <w:noWrap w:val="0"/>
            <w:tcMar>
              <w:top w:w="15" w:type="dxa"/>
              <w:left w:w="15" w:type="dxa"/>
              <w:right w:w="15" w:type="dxa"/>
            </w:tcMar>
            <w:vAlign w:val="center"/>
          </w:tcPr>
          <w:p w14:paraId="30833687">
            <w:pPr>
              <w:spacing w:line="300" w:lineRule="exact"/>
              <w:jc w:val="center"/>
              <w:rPr>
                <w:rFonts w:hint="eastAsia" w:ascii="仿宋_GB2312" w:hAnsi="宋体" w:cs="宋体"/>
                <w:color w:val="000000"/>
                <w:sz w:val="24"/>
              </w:rPr>
            </w:pPr>
          </w:p>
        </w:tc>
        <w:tc>
          <w:tcPr>
            <w:tcW w:w="3392" w:type="dxa"/>
            <w:gridSpan w:val="2"/>
            <w:noWrap w:val="0"/>
            <w:tcMar>
              <w:top w:w="15" w:type="dxa"/>
              <w:left w:w="15" w:type="dxa"/>
              <w:right w:w="15" w:type="dxa"/>
            </w:tcMar>
            <w:vAlign w:val="center"/>
          </w:tcPr>
          <w:p w14:paraId="4CE92C57">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受案、立案数量</w:t>
            </w:r>
          </w:p>
        </w:tc>
        <w:tc>
          <w:tcPr>
            <w:tcW w:w="900" w:type="dxa"/>
            <w:gridSpan w:val="2"/>
            <w:noWrap w:val="0"/>
            <w:tcMar>
              <w:top w:w="15" w:type="dxa"/>
              <w:left w:w="15" w:type="dxa"/>
              <w:right w:w="15" w:type="dxa"/>
            </w:tcMar>
            <w:vAlign w:val="center"/>
          </w:tcPr>
          <w:p w14:paraId="252A531C">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900" w:type="dxa"/>
            <w:noWrap w:val="0"/>
            <w:tcMar>
              <w:top w:w="15" w:type="dxa"/>
              <w:left w:w="15" w:type="dxa"/>
              <w:right w:w="15" w:type="dxa"/>
            </w:tcMar>
            <w:vAlign w:val="center"/>
          </w:tcPr>
          <w:p w14:paraId="18FA7CD4">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20000</w:t>
            </w:r>
          </w:p>
        </w:tc>
        <w:tc>
          <w:tcPr>
            <w:tcW w:w="866" w:type="dxa"/>
            <w:noWrap w:val="0"/>
            <w:tcMar>
              <w:top w:w="15" w:type="dxa"/>
              <w:left w:w="15" w:type="dxa"/>
              <w:right w:w="15" w:type="dxa"/>
            </w:tcMar>
            <w:vAlign w:val="center"/>
          </w:tcPr>
          <w:p w14:paraId="296CE3FA">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人</w:t>
            </w:r>
          </w:p>
        </w:tc>
        <w:tc>
          <w:tcPr>
            <w:tcW w:w="461" w:type="dxa"/>
            <w:noWrap w:val="0"/>
            <w:tcMar>
              <w:top w:w="15" w:type="dxa"/>
              <w:left w:w="15" w:type="dxa"/>
              <w:right w:w="15" w:type="dxa"/>
            </w:tcMar>
            <w:vAlign w:val="center"/>
          </w:tcPr>
          <w:p w14:paraId="3531E5DC">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10</w:t>
            </w:r>
          </w:p>
        </w:tc>
      </w:tr>
      <w:tr w14:paraId="745FC5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78DCC7E2">
            <w:pPr>
              <w:spacing w:line="300" w:lineRule="exact"/>
              <w:jc w:val="center"/>
              <w:rPr>
                <w:rFonts w:hint="eastAsia" w:ascii="仿宋_GB2312" w:hAnsi="宋体" w:cs="宋体"/>
                <w:color w:val="000000"/>
                <w:sz w:val="24"/>
              </w:rPr>
            </w:pPr>
          </w:p>
        </w:tc>
        <w:tc>
          <w:tcPr>
            <w:tcW w:w="692" w:type="dxa"/>
            <w:vMerge w:val="continue"/>
            <w:noWrap w:val="0"/>
            <w:tcMar>
              <w:top w:w="15" w:type="dxa"/>
              <w:left w:w="15" w:type="dxa"/>
              <w:right w:w="15" w:type="dxa"/>
            </w:tcMar>
            <w:vAlign w:val="center"/>
          </w:tcPr>
          <w:p w14:paraId="001B87BD">
            <w:pPr>
              <w:spacing w:line="300" w:lineRule="exact"/>
              <w:jc w:val="center"/>
              <w:rPr>
                <w:rFonts w:hint="eastAsia" w:ascii="仿宋_GB2312" w:hAnsi="宋体" w:cs="宋体"/>
                <w:color w:val="000000"/>
                <w:sz w:val="24"/>
              </w:rPr>
            </w:pPr>
          </w:p>
        </w:tc>
        <w:tc>
          <w:tcPr>
            <w:tcW w:w="928" w:type="dxa"/>
            <w:vMerge w:val="continue"/>
            <w:noWrap w:val="0"/>
            <w:tcMar>
              <w:top w:w="15" w:type="dxa"/>
              <w:left w:w="15" w:type="dxa"/>
              <w:right w:w="15" w:type="dxa"/>
            </w:tcMar>
            <w:vAlign w:val="center"/>
          </w:tcPr>
          <w:p w14:paraId="19257237">
            <w:pPr>
              <w:spacing w:line="300" w:lineRule="exact"/>
              <w:jc w:val="center"/>
              <w:rPr>
                <w:rFonts w:hint="eastAsia" w:ascii="仿宋_GB2312" w:hAnsi="宋体" w:cs="宋体"/>
                <w:color w:val="000000"/>
                <w:sz w:val="24"/>
              </w:rPr>
            </w:pPr>
          </w:p>
        </w:tc>
        <w:tc>
          <w:tcPr>
            <w:tcW w:w="3392" w:type="dxa"/>
            <w:gridSpan w:val="2"/>
            <w:noWrap w:val="0"/>
            <w:tcMar>
              <w:top w:w="15" w:type="dxa"/>
              <w:left w:w="15" w:type="dxa"/>
              <w:right w:w="15" w:type="dxa"/>
            </w:tcMar>
            <w:vAlign w:val="center"/>
          </w:tcPr>
          <w:p w14:paraId="540E3A76">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治安、刑事拘留人数</w:t>
            </w:r>
          </w:p>
        </w:tc>
        <w:tc>
          <w:tcPr>
            <w:tcW w:w="900" w:type="dxa"/>
            <w:gridSpan w:val="2"/>
            <w:noWrap w:val="0"/>
            <w:tcMar>
              <w:top w:w="15" w:type="dxa"/>
              <w:left w:w="15" w:type="dxa"/>
              <w:right w:w="15" w:type="dxa"/>
            </w:tcMar>
            <w:vAlign w:val="center"/>
          </w:tcPr>
          <w:p w14:paraId="7AFF0DB9">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900" w:type="dxa"/>
            <w:noWrap w:val="0"/>
            <w:tcMar>
              <w:top w:w="15" w:type="dxa"/>
              <w:left w:w="15" w:type="dxa"/>
              <w:right w:w="15" w:type="dxa"/>
            </w:tcMar>
            <w:vAlign w:val="center"/>
          </w:tcPr>
          <w:p w14:paraId="5D2776A7">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4000</w:t>
            </w:r>
          </w:p>
        </w:tc>
        <w:tc>
          <w:tcPr>
            <w:tcW w:w="866" w:type="dxa"/>
            <w:noWrap w:val="0"/>
            <w:tcMar>
              <w:top w:w="15" w:type="dxa"/>
              <w:left w:w="15" w:type="dxa"/>
              <w:right w:w="15" w:type="dxa"/>
            </w:tcMar>
            <w:vAlign w:val="center"/>
          </w:tcPr>
          <w:p w14:paraId="3A6A1CD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人</w:t>
            </w:r>
          </w:p>
        </w:tc>
        <w:tc>
          <w:tcPr>
            <w:tcW w:w="461" w:type="dxa"/>
            <w:noWrap w:val="0"/>
            <w:tcMar>
              <w:top w:w="15" w:type="dxa"/>
              <w:left w:w="15" w:type="dxa"/>
              <w:right w:w="15" w:type="dxa"/>
            </w:tcMar>
            <w:vAlign w:val="center"/>
          </w:tcPr>
          <w:p w14:paraId="06DAC1BE">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10</w:t>
            </w:r>
          </w:p>
        </w:tc>
      </w:tr>
      <w:tr w14:paraId="37AFB9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45E54A54">
            <w:pPr>
              <w:spacing w:line="300" w:lineRule="exact"/>
              <w:jc w:val="center"/>
              <w:rPr>
                <w:rFonts w:hint="eastAsia" w:ascii="仿宋_GB2312" w:hAnsi="宋体" w:cs="宋体"/>
                <w:color w:val="000000"/>
                <w:sz w:val="24"/>
              </w:rPr>
            </w:pPr>
          </w:p>
        </w:tc>
        <w:tc>
          <w:tcPr>
            <w:tcW w:w="692" w:type="dxa"/>
            <w:vMerge w:val="continue"/>
            <w:noWrap w:val="0"/>
            <w:tcMar>
              <w:top w:w="15" w:type="dxa"/>
              <w:left w:w="15" w:type="dxa"/>
              <w:right w:w="15" w:type="dxa"/>
            </w:tcMar>
            <w:vAlign w:val="center"/>
          </w:tcPr>
          <w:p w14:paraId="253B924A">
            <w:pPr>
              <w:spacing w:line="300" w:lineRule="exact"/>
              <w:jc w:val="center"/>
              <w:rPr>
                <w:rFonts w:hint="eastAsia" w:ascii="仿宋_GB2312" w:hAnsi="宋体" w:cs="宋体"/>
                <w:color w:val="000000"/>
                <w:sz w:val="24"/>
              </w:rPr>
            </w:pPr>
          </w:p>
        </w:tc>
        <w:tc>
          <w:tcPr>
            <w:tcW w:w="928" w:type="dxa"/>
            <w:vMerge w:val="restart"/>
            <w:noWrap w:val="0"/>
            <w:tcMar>
              <w:top w:w="15" w:type="dxa"/>
              <w:left w:w="15" w:type="dxa"/>
              <w:right w:w="15" w:type="dxa"/>
            </w:tcMar>
            <w:vAlign w:val="center"/>
          </w:tcPr>
          <w:p w14:paraId="0A04D4C6">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质量</w:t>
            </w:r>
          </w:p>
          <w:p w14:paraId="345947CC">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3392" w:type="dxa"/>
            <w:gridSpan w:val="2"/>
            <w:noWrap w:val="0"/>
            <w:tcMar>
              <w:top w:w="15" w:type="dxa"/>
              <w:left w:w="15" w:type="dxa"/>
              <w:right w:w="15" w:type="dxa"/>
            </w:tcMar>
            <w:vAlign w:val="center"/>
          </w:tcPr>
          <w:p w14:paraId="0F76EF1F">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公安机关案件破案率</w:t>
            </w:r>
          </w:p>
        </w:tc>
        <w:tc>
          <w:tcPr>
            <w:tcW w:w="900" w:type="dxa"/>
            <w:gridSpan w:val="2"/>
            <w:noWrap w:val="0"/>
            <w:tcMar>
              <w:top w:w="15" w:type="dxa"/>
              <w:left w:w="15" w:type="dxa"/>
              <w:right w:w="15" w:type="dxa"/>
            </w:tcMar>
            <w:vAlign w:val="center"/>
          </w:tcPr>
          <w:p w14:paraId="0996E3FC">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900" w:type="dxa"/>
            <w:noWrap w:val="0"/>
            <w:tcMar>
              <w:top w:w="15" w:type="dxa"/>
              <w:left w:w="15" w:type="dxa"/>
              <w:right w:w="15" w:type="dxa"/>
            </w:tcMar>
            <w:vAlign w:val="center"/>
          </w:tcPr>
          <w:p w14:paraId="7ED28817">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90</w:t>
            </w:r>
          </w:p>
        </w:tc>
        <w:tc>
          <w:tcPr>
            <w:tcW w:w="866" w:type="dxa"/>
            <w:noWrap w:val="0"/>
            <w:tcMar>
              <w:top w:w="15" w:type="dxa"/>
              <w:left w:w="15" w:type="dxa"/>
              <w:right w:w="15" w:type="dxa"/>
            </w:tcMar>
            <w:vAlign w:val="center"/>
          </w:tcPr>
          <w:p w14:paraId="5E6A934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461" w:type="dxa"/>
            <w:noWrap w:val="0"/>
            <w:tcMar>
              <w:top w:w="15" w:type="dxa"/>
              <w:left w:w="15" w:type="dxa"/>
              <w:right w:w="15" w:type="dxa"/>
            </w:tcMar>
            <w:vAlign w:val="center"/>
          </w:tcPr>
          <w:p w14:paraId="40E9AFBF">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5</w:t>
            </w:r>
          </w:p>
        </w:tc>
      </w:tr>
      <w:tr w14:paraId="59C0C1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60EE6733">
            <w:pPr>
              <w:spacing w:line="300" w:lineRule="exact"/>
              <w:jc w:val="center"/>
              <w:rPr>
                <w:rFonts w:hint="eastAsia" w:ascii="仿宋_GB2312" w:hAnsi="宋体" w:cs="宋体"/>
                <w:color w:val="000000"/>
                <w:sz w:val="24"/>
              </w:rPr>
            </w:pPr>
          </w:p>
        </w:tc>
        <w:tc>
          <w:tcPr>
            <w:tcW w:w="692" w:type="dxa"/>
            <w:vMerge w:val="continue"/>
            <w:noWrap w:val="0"/>
            <w:tcMar>
              <w:top w:w="15" w:type="dxa"/>
              <w:left w:w="15" w:type="dxa"/>
              <w:right w:w="15" w:type="dxa"/>
            </w:tcMar>
            <w:vAlign w:val="center"/>
          </w:tcPr>
          <w:p w14:paraId="39126EFD">
            <w:pPr>
              <w:spacing w:line="300" w:lineRule="exact"/>
              <w:jc w:val="center"/>
              <w:rPr>
                <w:rFonts w:hint="eastAsia" w:ascii="仿宋_GB2312" w:hAnsi="宋体" w:cs="宋体"/>
                <w:color w:val="000000"/>
                <w:sz w:val="24"/>
              </w:rPr>
            </w:pPr>
          </w:p>
        </w:tc>
        <w:tc>
          <w:tcPr>
            <w:tcW w:w="928" w:type="dxa"/>
            <w:vMerge w:val="continue"/>
            <w:noWrap w:val="0"/>
            <w:tcMar>
              <w:top w:w="15" w:type="dxa"/>
              <w:left w:w="15" w:type="dxa"/>
              <w:right w:w="15" w:type="dxa"/>
            </w:tcMar>
            <w:vAlign w:val="center"/>
          </w:tcPr>
          <w:p w14:paraId="7E305CBD">
            <w:pPr>
              <w:spacing w:line="300" w:lineRule="exact"/>
              <w:jc w:val="center"/>
              <w:rPr>
                <w:rFonts w:hint="eastAsia" w:ascii="仿宋_GB2312" w:hAnsi="宋体" w:cs="宋体"/>
                <w:color w:val="000000"/>
                <w:sz w:val="24"/>
              </w:rPr>
            </w:pPr>
          </w:p>
        </w:tc>
        <w:tc>
          <w:tcPr>
            <w:tcW w:w="3392" w:type="dxa"/>
            <w:gridSpan w:val="2"/>
            <w:noWrap w:val="0"/>
            <w:tcMar>
              <w:top w:w="15" w:type="dxa"/>
              <w:left w:w="15" w:type="dxa"/>
              <w:right w:w="15" w:type="dxa"/>
            </w:tcMar>
            <w:vAlign w:val="center"/>
          </w:tcPr>
          <w:p w14:paraId="49CFC102">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购置装备验收合格率</w:t>
            </w:r>
          </w:p>
        </w:tc>
        <w:tc>
          <w:tcPr>
            <w:tcW w:w="900" w:type="dxa"/>
            <w:gridSpan w:val="2"/>
            <w:noWrap w:val="0"/>
            <w:tcMar>
              <w:top w:w="15" w:type="dxa"/>
              <w:left w:w="15" w:type="dxa"/>
              <w:right w:w="15" w:type="dxa"/>
            </w:tcMar>
            <w:vAlign w:val="center"/>
          </w:tcPr>
          <w:p w14:paraId="29F1EE2C">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900" w:type="dxa"/>
            <w:noWrap w:val="0"/>
            <w:tcMar>
              <w:top w:w="15" w:type="dxa"/>
              <w:left w:w="15" w:type="dxa"/>
              <w:right w:w="15" w:type="dxa"/>
            </w:tcMar>
            <w:vAlign w:val="center"/>
          </w:tcPr>
          <w:p w14:paraId="0A6346CC">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95</w:t>
            </w:r>
          </w:p>
        </w:tc>
        <w:tc>
          <w:tcPr>
            <w:tcW w:w="866" w:type="dxa"/>
            <w:noWrap w:val="0"/>
            <w:tcMar>
              <w:top w:w="15" w:type="dxa"/>
              <w:left w:w="15" w:type="dxa"/>
              <w:right w:w="15" w:type="dxa"/>
            </w:tcMar>
            <w:vAlign w:val="center"/>
          </w:tcPr>
          <w:p w14:paraId="4362613E">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461" w:type="dxa"/>
            <w:noWrap w:val="0"/>
            <w:tcMar>
              <w:top w:w="15" w:type="dxa"/>
              <w:left w:w="15" w:type="dxa"/>
              <w:right w:w="15" w:type="dxa"/>
            </w:tcMar>
            <w:vAlign w:val="center"/>
          </w:tcPr>
          <w:p w14:paraId="2F31FAC6">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5</w:t>
            </w:r>
          </w:p>
        </w:tc>
      </w:tr>
      <w:tr w14:paraId="4F2840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748D5EC6">
            <w:pPr>
              <w:spacing w:line="300" w:lineRule="exact"/>
              <w:jc w:val="center"/>
              <w:rPr>
                <w:rFonts w:hint="eastAsia" w:ascii="仿宋_GB2312" w:hAnsi="宋体" w:cs="宋体"/>
                <w:color w:val="000000"/>
                <w:sz w:val="24"/>
              </w:rPr>
            </w:pPr>
          </w:p>
        </w:tc>
        <w:tc>
          <w:tcPr>
            <w:tcW w:w="692" w:type="dxa"/>
            <w:vMerge w:val="continue"/>
            <w:noWrap w:val="0"/>
            <w:tcMar>
              <w:top w:w="15" w:type="dxa"/>
              <w:left w:w="15" w:type="dxa"/>
              <w:right w:w="15" w:type="dxa"/>
            </w:tcMar>
            <w:vAlign w:val="center"/>
          </w:tcPr>
          <w:p w14:paraId="08E24C9A">
            <w:pPr>
              <w:spacing w:line="300" w:lineRule="exact"/>
              <w:jc w:val="center"/>
              <w:rPr>
                <w:rFonts w:hint="eastAsia" w:ascii="仿宋_GB2312" w:hAnsi="宋体" w:cs="宋体"/>
                <w:color w:val="000000"/>
                <w:sz w:val="24"/>
              </w:rPr>
            </w:pPr>
          </w:p>
        </w:tc>
        <w:tc>
          <w:tcPr>
            <w:tcW w:w="928" w:type="dxa"/>
            <w:noWrap w:val="0"/>
            <w:tcMar>
              <w:top w:w="15" w:type="dxa"/>
              <w:left w:w="15" w:type="dxa"/>
              <w:right w:w="15" w:type="dxa"/>
            </w:tcMar>
            <w:vAlign w:val="center"/>
          </w:tcPr>
          <w:p w14:paraId="5CAE9BF2">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时效</w:t>
            </w:r>
          </w:p>
          <w:p w14:paraId="56319250">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3392" w:type="dxa"/>
            <w:gridSpan w:val="2"/>
            <w:noWrap w:val="0"/>
            <w:tcMar>
              <w:top w:w="15" w:type="dxa"/>
              <w:left w:w="15" w:type="dxa"/>
              <w:right w:w="15" w:type="dxa"/>
            </w:tcMar>
            <w:vAlign w:val="center"/>
          </w:tcPr>
          <w:p w14:paraId="007B0D5B">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受理案件及时率</w:t>
            </w:r>
          </w:p>
        </w:tc>
        <w:tc>
          <w:tcPr>
            <w:tcW w:w="900" w:type="dxa"/>
            <w:gridSpan w:val="2"/>
            <w:noWrap w:val="0"/>
            <w:tcMar>
              <w:top w:w="15" w:type="dxa"/>
              <w:left w:w="15" w:type="dxa"/>
              <w:right w:w="15" w:type="dxa"/>
            </w:tcMar>
            <w:vAlign w:val="center"/>
          </w:tcPr>
          <w:p w14:paraId="5238C5ED">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900" w:type="dxa"/>
            <w:noWrap w:val="0"/>
            <w:tcMar>
              <w:top w:w="15" w:type="dxa"/>
              <w:left w:w="15" w:type="dxa"/>
              <w:right w:w="15" w:type="dxa"/>
            </w:tcMar>
            <w:vAlign w:val="center"/>
          </w:tcPr>
          <w:p w14:paraId="34A89DD2">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99</w:t>
            </w:r>
          </w:p>
        </w:tc>
        <w:tc>
          <w:tcPr>
            <w:tcW w:w="866" w:type="dxa"/>
            <w:noWrap w:val="0"/>
            <w:tcMar>
              <w:top w:w="15" w:type="dxa"/>
              <w:left w:w="15" w:type="dxa"/>
              <w:right w:w="15" w:type="dxa"/>
            </w:tcMar>
            <w:vAlign w:val="center"/>
          </w:tcPr>
          <w:p w14:paraId="78FC4727">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461" w:type="dxa"/>
            <w:noWrap w:val="0"/>
            <w:tcMar>
              <w:top w:w="15" w:type="dxa"/>
              <w:left w:w="15" w:type="dxa"/>
              <w:right w:w="15" w:type="dxa"/>
            </w:tcMar>
            <w:vAlign w:val="center"/>
          </w:tcPr>
          <w:p w14:paraId="28929950">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10</w:t>
            </w:r>
          </w:p>
        </w:tc>
      </w:tr>
      <w:tr w14:paraId="5B75A8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0CD89BB4">
            <w:pPr>
              <w:spacing w:line="300" w:lineRule="exact"/>
              <w:jc w:val="center"/>
              <w:rPr>
                <w:rFonts w:hint="eastAsia" w:ascii="仿宋_GB2312" w:hAnsi="宋体" w:cs="宋体"/>
                <w:color w:val="000000"/>
                <w:sz w:val="24"/>
              </w:rPr>
            </w:pPr>
          </w:p>
        </w:tc>
        <w:tc>
          <w:tcPr>
            <w:tcW w:w="692" w:type="dxa"/>
            <w:vMerge w:val="restart"/>
            <w:noWrap w:val="0"/>
            <w:tcMar>
              <w:top w:w="15" w:type="dxa"/>
              <w:left w:w="15" w:type="dxa"/>
              <w:right w:w="15" w:type="dxa"/>
            </w:tcMar>
            <w:vAlign w:val="center"/>
          </w:tcPr>
          <w:p w14:paraId="3CE4DF64">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效益</w:t>
            </w:r>
          </w:p>
          <w:p w14:paraId="6B5E8AC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928" w:type="dxa"/>
            <w:noWrap w:val="0"/>
            <w:tcMar>
              <w:top w:w="15" w:type="dxa"/>
              <w:left w:w="15" w:type="dxa"/>
              <w:right w:w="15" w:type="dxa"/>
            </w:tcMar>
            <w:vAlign w:val="center"/>
          </w:tcPr>
          <w:p w14:paraId="3DF66F06">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社会效益指标</w:t>
            </w:r>
          </w:p>
        </w:tc>
        <w:tc>
          <w:tcPr>
            <w:tcW w:w="3392" w:type="dxa"/>
            <w:gridSpan w:val="2"/>
            <w:noWrap w:val="0"/>
            <w:tcMar>
              <w:top w:w="15" w:type="dxa"/>
              <w:left w:w="15" w:type="dxa"/>
              <w:right w:w="15" w:type="dxa"/>
            </w:tcMar>
            <w:vAlign w:val="center"/>
          </w:tcPr>
          <w:p w14:paraId="42FE7DCA">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维护社会大局稳定，为经济社会发展提供良好安全的环境</w:t>
            </w:r>
          </w:p>
        </w:tc>
        <w:tc>
          <w:tcPr>
            <w:tcW w:w="900" w:type="dxa"/>
            <w:gridSpan w:val="2"/>
            <w:noWrap w:val="0"/>
            <w:tcMar>
              <w:top w:w="15" w:type="dxa"/>
              <w:left w:w="15" w:type="dxa"/>
              <w:right w:w="15" w:type="dxa"/>
            </w:tcMar>
            <w:vAlign w:val="center"/>
          </w:tcPr>
          <w:p w14:paraId="39DB6DB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定性</w:t>
            </w:r>
          </w:p>
        </w:tc>
        <w:tc>
          <w:tcPr>
            <w:tcW w:w="900" w:type="dxa"/>
            <w:noWrap w:val="0"/>
            <w:tcMar>
              <w:top w:w="15" w:type="dxa"/>
              <w:left w:w="15" w:type="dxa"/>
              <w:right w:w="15" w:type="dxa"/>
            </w:tcMar>
            <w:vAlign w:val="center"/>
          </w:tcPr>
          <w:p w14:paraId="66AB05DE">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满意</w:t>
            </w:r>
          </w:p>
        </w:tc>
        <w:tc>
          <w:tcPr>
            <w:tcW w:w="866" w:type="dxa"/>
            <w:noWrap w:val="0"/>
            <w:tcMar>
              <w:top w:w="15" w:type="dxa"/>
              <w:left w:w="15" w:type="dxa"/>
              <w:right w:w="15" w:type="dxa"/>
            </w:tcMar>
            <w:vAlign w:val="center"/>
          </w:tcPr>
          <w:p w14:paraId="27CD6DDC">
            <w:pPr>
              <w:spacing w:line="300" w:lineRule="exact"/>
              <w:jc w:val="center"/>
              <w:rPr>
                <w:rFonts w:hint="eastAsia" w:ascii="仿宋_GB2312" w:hAnsi="宋体" w:cs="宋体"/>
                <w:color w:val="000000"/>
                <w:sz w:val="24"/>
              </w:rPr>
            </w:pPr>
          </w:p>
        </w:tc>
        <w:tc>
          <w:tcPr>
            <w:tcW w:w="461" w:type="dxa"/>
            <w:noWrap w:val="0"/>
            <w:tcMar>
              <w:top w:w="15" w:type="dxa"/>
              <w:left w:w="15" w:type="dxa"/>
              <w:right w:w="15" w:type="dxa"/>
            </w:tcMar>
            <w:vAlign w:val="center"/>
          </w:tcPr>
          <w:p w14:paraId="5B24769E">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10</w:t>
            </w:r>
          </w:p>
        </w:tc>
      </w:tr>
      <w:tr w14:paraId="7DA548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62B91D83">
            <w:pPr>
              <w:spacing w:line="300" w:lineRule="exact"/>
              <w:jc w:val="center"/>
              <w:rPr>
                <w:rFonts w:hint="eastAsia" w:ascii="仿宋_GB2312" w:hAnsi="宋体" w:cs="宋体"/>
                <w:color w:val="000000"/>
                <w:sz w:val="24"/>
              </w:rPr>
            </w:pPr>
          </w:p>
        </w:tc>
        <w:tc>
          <w:tcPr>
            <w:tcW w:w="692" w:type="dxa"/>
            <w:vMerge w:val="continue"/>
            <w:noWrap w:val="0"/>
            <w:tcMar>
              <w:top w:w="15" w:type="dxa"/>
              <w:left w:w="15" w:type="dxa"/>
              <w:right w:w="15" w:type="dxa"/>
            </w:tcMar>
            <w:vAlign w:val="center"/>
          </w:tcPr>
          <w:p w14:paraId="4A2B03CF">
            <w:pPr>
              <w:spacing w:line="300" w:lineRule="exact"/>
              <w:jc w:val="center"/>
              <w:rPr>
                <w:rFonts w:hint="eastAsia" w:ascii="仿宋_GB2312" w:hAnsi="宋体" w:cs="宋体"/>
                <w:color w:val="000000"/>
                <w:sz w:val="24"/>
              </w:rPr>
            </w:pPr>
          </w:p>
        </w:tc>
        <w:tc>
          <w:tcPr>
            <w:tcW w:w="928" w:type="dxa"/>
            <w:noWrap w:val="0"/>
            <w:tcMar>
              <w:top w:w="15" w:type="dxa"/>
              <w:left w:w="15" w:type="dxa"/>
              <w:right w:w="15" w:type="dxa"/>
            </w:tcMar>
            <w:vAlign w:val="center"/>
          </w:tcPr>
          <w:p w14:paraId="07D317DF">
            <w:pPr>
              <w:widowControl/>
              <w:spacing w:line="300" w:lineRule="exact"/>
              <w:jc w:val="center"/>
              <w:textAlignment w:val="center"/>
              <w:rPr>
                <w:rFonts w:hint="eastAsia" w:ascii="仿宋_GB2312" w:hAnsi="宋体" w:cs="宋体"/>
                <w:color w:val="000000"/>
                <w:kern w:val="0"/>
                <w:sz w:val="24"/>
              </w:rPr>
            </w:pPr>
            <w:r>
              <w:rPr>
                <w:rFonts w:hint="eastAsia" w:ascii="仿宋_GB2312" w:hAnsi="宋体" w:cs="宋体"/>
                <w:color w:val="000000"/>
                <w:kern w:val="0"/>
                <w:sz w:val="24"/>
              </w:rPr>
              <w:t>可持续影响</w:t>
            </w:r>
          </w:p>
          <w:p w14:paraId="1B1168B8">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指标</w:t>
            </w:r>
          </w:p>
        </w:tc>
        <w:tc>
          <w:tcPr>
            <w:tcW w:w="3392" w:type="dxa"/>
            <w:gridSpan w:val="2"/>
            <w:noWrap w:val="0"/>
            <w:tcMar>
              <w:top w:w="15" w:type="dxa"/>
              <w:left w:w="15" w:type="dxa"/>
              <w:right w:w="15" w:type="dxa"/>
            </w:tcMar>
            <w:vAlign w:val="center"/>
          </w:tcPr>
          <w:p w14:paraId="74B84C9F">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对基层公安机关办案经费保障力度持续加强</w:t>
            </w:r>
          </w:p>
        </w:tc>
        <w:tc>
          <w:tcPr>
            <w:tcW w:w="900" w:type="dxa"/>
            <w:gridSpan w:val="2"/>
            <w:noWrap w:val="0"/>
            <w:tcMar>
              <w:top w:w="15" w:type="dxa"/>
              <w:left w:w="15" w:type="dxa"/>
              <w:right w:w="15" w:type="dxa"/>
            </w:tcMar>
            <w:vAlign w:val="center"/>
          </w:tcPr>
          <w:p w14:paraId="597808E2">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定性</w:t>
            </w:r>
          </w:p>
        </w:tc>
        <w:tc>
          <w:tcPr>
            <w:tcW w:w="900" w:type="dxa"/>
            <w:noWrap w:val="0"/>
            <w:tcMar>
              <w:top w:w="15" w:type="dxa"/>
              <w:left w:w="15" w:type="dxa"/>
              <w:right w:w="15" w:type="dxa"/>
            </w:tcMar>
            <w:vAlign w:val="center"/>
          </w:tcPr>
          <w:p w14:paraId="6364179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保障力度持续加强</w:t>
            </w:r>
          </w:p>
        </w:tc>
        <w:tc>
          <w:tcPr>
            <w:tcW w:w="866" w:type="dxa"/>
            <w:noWrap w:val="0"/>
            <w:tcMar>
              <w:top w:w="15" w:type="dxa"/>
              <w:left w:w="15" w:type="dxa"/>
              <w:right w:w="15" w:type="dxa"/>
            </w:tcMar>
            <w:vAlign w:val="center"/>
          </w:tcPr>
          <w:p w14:paraId="0CA8E64E">
            <w:pPr>
              <w:spacing w:line="300" w:lineRule="exact"/>
              <w:jc w:val="center"/>
              <w:rPr>
                <w:rFonts w:hint="eastAsia" w:ascii="仿宋_GB2312" w:hAnsi="宋体" w:cs="宋体"/>
                <w:color w:val="000000"/>
                <w:sz w:val="24"/>
              </w:rPr>
            </w:pPr>
          </w:p>
        </w:tc>
        <w:tc>
          <w:tcPr>
            <w:tcW w:w="461" w:type="dxa"/>
            <w:noWrap w:val="0"/>
            <w:tcMar>
              <w:top w:w="15" w:type="dxa"/>
              <w:left w:w="15" w:type="dxa"/>
              <w:right w:w="15" w:type="dxa"/>
            </w:tcMar>
            <w:vAlign w:val="center"/>
          </w:tcPr>
          <w:p w14:paraId="6A794D7F">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10</w:t>
            </w:r>
          </w:p>
        </w:tc>
      </w:tr>
      <w:tr w14:paraId="2B2B6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151" w:type="dxa"/>
            <w:vMerge w:val="continue"/>
            <w:noWrap w:val="0"/>
            <w:tcMar>
              <w:top w:w="15" w:type="dxa"/>
              <w:left w:w="15" w:type="dxa"/>
              <w:right w:w="15" w:type="dxa"/>
            </w:tcMar>
            <w:vAlign w:val="center"/>
          </w:tcPr>
          <w:p w14:paraId="0D019C81">
            <w:pPr>
              <w:spacing w:line="300" w:lineRule="exact"/>
              <w:jc w:val="center"/>
              <w:rPr>
                <w:rFonts w:hint="eastAsia" w:ascii="仿宋_GB2312" w:hAnsi="宋体" w:cs="宋体"/>
                <w:color w:val="000000"/>
                <w:sz w:val="24"/>
              </w:rPr>
            </w:pPr>
          </w:p>
        </w:tc>
        <w:tc>
          <w:tcPr>
            <w:tcW w:w="692" w:type="dxa"/>
            <w:noWrap w:val="0"/>
            <w:tcMar>
              <w:top w:w="15" w:type="dxa"/>
              <w:left w:w="15" w:type="dxa"/>
              <w:right w:w="15" w:type="dxa"/>
            </w:tcMar>
            <w:vAlign w:val="center"/>
          </w:tcPr>
          <w:p w14:paraId="14E68F71">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满意度指标</w:t>
            </w:r>
          </w:p>
        </w:tc>
        <w:tc>
          <w:tcPr>
            <w:tcW w:w="928" w:type="dxa"/>
            <w:noWrap w:val="0"/>
            <w:tcMar>
              <w:top w:w="15" w:type="dxa"/>
              <w:left w:w="15" w:type="dxa"/>
              <w:right w:w="15" w:type="dxa"/>
            </w:tcMar>
            <w:vAlign w:val="center"/>
          </w:tcPr>
          <w:p w14:paraId="0D1FBDDD">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满意度指标</w:t>
            </w:r>
          </w:p>
        </w:tc>
        <w:tc>
          <w:tcPr>
            <w:tcW w:w="3392" w:type="dxa"/>
            <w:gridSpan w:val="2"/>
            <w:noWrap w:val="0"/>
            <w:tcMar>
              <w:top w:w="15" w:type="dxa"/>
              <w:left w:w="15" w:type="dxa"/>
              <w:right w:w="15" w:type="dxa"/>
            </w:tcMar>
            <w:vAlign w:val="center"/>
          </w:tcPr>
          <w:p w14:paraId="24E6374C">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公安执法满意度</w:t>
            </w:r>
          </w:p>
        </w:tc>
        <w:tc>
          <w:tcPr>
            <w:tcW w:w="900" w:type="dxa"/>
            <w:gridSpan w:val="2"/>
            <w:noWrap w:val="0"/>
            <w:tcMar>
              <w:top w:w="15" w:type="dxa"/>
              <w:left w:w="15" w:type="dxa"/>
              <w:right w:w="15" w:type="dxa"/>
            </w:tcMar>
            <w:vAlign w:val="center"/>
          </w:tcPr>
          <w:p w14:paraId="183DB523">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900" w:type="dxa"/>
            <w:noWrap w:val="0"/>
            <w:tcMar>
              <w:top w:w="15" w:type="dxa"/>
              <w:left w:w="15" w:type="dxa"/>
              <w:right w:w="15" w:type="dxa"/>
            </w:tcMar>
            <w:vAlign w:val="center"/>
          </w:tcPr>
          <w:p w14:paraId="7F934DB5">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95</w:t>
            </w:r>
          </w:p>
        </w:tc>
        <w:tc>
          <w:tcPr>
            <w:tcW w:w="866" w:type="dxa"/>
            <w:noWrap w:val="0"/>
            <w:tcMar>
              <w:top w:w="15" w:type="dxa"/>
              <w:left w:w="15" w:type="dxa"/>
              <w:right w:w="15" w:type="dxa"/>
            </w:tcMar>
            <w:vAlign w:val="center"/>
          </w:tcPr>
          <w:p w14:paraId="5AD078A8">
            <w:pPr>
              <w:widowControl/>
              <w:spacing w:line="300" w:lineRule="exact"/>
              <w:jc w:val="center"/>
              <w:textAlignment w:val="center"/>
              <w:rPr>
                <w:rFonts w:hint="eastAsia" w:ascii="仿宋_GB2312" w:hAnsi="宋体" w:cs="宋体"/>
                <w:color w:val="000000"/>
                <w:sz w:val="24"/>
              </w:rPr>
            </w:pPr>
            <w:r>
              <w:rPr>
                <w:rFonts w:hint="eastAsia" w:ascii="仿宋_GB2312" w:hAnsi="宋体" w:cs="宋体"/>
                <w:color w:val="000000"/>
                <w:kern w:val="0"/>
                <w:sz w:val="24"/>
              </w:rPr>
              <w:t>%</w:t>
            </w:r>
          </w:p>
        </w:tc>
        <w:tc>
          <w:tcPr>
            <w:tcW w:w="461" w:type="dxa"/>
            <w:noWrap w:val="0"/>
            <w:tcMar>
              <w:top w:w="15" w:type="dxa"/>
              <w:left w:w="15" w:type="dxa"/>
              <w:right w:w="15" w:type="dxa"/>
            </w:tcMar>
            <w:vAlign w:val="center"/>
          </w:tcPr>
          <w:p w14:paraId="18C03130">
            <w:pPr>
              <w:widowControl/>
              <w:spacing w:line="300" w:lineRule="exact"/>
              <w:jc w:val="left"/>
              <w:textAlignment w:val="center"/>
              <w:rPr>
                <w:rFonts w:hint="eastAsia" w:ascii="仿宋_GB2312" w:hAnsi="宋体" w:cs="宋体"/>
                <w:color w:val="000000"/>
                <w:sz w:val="24"/>
              </w:rPr>
            </w:pPr>
            <w:r>
              <w:rPr>
                <w:rFonts w:hint="eastAsia" w:ascii="仿宋_GB2312" w:hAnsi="宋体" w:cs="宋体"/>
                <w:color w:val="000000"/>
                <w:kern w:val="0"/>
                <w:sz w:val="24"/>
              </w:rPr>
              <w:t>10</w:t>
            </w:r>
          </w:p>
        </w:tc>
      </w:tr>
    </w:tbl>
    <w:p w14:paraId="23D69FD3">
      <w:pPr>
        <w:pStyle w:val="11"/>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黑体" w:cs="Times New Roman"/>
          <w:sz w:val="24"/>
          <w:szCs w:val="24"/>
          <w:highlight w:val="none"/>
          <w:lang w:val="en-US" w:eastAsia="zh-CN"/>
        </w:rPr>
      </w:pPr>
    </w:p>
    <w:sectPr>
      <w:headerReference r:id="rId3" w:type="default"/>
      <w:footerReference r:id="rId4" w:type="default"/>
      <w:pgSz w:w="11906" w:h="16838"/>
      <w:pgMar w:top="2098" w:right="1474" w:bottom="1984" w:left="1587" w:header="851" w:footer="1417"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方正小标宋简体">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51A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B9387">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CB9387">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3074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197887"/>
    <w:rsid w:val="07D80803"/>
    <w:rsid w:val="08EC41AE"/>
    <w:rsid w:val="0AC4464F"/>
    <w:rsid w:val="0D107C13"/>
    <w:rsid w:val="0DC31556"/>
    <w:rsid w:val="0DE454AF"/>
    <w:rsid w:val="0FB15AB5"/>
    <w:rsid w:val="1496504A"/>
    <w:rsid w:val="1A3D6143"/>
    <w:rsid w:val="1C013801"/>
    <w:rsid w:val="1DFD8D3B"/>
    <w:rsid w:val="1EEB7A66"/>
    <w:rsid w:val="1FB79DC9"/>
    <w:rsid w:val="1FBFC3F2"/>
    <w:rsid w:val="1FFFE033"/>
    <w:rsid w:val="22210835"/>
    <w:rsid w:val="24617E93"/>
    <w:rsid w:val="27F352A6"/>
    <w:rsid w:val="2C636A18"/>
    <w:rsid w:val="2D527252"/>
    <w:rsid w:val="2DDC1740"/>
    <w:rsid w:val="2EAE55F2"/>
    <w:rsid w:val="2EDF4302"/>
    <w:rsid w:val="2EFE1A04"/>
    <w:rsid w:val="32694CAA"/>
    <w:rsid w:val="32895C1F"/>
    <w:rsid w:val="32C17C46"/>
    <w:rsid w:val="35BBF80F"/>
    <w:rsid w:val="3B736F08"/>
    <w:rsid w:val="3BE3D531"/>
    <w:rsid w:val="3D270C0D"/>
    <w:rsid w:val="3D431A40"/>
    <w:rsid w:val="3EFF42CA"/>
    <w:rsid w:val="3FD5AF3D"/>
    <w:rsid w:val="3FF773F1"/>
    <w:rsid w:val="3FFED8BE"/>
    <w:rsid w:val="3FFF43BB"/>
    <w:rsid w:val="433DCF8E"/>
    <w:rsid w:val="45FF973D"/>
    <w:rsid w:val="47550EBA"/>
    <w:rsid w:val="4A4F36F3"/>
    <w:rsid w:val="4BF7E09D"/>
    <w:rsid w:val="5078332F"/>
    <w:rsid w:val="514868D8"/>
    <w:rsid w:val="53BB74FC"/>
    <w:rsid w:val="55FDDF92"/>
    <w:rsid w:val="55FFBC03"/>
    <w:rsid w:val="56CDA72E"/>
    <w:rsid w:val="576F5916"/>
    <w:rsid w:val="577FDAE2"/>
    <w:rsid w:val="57FBE2C7"/>
    <w:rsid w:val="58D47500"/>
    <w:rsid w:val="5B335734"/>
    <w:rsid w:val="5B7F322F"/>
    <w:rsid w:val="5BCAB023"/>
    <w:rsid w:val="5DDA9B94"/>
    <w:rsid w:val="5EAB810D"/>
    <w:rsid w:val="5EFF9DA6"/>
    <w:rsid w:val="5F7751B9"/>
    <w:rsid w:val="5F9F7232"/>
    <w:rsid w:val="5F9F9588"/>
    <w:rsid w:val="5FBD32D2"/>
    <w:rsid w:val="5FD450B0"/>
    <w:rsid w:val="5FEF60CD"/>
    <w:rsid w:val="5FFB203D"/>
    <w:rsid w:val="5FFB8CF9"/>
    <w:rsid w:val="63DBAF21"/>
    <w:rsid w:val="6636451A"/>
    <w:rsid w:val="670D2EF0"/>
    <w:rsid w:val="67DE80AA"/>
    <w:rsid w:val="697E3B47"/>
    <w:rsid w:val="69BF132E"/>
    <w:rsid w:val="6BFEE5F3"/>
    <w:rsid w:val="6CAFF34E"/>
    <w:rsid w:val="6CFFCF4F"/>
    <w:rsid w:val="6D1C4F32"/>
    <w:rsid w:val="6DFFF8B6"/>
    <w:rsid w:val="6EEDE807"/>
    <w:rsid w:val="6EEE4BE4"/>
    <w:rsid w:val="6EF65E9C"/>
    <w:rsid w:val="6F3D9197"/>
    <w:rsid w:val="6FAB3EC4"/>
    <w:rsid w:val="6FB6AF41"/>
    <w:rsid w:val="6FD894C8"/>
    <w:rsid w:val="6FE36A9E"/>
    <w:rsid w:val="6FEFB2D1"/>
    <w:rsid w:val="6FFF97E6"/>
    <w:rsid w:val="71213852"/>
    <w:rsid w:val="71397E03"/>
    <w:rsid w:val="71FB5B08"/>
    <w:rsid w:val="73FB87D9"/>
    <w:rsid w:val="75EF0FBA"/>
    <w:rsid w:val="7607C293"/>
    <w:rsid w:val="76DFA4E8"/>
    <w:rsid w:val="778720BD"/>
    <w:rsid w:val="77A7D615"/>
    <w:rsid w:val="77CF4EC7"/>
    <w:rsid w:val="77FF366A"/>
    <w:rsid w:val="77FF8C96"/>
    <w:rsid w:val="77FFA8F9"/>
    <w:rsid w:val="7976604B"/>
    <w:rsid w:val="79F3BC78"/>
    <w:rsid w:val="7A590072"/>
    <w:rsid w:val="7A5B6CAA"/>
    <w:rsid w:val="7A9314AC"/>
    <w:rsid w:val="7B4F6850"/>
    <w:rsid w:val="7BABD5C4"/>
    <w:rsid w:val="7BB12055"/>
    <w:rsid w:val="7BBFADBA"/>
    <w:rsid w:val="7BFF492D"/>
    <w:rsid w:val="7C631402"/>
    <w:rsid w:val="7C978C63"/>
    <w:rsid w:val="7CA35AD0"/>
    <w:rsid w:val="7CDF8BC3"/>
    <w:rsid w:val="7CEB72A5"/>
    <w:rsid w:val="7D18750B"/>
    <w:rsid w:val="7DDFDC39"/>
    <w:rsid w:val="7E140770"/>
    <w:rsid w:val="7E5D92FB"/>
    <w:rsid w:val="7EF51D64"/>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BCD4BF"/>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BB4792"/>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3">
    <w:name w:val="Document Map"/>
    <w:basedOn w:val="1"/>
    <w:link w:val="21"/>
    <w:qFormat/>
    <w:uiPriority w:val="0"/>
    <w:rPr>
      <w:rFonts w:ascii="宋体" w:eastAsia="宋体"/>
      <w:sz w:val="18"/>
      <w:szCs w:val="18"/>
    </w:r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Chars="200"/>
    </w:pPr>
    <w:rPr>
      <w:rFonts w:ascii="仿宋_GB2312"/>
      <w:szCs w:val="32"/>
    </w:rPr>
  </w:style>
  <w:style w:type="paragraph" w:styleId="6">
    <w:name w:val="Balloon Text"/>
    <w:basedOn w:val="1"/>
    <w:semiHidden/>
    <w:qFormat/>
    <w:uiPriority w:val="0"/>
    <w:rPr>
      <w:sz w:val="18"/>
      <w:szCs w:val="18"/>
    </w:rPr>
  </w:style>
  <w:style w:type="paragraph" w:styleId="7">
    <w:name w:val="footer"/>
    <w:basedOn w:val="1"/>
    <w:link w:val="23"/>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正文-公1"/>
    <w:basedOn w:val="17"/>
    <w:next w:val="1"/>
    <w:qFormat/>
    <w:uiPriority w:val="0"/>
    <w:pPr>
      <w:ind w:firstLine="200" w:firstLine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Times New Roman"/>
      <w:kern w:val="2"/>
      <w:sz w:val="21"/>
      <w:lang w:val="en-US" w:eastAsia="zh-CN"/>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9">
    <w:name w:val="四号正文"/>
    <w:basedOn w:val="1"/>
    <w:link w:val="20"/>
    <w:qFormat/>
    <w:uiPriority w:val="0"/>
    <w:pPr>
      <w:spacing w:line="360" w:lineRule="auto"/>
    </w:pPr>
    <w:rPr>
      <w:rFonts w:ascii="??" w:hAnsi="??" w:eastAsia="宋体" w:cs="宋体"/>
      <w:color w:val="000000"/>
      <w:kern w:val="0"/>
      <w:sz w:val="28"/>
      <w:szCs w:val="21"/>
    </w:rPr>
  </w:style>
  <w:style w:type="character" w:customStyle="1" w:styleId="20">
    <w:name w:val="四号正文 Char"/>
    <w:basedOn w:val="14"/>
    <w:link w:val="19"/>
    <w:qFormat/>
    <w:uiPriority w:val="0"/>
    <w:rPr>
      <w:rFonts w:ascii="??" w:hAnsi="??" w:eastAsia="宋体" w:cs="宋体"/>
      <w:color w:val="000000"/>
      <w:sz w:val="28"/>
      <w:szCs w:val="21"/>
      <w:lang w:val="en-US" w:eastAsia="zh-CN" w:bidi="ar-SA"/>
    </w:rPr>
  </w:style>
  <w:style w:type="character" w:customStyle="1" w:styleId="21">
    <w:name w:val="文档结构图 Char"/>
    <w:basedOn w:val="14"/>
    <w:link w:val="3"/>
    <w:qFormat/>
    <w:uiPriority w:val="0"/>
    <w:rPr>
      <w:rFonts w:ascii="宋体"/>
      <w:kern w:val="2"/>
      <w:sz w:val="18"/>
      <w:szCs w:val="18"/>
    </w:rPr>
  </w:style>
  <w:style w:type="paragraph" w:customStyle="1" w:styleId="22">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
    <w:name w:val="页脚 Char"/>
    <w:basedOn w:val="14"/>
    <w:link w:val="7"/>
    <w:qFormat/>
    <w:uiPriority w:val="99"/>
    <w:rPr>
      <w:kern w:val="2"/>
      <w:sz w:val="18"/>
      <w:szCs w:val="18"/>
    </w:rPr>
  </w:style>
  <w:style w:type="character" w:customStyle="1" w:styleId="24">
    <w:name w:val="font31"/>
    <w:basedOn w:val="14"/>
    <w:qFormat/>
    <w:uiPriority w:val="0"/>
    <w:rPr>
      <w:rFonts w:hint="eastAsia" w:ascii="宋体" w:hAnsi="宋体" w:eastAsia="宋体" w:cs="宋体"/>
      <w:color w:val="000000"/>
      <w:sz w:val="24"/>
      <w:szCs w:val="24"/>
      <w:u w:val="none"/>
    </w:rPr>
  </w:style>
  <w:style w:type="character" w:customStyle="1" w:styleId="25">
    <w:name w:val="font51"/>
    <w:basedOn w:val="14"/>
    <w:qFormat/>
    <w:uiPriority w:val="0"/>
    <w:rPr>
      <w:rFonts w:hint="default" w:ascii="Wingdings 2" w:hAnsi="Wingdings 2" w:eastAsia="Wingdings 2" w:cs="Wingdings 2"/>
      <w:color w:val="000000"/>
      <w:sz w:val="18"/>
      <w:szCs w:val="18"/>
      <w:u w:val="none"/>
    </w:rPr>
  </w:style>
  <w:style w:type="character" w:customStyle="1" w:styleId="26">
    <w:name w:val="font01"/>
    <w:basedOn w:val="14"/>
    <w:qFormat/>
    <w:uiPriority w:val="0"/>
    <w:rPr>
      <w:rFonts w:ascii="宋体" w:hAnsi="宋体" w:eastAsia="宋体" w:cs="宋体"/>
      <w:color w:val="000000"/>
      <w:sz w:val="18"/>
      <w:szCs w:val="18"/>
      <w:u w:val="none"/>
    </w:rPr>
  </w:style>
  <w:style w:type="character" w:customStyle="1" w:styleId="27">
    <w:name w:val="font41"/>
    <w:basedOn w:val="14"/>
    <w:qFormat/>
    <w:uiPriority w:val="0"/>
    <w:rPr>
      <w:rFonts w:ascii="宋体" w:hAnsi="宋体" w:eastAsia="宋体" w:cs="宋体"/>
      <w:color w:val="000000"/>
      <w:sz w:val="18"/>
      <w:szCs w:val="18"/>
      <w:u w:val="none"/>
    </w:rPr>
  </w:style>
  <w:style w:type="paragraph" w:customStyle="1" w:styleId="28">
    <w:name w:val="表文字"/>
    <w:basedOn w:val="29"/>
    <w:qFormat/>
    <w:uiPriority w:val="5"/>
    <w:pPr>
      <w:widowControl/>
      <w:pBdr>
        <w:between w:val="single" w:color="auto" w:sz="4" w:space="1"/>
      </w:pBdr>
      <w:spacing w:line="320" w:lineRule="exact"/>
      <w:ind w:firstLine="0" w:firstLineChars="0"/>
      <w:jc w:val="center"/>
    </w:pPr>
    <w:rPr>
      <w:rFonts w:cs="宋体"/>
      <w:bCs/>
      <w:color w:val="000000"/>
      <w:sz w:val="22"/>
    </w:rPr>
  </w:style>
  <w:style w:type="paragraph" w:customStyle="1" w:styleId="29">
    <w:name w:val="报告正文"/>
    <w:basedOn w:val="1"/>
    <w:qFormat/>
    <w:uiPriority w:val="0"/>
    <w:pPr>
      <w:spacing w:line="600" w:lineRule="exact"/>
      <w:ind w:firstLine="200" w:firstLineChars="200"/>
    </w:pPr>
    <w:rPr>
      <w:rFonts w:eastAsia="仿宋"/>
      <w:kern w:val="0"/>
      <w:szCs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18</Pages>
  <Words>6773</Words>
  <Characters>7538</Characters>
  <Lines>2</Lines>
  <Paragraphs>1</Paragraphs>
  <TotalTime>3</TotalTime>
  <ScaleCrop>false</ScaleCrop>
  <LinksUpToDate>false</LinksUpToDate>
  <CharactersWithSpaces>7614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2019-05-29T11:06:00Z</dcterms:created>
  <dc:creator>陈萍</dc:creator>
  <cp:lastModifiedBy>茄子妹</cp:lastModifiedBy>
  <cp:lastPrinted>2025-06-16T06:49:00Z</cp:lastPrinted>
  <dcterms:modified xsi:type="dcterms:W3CDTF">2025-09-02T09:11:38Z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C0FCC9F4C15575AD2FD1F567C9881326</vt:lpwstr>
  </property>
  <property fmtid="{D5CDD505-2E9C-101B-9397-08002B2CF9AE}" pid="4" name="KSOTemplateDocerSaveRecord">
    <vt:lpwstr>eyJoZGlkIjoiMTdhYTFjNWZhNmY0YmRmZjYxNWY1MDRkM2Q1YzVhODgiLCJ1c2VySWQiOiIyNTYwMTE2NTQifQ==</vt:lpwstr>
  </property>
</Properties>
</file>