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A14C">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96475"/>
      <w:bookmarkStart w:id="2" w:name="_Toc15377425"/>
      <w:bookmarkStart w:id="3" w:name="_Toc15377193"/>
      <w:bookmarkStart w:id="4" w:name="_Toc15378441"/>
      <w:bookmarkStart w:id="5" w:name="_Toc15306267"/>
      <w:bookmarkStart w:id="63" w:name="_GoBack"/>
      <w:bookmarkEnd w:id="63"/>
    </w:p>
    <w:p w14:paraId="269E89EB">
      <w:pPr>
        <w:pStyle w:val="5"/>
        <w:rPr>
          <w:rFonts w:hint="eastAsia" w:ascii="Times New Roman" w:hAnsi="Times New Roman" w:eastAsia="方正小标宋简体" w:cs="Times New Roman"/>
          <w:color w:val="auto"/>
          <w:kern w:val="2"/>
          <w:sz w:val="72"/>
          <w:szCs w:val="72"/>
          <w:highlight w:val="none"/>
          <w:lang w:val="en-US" w:eastAsia="zh-CN" w:bidi="ar-SA"/>
        </w:rPr>
      </w:pPr>
    </w:p>
    <w:p w14:paraId="41982C33">
      <w:pPr>
        <w:pStyle w:val="5"/>
        <w:rPr>
          <w:rFonts w:hint="eastAsia" w:ascii="Times New Roman" w:hAnsi="Times New Roman" w:eastAsia="方正小标宋简体" w:cs="Times New Roman"/>
          <w:color w:val="auto"/>
          <w:kern w:val="2"/>
          <w:sz w:val="72"/>
          <w:szCs w:val="72"/>
          <w:highlight w:val="none"/>
          <w:lang w:val="en-US" w:eastAsia="zh-CN" w:bidi="ar-SA"/>
        </w:rPr>
      </w:pPr>
    </w:p>
    <w:p w14:paraId="2E744C67">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遂宁市公安局森林警察支队</w:t>
      </w:r>
    </w:p>
    <w:p w14:paraId="5C89DFF0">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单位决算</w:t>
      </w:r>
    </w:p>
    <w:p w14:paraId="34CC7E5E">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07BE520B">
      <w:pPr>
        <w:spacing w:line="600" w:lineRule="exact"/>
        <w:jc w:val="center"/>
        <w:outlineLvl w:val="0"/>
        <w:rPr>
          <w:rFonts w:ascii="Times New Roman" w:hAnsi="Times New Roman" w:eastAsia="方正小标宋简体"/>
          <w:color w:val="auto"/>
          <w:sz w:val="72"/>
          <w:szCs w:val="72"/>
          <w:highlight w:val="none"/>
        </w:rPr>
      </w:pPr>
    </w:p>
    <w:p w14:paraId="549C3BF0">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0C17BA86">
      <w:pPr>
        <w:rPr>
          <w:rFonts w:ascii="Times New Roman" w:hAnsi="Times New Roman"/>
        </w:rPr>
      </w:pPr>
    </w:p>
    <w:bookmarkEnd w:id="0"/>
    <w:bookmarkEnd w:id="1"/>
    <w:bookmarkEnd w:id="2"/>
    <w:bookmarkEnd w:id="3"/>
    <w:bookmarkEnd w:id="4"/>
    <w:bookmarkEnd w:id="5"/>
    <w:p w14:paraId="53A0D20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52A29807">
      <w:pPr>
        <w:widowControl/>
        <w:jc w:val="center"/>
        <w:rPr>
          <w:rFonts w:ascii="Times New Roman" w:hAnsi="Times New Roman" w:eastAsia="黑体" w:cstheme="minorBidi"/>
          <w:color w:val="auto"/>
          <w:sz w:val="28"/>
          <w:szCs w:val="28"/>
          <w:highlight w:val="none"/>
        </w:rPr>
      </w:pPr>
    </w:p>
    <w:p w14:paraId="5652CC4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22</w:t>
      </w:r>
      <w:r>
        <w:rPr>
          <w:rFonts w:hint="eastAsia" w:ascii="Times New Roman" w:hAnsi="Times New Roman" w:eastAsia="仿宋_GB2312" w:cs="仿宋_GB2312"/>
          <w:color w:val="auto"/>
          <w:sz w:val="32"/>
          <w:szCs w:val="32"/>
          <w:highlight w:val="none"/>
        </w:rPr>
        <w:t>日</w:t>
      </w:r>
    </w:p>
    <w:p w14:paraId="281C5C0D">
      <w:pPr>
        <w:rPr>
          <w:rFonts w:ascii="Times New Roman" w:hAnsi="Times New Roman"/>
          <w:color w:val="auto"/>
          <w:highlight w:val="none"/>
        </w:rPr>
      </w:pPr>
    </w:p>
    <w:p w14:paraId="33F746B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19A4D9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D0C06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0959B0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42E729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31897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82AC3F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0154BEB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BD2C23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3D3B5F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55C36F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3F969A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0806490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BB765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55AC90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13</w:t>
      </w:r>
    </w:p>
    <w:p w14:paraId="40AFB3D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215992F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31</w:t>
      </w:r>
    </w:p>
    <w:p w14:paraId="5E51387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7A3B8D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1AAD5B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7EE300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3FDE7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057AEC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101273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61581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711E443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11850C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039A90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4FEFE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5F3766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31</w:t>
      </w:r>
    </w:p>
    <w:p w14:paraId="4162B34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47EEE1A6">
      <w:pPr>
        <w:pStyle w:val="2"/>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7775FBA8">
      <w:pPr>
        <w:widowControl/>
        <w:jc w:val="left"/>
        <w:rPr>
          <w:rFonts w:ascii="Times New Roman" w:hAnsi="Times New Roman" w:eastAsia="黑体"/>
          <w:color w:val="auto"/>
          <w:sz w:val="32"/>
          <w:szCs w:val="32"/>
          <w:highlight w:val="none"/>
        </w:rPr>
      </w:pPr>
    </w:p>
    <w:p w14:paraId="10B17375">
      <w:pPr>
        <w:pStyle w:val="3"/>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0576874D">
      <w:pPr>
        <w:ind w:firstLine="640" w:firstLineChars="200"/>
        <w:rPr>
          <w:rFonts w:hint="eastAsia" w:eastAsia="仿宋_GB2312"/>
          <w:lang w:val="en-US" w:eastAsia="zh-CN"/>
        </w:rPr>
      </w:pPr>
      <w:r>
        <w:rPr>
          <w:rFonts w:hint="eastAsia" w:ascii="Times New Roman" w:hAnsi="Times New Roman" w:eastAsia="仿宋_GB2312" w:cs="仿宋_GB2312"/>
          <w:color w:val="auto"/>
          <w:sz w:val="32"/>
          <w:szCs w:val="32"/>
          <w:highlight w:val="none"/>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打击食药环类犯罪。</w:t>
      </w:r>
    </w:p>
    <w:p w14:paraId="1441EBBE">
      <w:pPr>
        <w:pStyle w:val="3"/>
        <w:rPr>
          <w:rStyle w:val="29"/>
          <w:rFonts w:ascii="Times New Roman" w:hAnsi="Times New Roman"/>
          <w:b w:val="0"/>
          <w:bCs w:val="0"/>
          <w:color w:val="auto"/>
          <w:highlight w:val="none"/>
        </w:rPr>
      </w:pPr>
      <w:bookmarkStart w:id="10" w:name="_Toc15396601"/>
      <w:bookmarkStart w:id="11" w:name="_Toc15377200"/>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40EB6978">
      <w:pPr>
        <w:adjustRightInd w:val="0"/>
        <w:snapToGrid w:val="0"/>
        <w:spacing w:before="93" w:line="520" w:lineRule="exact"/>
        <w:ind w:firstLine="640" w:firstLineChars="200"/>
        <w:rPr>
          <w:rFonts w:hint="eastAsia" w:ascii="Times New Roman" w:hAnsi="Times New Roman" w:eastAsia="仿宋_GB2312" w:cs="仿宋_GB2312"/>
          <w:color w:val="auto"/>
          <w:sz w:val="32"/>
          <w:szCs w:val="32"/>
          <w:highlight w:val="none"/>
        </w:rPr>
      </w:pPr>
      <w:r>
        <w:rPr>
          <w:rFonts w:hint="eastAsia" w:ascii="仿宋" w:hAnsi="仿宋" w:eastAsia="仿宋" w:cs="仿宋_GB2312"/>
          <w:sz w:val="32"/>
          <w:szCs w:val="32"/>
          <w:highlight w:val="none"/>
        </w:rPr>
        <w:t>本单位为遂宁市公安局内设机构，下设办公室、案件侦查一大队、案件侦查二大队。</w:t>
      </w:r>
      <w:r>
        <w:rPr>
          <w:rFonts w:hint="eastAsia" w:ascii="仿宋_GB2312" w:hAnsi="仿宋" w:eastAsia="仿宋_GB2312"/>
          <w:sz w:val="32"/>
          <w:szCs w:val="32"/>
          <w:highlight w:val="none"/>
        </w:rPr>
        <w:t>人员情况，包括当年变动情况及原因。全年民警数16人，辅警7人。</w:t>
      </w:r>
    </w:p>
    <w:p w14:paraId="502ACCC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C365C9C">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45BD13CE">
      <w:pPr>
        <w:rPr>
          <w:rFonts w:ascii="Times New Roman" w:hAnsi="Times New Roman"/>
          <w:color w:val="auto"/>
          <w:highlight w:val="none"/>
        </w:rPr>
      </w:pPr>
    </w:p>
    <w:p w14:paraId="5D11EF1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6E6D516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为487.97</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仿宋_GB2312"/>
          <w:color w:val="auto"/>
          <w:sz w:val="32"/>
          <w:szCs w:val="32"/>
          <w:highlight w:val="none"/>
        </w:rPr>
        <w:t>497.97万元。与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41.75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7.88</w:t>
      </w:r>
      <w:r>
        <w:rPr>
          <w:rFonts w:hint="eastAsia" w:ascii="Times New Roman" w:hAnsi="Times New Roman"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21.75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4.18</w:t>
      </w:r>
      <w:r>
        <w:rPr>
          <w:rFonts w:hint="eastAsia" w:ascii="Times New Roman" w:hAnsi="Times New Roman" w:eastAsia="仿宋_GB2312" w:cs="仿宋_GB2312"/>
          <w:color w:val="auto"/>
          <w:sz w:val="32"/>
          <w:szCs w:val="32"/>
          <w:highlight w:val="none"/>
        </w:rPr>
        <w:t>%。</w:t>
      </w:r>
    </w:p>
    <w:p w14:paraId="2E6ED8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B5E9C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163195</wp:posOffset>
            </wp:positionH>
            <wp:positionV relativeFrom="paragraph">
              <wp:posOffset>199390</wp:posOffset>
            </wp:positionV>
            <wp:extent cx="4838700" cy="275590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838700" cy="2755900"/>
                    </a:xfrm>
                    <a:prstGeom prst="rect">
                      <a:avLst/>
                    </a:prstGeom>
                    <a:noFill/>
                    <a:ln>
                      <a:noFill/>
                    </a:ln>
                  </pic:spPr>
                </pic:pic>
              </a:graphicData>
            </a:graphic>
          </wp:anchor>
        </w:drawing>
      </w:r>
    </w:p>
    <w:p w14:paraId="528921A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137C394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2024年度本年收入合计487.97万元，其中：一般公共预算财政拨款收入487.97万元，占</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lang w:eastAsia="zh-CN"/>
        </w:rPr>
        <w:t>%。</w:t>
      </w:r>
    </w:p>
    <w:p w14:paraId="124A66C8">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7FD6D1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38700" cy="275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838700" cy="2755900"/>
                    </a:xfrm>
                    <a:prstGeom prst="rect">
                      <a:avLst/>
                    </a:prstGeom>
                    <a:noFill/>
                    <a:ln>
                      <a:noFill/>
                    </a:ln>
                  </pic:spPr>
                </pic:pic>
              </a:graphicData>
            </a:graphic>
          </wp:inline>
        </w:drawing>
      </w:r>
    </w:p>
    <w:p w14:paraId="3180EF7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5E0ED8A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2024年度本年支出合计4</w:t>
      </w:r>
      <w:r>
        <w:rPr>
          <w:rFonts w:hint="eastAsia"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eastAsia="zh-CN"/>
        </w:rPr>
        <w:t>7.97万元，其中：基本支出429.54万元，占</w:t>
      </w:r>
      <w:r>
        <w:rPr>
          <w:rFonts w:hint="eastAsia" w:eastAsia="仿宋_GB2312" w:cs="仿宋_GB2312"/>
          <w:color w:val="auto"/>
          <w:sz w:val="32"/>
          <w:szCs w:val="32"/>
          <w:highlight w:val="none"/>
          <w:lang w:val="en-US" w:eastAsia="zh-CN"/>
        </w:rPr>
        <w:t>86.26</w:t>
      </w:r>
      <w:r>
        <w:rPr>
          <w:rFonts w:hint="eastAsia" w:ascii="Times New Roman" w:hAnsi="Times New Roman" w:eastAsia="仿宋_GB2312" w:cs="仿宋_GB2312"/>
          <w:color w:val="auto"/>
          <w:sz w:val="32"/>
          <w:szCs w:val="32"/>
          <w:highlight w:val="none"/>
          <w:lang w:eastAsia="zh-CN"/>
        </w:rPr>
        <w:t>%；项目支出68.43万元，占</w:t>
      </w:r>
      <w:r>
        <w:rPr>
          <w:rFonts w:hint="eastAsia" w:eastAsia="仿宋_GB2312" w:cs="仿宋_GB2312"/>
          <w:color w:val="auto"/>
          <w:sz w:val="32"/>
          <w:szCs w:val="32"/>
          <w:highlight w:val="none"/>
          <w:lang w:val="en-US" w:eastAsia="zh-CN"/>
        </w:rPr>
        <w:t>13.74</w:t>
      </w:r>
      <w:r>
        <w:rPr>
          <w:rFonts w:hint="eastAsia" w:ascii="Times New Roman" w:hAnsi="Times New Roman" w:eastAsia="仿宋_GB2312" w:cs="仿宋_GB2312"/>
          <w:color w:val="auto"/>
          <w:sz w:val="32"/>
          <w:szCs w:val="32"/>
          <w:highlight w:val="none"/>
          <w:lang w:eastAsia="zh-CN"/>
        </w:rPr>
        <w:t>%。</w:t>
      </w:r>
    </w:p>
    <w:p w14:paraId="0708D6A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0C7AA9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38700" cy="2755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838700" cy="2755900"/>
                    </a:xfrm>
                    <a:prstGeom prst="rect">
                      <a:avLst/>
                    </a:prstGeom>
                    <a:noFill/>
                    <a:ln>
                      <a:noFill/>
                    </a:ln>
                  </pic:spPr>
                </pic:pic>
              </a:graphicData>
            </a:graphic>
          </wp:inline>
        </w:drawing>
      </w:r>
    </w:p>
    <w:p w14:paraId="4620617B">
      <w:pPr>
        <w:spacing w:line="600" w:lineRule="exact"/>
        <w:ind w:firstLine="640" w:firstLineChars="200"/>
        <w:outlineLvl w:val="1"/>
        <w:rPr>
          <w:rStyle w:val="29"/>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6AD32F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2024年度财政拨款收入、支出总计均为487.97万元。与2023年度相比，财政拨款收入、支出总计各减少</w:t>
      </w:r>
      <w:r>
        <w:rPr>
          <w:rFonts w:hint="eastAsia" w:eastAsia="仿宋_GB2312" w:cs="仿宋_GB2312"/>
          <w:color w:val="auto"/>
          <w:kern w:val="2"/>
          <w:sz w:val="32"/>
          <w:szCs w:val="32"/>
          <w:highlight w:val="none"/>
          <w:lang w:val="en-US" w:eastAsia="zh-CN" w:bidi="ar-SA"/>
        </w:rPr>
        <w:t>31.45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6.05</w:t>
      </w:r>
      <w:r>
        <w:rPr>
          <w:rFonts w:hint="eastAsia" w:ascii="Times New Roman" w:hAnsi="Times New Roman" w:eastAsia="仿宋_GB2312" w:cs="仿宋_GB2312"/>
          <w:color w:val="auto"/>
          <w:kern w:val="2"/>
          <w:sz w:val="32"/>
          <w:szCs w:val="32"/>
          <w:highlight w:val="none"/>
          <w:lang w:val="en-US" w:eastAsia="zh-CN" w:bidi="ar-SA"/>
        </w:rPr>
        <w:t>%。</w:t>
      </w:r>
    </w:p>
    <w:p w14:paraId="45C6C4F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3653177">
      <w:pPr>
        <w:spacing w:line="600" w:lineRule="exact"/>
        <w:ind w:firstLine="420" w:firstLineChars="200"/>
        <w:outlineLvl w:val="1"/>
        <w:rPr>
          <w:rStyle w:val="29"/>
          <w:rFonts w:ascii="Times New Roman" w:hAnsi="Times New Roman" w:eastAsia="黑体"/>
          <w:b w:val="0"/>
          <w:color w:val="auto"/>
          <w:highlight w:val="none"/>
        </w:rPr>
      </w:pPr>
      <w:bookmarkStart w:id="22" w:name="_Toc15377209"/>
      <w:bookmarkStart w:id="23" w:name="_Toc15396607"/>
      <w:r>
        <w:drawing>
          <wp:anchor distT="0" distB="0" distL="114300" distR="114300" simplePos="0" relativeHeight="251661312" behindDoc="0" locked="0" layoutInCell="1" allowOverlap="1">
            <wp:simplePos x="0" y="0"/>
            <wp:positionH relativeFrom="column">
              <wp:posOffset>342900</wp:posOffset>
            </wp:positionH>
            <wp:positionV relativeFrom="paragraph">
              <wp:posOffset>60325</wp:posOffset>
            </wp:positionV>
            <wp:extent cx="4838700" cy="2755900"/>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838700" cy="2755900"/>
                    </a:xfrm>
                    <a:prstGeom prst="rect">
                      <a:avLst/>
                    </a:prstGeom>
                    <a:noFill/>
                    <a:ln>
                      <a:noFill/>
                    </a:ln>
                  </pic:spPr>
                </pic:pic>
              </a:graphicData>
            </a:graphic>
          </wp:anchor>
        </w:drawing>
      </w: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6AB7EE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609C3F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487.97</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97.99</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31.45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6.05</w:t>
      </w:r>
      <w:r>
        <w:rPr>
          <w:rFonts w:hint="eastAsia" w:ascii="Times New Roman" w:hAnsi="Times New Roman" w:eastAsia="仿宋_GB2312" w:cs="仿宋_GB2312"/>
          <w:color w:val="auto"/>
          <w:kern w:val="2"/>
          <w:sz w:val="32"/>
          <w:szCs w:val="32"/>
          <w:highlight w:val="none"/>
          <w:lang w:val="en-US" w:eastAsia="zh-CN" w:bidi="ar-SA"/>
        </w:rPr>
        <w:t>%。</w:t>
      </w:r>
    </w:p>
    <w:p w14:paraId="1B71CD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296545</wp:posOffset>
            </wp:positionH>
            <wp:positionV relativeFrom="paragraph">
              <wp:posOffset>826770</wp:posOffset>
            </wp:positionV>
            <wp:extent cx="4636770" cy="2640965"/>
            <wp:effectExtent l="0" t="0" r="11430" b="63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4636770" cy="2640965"/>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43F258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4DA0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3EA189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487.97</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一般公共服务支出407.94万元，占</w:t>
      </w:r>
      <w:r>
        <w:rPr>
          <w:rFonts w:hint="eastAsia" w:eastAsia="仿宋_GB2312" w:cs="仿宋_GB2312"/>
          <w:color w:val="auto"/>
          <w:kern w:val="2"/>
          <w:sz w:val="32"/>
          <w:szCs w:val="32"/>
          <w:highlight w:val="none"/>
          <w:lang w:val="en-US" w:eastAsia="zh-CN" w:bidi="ar-SA"/>
        </w:rPr>
        <w:t>83.60</w:t>
      </w:r>
      <w:r>
        <w:rPr>
          <w:rFonts w:hint="eastAsia" w:ascii="Times New Roman" w:hAnsi="Times New Roman" w:eastAsia="仿宋_GB2312" w:cs="仿宋_GB2312"/>
          <w:color w:val="auto"/>
          <w:kern w:val="2"/>
          <w:sz w:val="32"/>
          <w:szCs w:val="32"/>
          <w:highlight w:val="none"/>
          <w:lang w:val="en-US" w:eastAsia="zh-CN" w:bidi="ar-SA"/>
        </w:rPr>
        <w:t>%；社会保障和就业支出36.81万元，占</w:t>
      </w:r>
      <w:r>
        <w:rPr>
          <w:rFonts w:hint="eastAsia" w:eastAsia="仿宋_GB2312" w:cs="仿宋_GB2312"/>
          <w:color w:val="auto"/>
          <w:kern w:val="2"/>
          <w:sz w:val="32"/>
          <w:szCs w:val="32"/>
          <w:highlight w:val="none"/>
          <w:lang w:val="en-US" w:eastAsia="zh-CN" w:bidi="ar-SA"/>
        </w:rPr>
        <w:t>7.54</w:t>
      </w:r>
      <w:r>
        <w:rPr>
          <w:rFonts w:hint="eastAsia" w:ascii="Times New Roman" w:hAnsi="Times New Roman" w:eastAsia="仿宋_GB2312" w:cs="仿宋_GB2312"/>
          <w:color w:val="auto"/>
          <w:kern w:val="2"/>
          <w:sz w:val="32"/>
          <w:szCs w:val="32"/>
          <w:highlight w:val="none"/>
          <w:lang w:val="en-US" w:eastAsia="zh-CN" w:bidi="ar-SA"/>
        </w:rPr>
        <w:t>%；卫生健康支出14.82万元，占</w:t>
      </w:r>
      <w:r>
        <w:rPr>
          <w:rFonts w:hint="eastAsia" w:eastAsia="仿宋_GB2312" w:cs="仿宋_GB2312"/>
          <w:color w:val="auto"/>
          <w:kern w:val="2"/>
          <w:sz w:val="32"/>
          <w:szCs w:val="32"/>
          <w:highlight w:val="none"/>
          <w:lang w:val="en-US" w:eastAsia="zh-CN" w:bidi="ar-SA"/>
        </w:rPr>
        <w:t>3.04</w:t>
      </w:r>
      <w:r>
        <w:rPr>
          <w:rFonts w:hint="eastAsia" w:ascii="Times New Roman" w:hAnsi="Times New Roman" w:eastAsia="仿宋_GB2312" w:cs="仿宋_GB2312"/>
          <w:color w:val="auto"/>
          <w:kern w:val="2"/>
          <w:sz w:val="32"/>
          <w:szCs w:val="32"/>
          <w:highlight w:val="none"/>
          <w:lang w:val="en-US" w:eastAsia="zh-CN" w:bidi="ar-SA"/>
        </w:rPr>
        <w:t>%；住房保障支出28.41万元，占</w:t>
      </w:r>
      <w:r>
        <w:rPr>
          <w:rFonts w:hint="eastAsia" w:eastAsia="仿宋_GB2312" w:cs="仿宋_GB2312"/>
          <w:color w:val="auto"/>
          <w:kern w:val="2"/>
          <w:sz w:val="32"/>
          <w:szCs w:val="32"/>
          <w:highlight w:val="none"/>
          <w:lang w:val="en-US" w:eastAsia="zh-CN" w:bidi="ar-SA"/>
        </w:rPr>
        <w:t>5.82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0F63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245745</wp:posOffset>
            </wp:positionH>
            <wp:positionV relativeFrom="paragraph">
              <wp:posOffset>510540</wp:posOffset>
            </wp:positionV>
            <wp:extent cx="4838700" cy="2755900"/>
            <wp:effectExtent l="0" t="0" r="0"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4838700" cy="275590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60F80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0FE3FB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487.97万元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702B4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一般公共服务（类）公安（款）行政运行（项）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支出决算为340.67万元，完成预算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22FDB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2.一般公共服务（类）公安（款）一般行政管理事务（项）: 支出决算为67.27万元，完成预算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DA40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3.社会保障和就业支出（类）行政事业单位养老支出（款）行政单位离退休（项）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支出决算为1.89万元，完成预算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268D0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4.社会保障和就业支出（类）行政事业单位养老支出（款）事业单位离退休（项）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0FFA1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支出决算为32.13万元，完成预算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62841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支出决算为14.82万元，完成预算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DEA2C3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住房保障支出（类）住房改革支出（款）住房改革支出（项）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支出决算为28.41万元，完成预算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980C4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7139A1">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76E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2024年度一般公共预算财政拨款基本支出429.54万元，其中：</w:t>
      </w:r>
    </w:p>
    <w:p w14:paraId="3B772C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355.46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74.08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CB602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B2475D">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482858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7A3861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2024年度“三公”经费财政拨款支出决算为10.57万元，完成预算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3.37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24.17</w:t>
      </w:r>
      <w:r>
        <w:rPr>
          <w:rFonts w:hint="eastAsia" w:ascii="Times New Roman" w:hAnsi="Times New Roman" w:eastAsia="仿宋_GB2312" w:cs="仿宋_GB2312"/>
          <w:color w:val="auto"/>
          <w:kern w:val="2"/>
          <w:sz w:val="32"/>
          <w:szCs w:val="32"/>
          <w:highlight w:val="none"/>
          <w:lang w:val="en-US" w:eastAsia="zh-CN" w:bidi="ar-SA"/>
        </w:rPr>
        <w:t>%。</w:t>
      </w:r>
    </w:p>
    <w:p w14:paraId="7A353F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33B94C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%；公务用车购置及运行维护费支出决算10.53万元，占</w:t>
      </w:r>
      <w:r>
        <w:rPr>
          <w:rFonts w:hint="eastAsia" w:eastAsia="仿宋_GB2312" w:cs="仿宋_GB2312"/>
          <w:color w:val="auto"/>
          <w:kern w:val="2"/>
          <w:sz w:val="32"/>
          <w:szCs w:val="32"/>
          <w:highlight w:val="none"/>
          <w:lang w:val="en-US" w:eastAsia="zh-CN" w:bidi="ar-SA"/>
        </w:rPr>
        <w:t>99.62</w:t>
      </w:r>
      <w:r>
        <w:rPr>
          <w:rFonts w:hint="eastAsia" w:ascii="Times New Roman" w:hAnsi="Times New Roman" w:eastAsia="仿宋_GB2312" w:cs="仿宋_GB2312"/>
          <w:color w:val="auto"/>
          <w:kern w:val="2"/>
          <w:sz w:val="32"/>
          <w:szCs w:val="32"/>
          <w:highlight w:val="none"/>
          <w:lang w:val="en-US" w:eastAsia="zh-CN" w:bidi="ar-SA"/>
        </w:rPr>
        <w:t>%；公务接待费支出决算0.04万元，占</w:t>
      </w:r>
      <w:r>
        <w:rPr>
          <w:rFonts w:hint="eastAsia" w:eastAsia="仿宋_GB2312" w:cs="仿宋_GB2312"/>
          <w:color w:val="auto"/>
          <w:kern w:val="2"/>
          <w:sz w:val="32"/>
          <w:szCs w:val="32"/>
          <w:highlight w:val="none"/>
          <w:lang w:val="en-US" w:eastAsia="zh-CN" w:bidi="ar-SA"/>
        </w:rPr>
        <w:t>0.38</w:t>
      </w:r>
      <w:r>
        <w:rPr>
          <w:rFonts w:hint="eastAsia" w:ascii="Times New Roman" w:hAnsi="Times New Roman" w:eastAsia="仿宋_GB2312" w:cs="仿宋_GB2312"/>
          <w:color w:val="auto"/>
          <w:kern w:val="2"/>
          <w:sz w:val="32"/>
          <w:szCs w:val="32"/>
          <w:highlight w:val="none"/>
          <w:lang w:val="en-US" w:eastAsia="zh-CN" w:bidi="ar-SA"/>
        </w:rPr>
        <w:t>%。具体情况如下：</w:t>
      </w:r>
    </w:p>
    <w:p w14:paraId="27CCF0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257175</wp:posOffset>
            </wp:positionH>
            <wp:positionV relativeFrom="paragraph">
              <wp:posOffset>661035</wp:posOffset>
            </wp:positionV>
            <wp:extent cx="4838700" cy="2755900"/>
            <wp:effectExtent l="0" t="0" r="0"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5"/>
                    <a:stretch>
                      <a:fillRect/>
                    </a:stretch>
                  </pic:blipFill>
                  <pic:spPr>
                    <a:xfrm>
                      <a:off x="0" y="0"/>
                      <a:ext cx="4838700" cy="2755900"/>
                    </a:xfrm>
                    <a:prstGeom prst="rect">
                      <a:avLst/>
                    </a:prstGeom>
                    <a:noFill/>
                    <a:ln>
                      <a:noFill/>
                    </a:ln>
                  </pic:spPr>
                </pic:pic>
              </a:graphicData>
            </a:graphic>
          </wp:anchor>
        </w:drawing>
      </w: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42D30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CF7C7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p>
    <w:p w14:paraId="44446F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人。因公出国（境）支出决算比2023年减少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30FC20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10.53</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99.62</w:t>
      </w:r>
      <w:r>
        <w:rPr>
          <w:rFonts w:hint="eastAsia" w:ascii="Times New Roman" w:hAnsi="Times New Roman" w:eastAsia="仿宋_GB2312" w:cs="仿宋_GB2312"/>
          <w:b/>
          <w:bCs/>
          <w:color w:val="auto"/>
          <w:kern w:val="2"/>
          <w:sz w:val="32"/>
          <w:szCs w:val="32"/>
          <w:highlight w:val="none"/>
          <w:lang w:val="en-US" w:eastAsia="zh-CN" w:bidi="ar-SA"/>
        </w:rPr>
        <w:t>%。</w:t>
      </w:r>
    </w:p>
    <w:p w14:paraId="6B4D68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3.41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24.46</w:t>
      </w:r>
      <w:r>
        <w:rPr>
          <w:rFonts w:hint="eastAsia" w:ascii="Times New Roman" w:hAnsi="Times New Roman" w:eastAsia="仿宋_GB2312" w:cs="仿宋_GB2312"/>
          <w:color w:val="auto"/>
          <w:kern w:val="2"/>
          <w:sz w:val="32"/>
          <w:szCs w:val="32"/>
          <w:highlight w:val="none"/>
          <w:lang w:val="en-US" w:eastAsia="zh-CN" w:bidi="ar-SA"/>
        </w:rPr>
        <w:t>%。</w:t>
      </w:r>
    </w:p>
    <w:p w14:paraId="1E5B04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辆，其中：应急保障用车</w:t>
      </w:r>
      <w:r>
        <w:rPr>
          <w:rFonts w:hint="eastAsia" w:eastAsia="仿宋_GB2312" w:cs="仿宋_GB2312"/>
          <w:color w:val="auto"/>
          <w:kern w:val="2"/>
          <w:sz w:val="32"/>
          <w:szCs w:val="32"/>
          <w:highlight w:val="none"/>
          <w:lang w:val="en-US" w:eastAsia="zh-CN" w:bidi="ar-SA"/>
        </w:rPr>
        <w:t>1辆</w:t>
      </w:r>
      <w:r>
        <w:rPr>
          <w:rFonts w:hint="eastAsia" w:ascii="Times New Roman" w:hAnsi="Times New Roman" w:eastAsia="仿宋_GB2312" w:cs="仿宋_GB2312"/>
          <w:color w:val="auto"/>
          <w:kern w:val="2"/>
          <w:sz w:val="32"/>
          <w:szCs w:val="32"/>
          <w:highlight w:val="none"/>
          <w:lang w:val="en-US" w:eastAsia="zh-CN" w:bidi="ar-SA"/>
        </w:rPr>
        <w:t>。</w:t>
      </w:r>
    </w:p>
    <w:p w14:paraId="73C4F2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公务用车运行维护费支出10.53万元。主要用于</w:t>
      </w:r>
      <w:r>
        <w:rPr>
          <w:rFonts w:hint="eastAsia" w:eastAsia="仿宋_GB2312" w:cs="仿宋_GB2312"/>
          <w:color w:val="auto"/>
          <w:kern w:val="2"/>
          <w:sz w:val="32"/>
          <w:szCs w:val="32"/>
          <w:highlight w:val="none"/>
          <w:lang w:val="en-US" w:eastAsia="zh-CN" w:bidi="ar-SA"/>
        </w:rPr>
        <w:t>公务出差、办案</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01F4AA8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0.04</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2E3AD4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66.67</w:t>
      </w:r>
      <w:r>
        <w:rPr>
          <w:rFonts w:hint="eastAsia" w:ascii="Times New Roman" w:hAnsi="Times New Roman" w:eastAsia="仿宋_GB2312" w:cs="仿宋_GB2312"/>
          <w:color w:val="auto"/>
          <w:kern w:val="2"/>
          <w:sz w:val="32"/>
          <w:szCs w:val="32"/>
          <w:highlight w:val="none"/>
          <w:lang w:val="en-US" w:eastAsia="zh-CN" w:bidi="ar-SA"/>
        </w:rPr>
        <w:t>%。其中：</w:t>
      </w:r>
    </w:p>
    <w:p w14:paraId="33D9B4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w:t>
      </w:r>
      <w:r>
        <w:rPr>
          <w:rFonts w:hint="eastAsia" w:eastAsia="仿宋_GB2312" w:cs="仿宋_GB2312"/>
          <w:color w:val="auto"/>
          <w:kern w:val="2"/>
          <w:sz w:val="32"/>
          <w:szCs w:val="32"/>
          <w:highlight w:val="none"/>
          <w:lang w:val="en-US" w:eastAsia="zh-CN" w:bidi="ar-SA"/>
        </w:rPr>
        <w:t>0.04</w:t>
      </w:r>
      <w:r>
        <w:rPr>
          <w:rFonts w:hint="eastAsia" w:ascii="Times New Roman" w:hAnsi="Times New Roman" w:eastAsia="仿宋_GB2312" w:cs="仿宋_GB2312"/>
          <w:color w:val="auto"/>
          <w:kern w:val="2"/>
          <w:sz w:val="32"/>
          <w:szCs w:val="32"/>
          <w:highlight w:val="none"/>
          <w:lang w:val="en-US" w:eastAsia="zh-CN" w:bidi="ar-SA"/>
        </w:rPr>
        <w:t>万元，主要用于执行公务、开展业务活动开支的用餐费。国内公务接待</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0.04</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宜宾市公安局森林防火交叉检查</w:t>
      </w:r>
      <w:r>
        <w:rPr>
          <w:rFonts w:hint="eastAsia" w:ascii="Times New Roman" w:hAnsi="Times New Roman" w:eastAsia="仿宋_GB2312" w:cs="仿宋_GB2312"/>
          <w:color w:val="auto"/>
          <w:kern w:val="2"/>
          <w:sz w:val="32"/>
          <w:szCs w:val="32"/>
          <w:highlight w:val="none"/>
          <w:lang w:val="en-US" w:eastAsia="zh-CN" w:bidi="ar-SA"/>
        </w:rPr>
        <w:t>。</w:t>
      </w:r>
    </w:p>
    <w:p w14:paraId="3BA90D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1999C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96610"/>
      <w:bookmarkStart w:id="37" w:name="_Toc15377218"/>
    </w:p>
    <w:p w14:paraId="0E9C8727">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1E7AB73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336D2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E63276">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77219"/>
      <w:bookmarkStart w:id="39"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5580DA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9870E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A732C1F">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3D3A56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480624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机关运行经费支出74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0</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17.76</w:t>
      </w:r>
      <w:r>
        <w:rPr>
          <w:rFonts w:hint="eastAsia" w:ascii="Times New Roman" w:hAnsi="Times New Roman" w:eastAsia="仿宋_GB2312" w:cs="仿宋_GB2312"/>
          <w:color w:val="auto"/>
          <w:kern w:val="2"/>
          <w:sz w:val="32"/>
          <w:szCs w:val="32"/>
          <w:highlight w:val="none"/>
          <w:lang w:val="en-US" w:eastAsia="zh-CN" w:bidi="ar-SA"/>
        </w:rPr>
        <w:t>%。</w:t>
      </w:r>
    </w:p>
    <w:p w14:paraId="4403B3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DCC5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0FFD8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49D0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1E06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3D1C77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辆，其中：应急保障用车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4D90D4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7620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9C71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在2024年度预算编制阶段，组织对2022年政法转移资金（公安）</w:t>
      </w:r>
      <w:r>
        <w:rPr>
          <w:rFonts w:hint="eastAsia" w:eastAsia="仿宋_GB2312" w:cs="仿宋_GB2312"/>
          <w:color w:val="auto"/>
          <w:kern w:val="2"/>
          <w:sz w:val="32"/>
          <w:szCs w:val="32"/>
          <w:highlight w:val="none"/>
          <w:lang w:val="en-US" w:eastAsia="zh-CN" w:bidi="ar-SA"/>
        </w:rPr>
        <w:t>、辅警专项经费2023</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A6D1FE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遂宁市公安局森林警察支队</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83.43分，绩效自评综述在上级主管部门的正确领导下，本年度财务工作高效规范，圆满完成了各项任务。未来将继续保持严谨作风，为单位稳健运行提供保障。绩效自评报告详见附件。</w:t>
      </w:r>
    </w:p>
    <w:p w14:paraId="6443A1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24C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783F3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78189F36">
      <w:pPr>
        <w:spacing w:line="600" w:lineRule="exact"/>
        <w:jc w:val="left"/>
        <w:rPr>
          <w:rFonts w:ascii="Times New Roman" w:hAnsi="Times New Roman"/>
          <w:b/>
          <w:color w:val="auto"/>
          <w:sz w:val="44"/>
          <w:szCs w:val="44"/>
          <w:highlight w:val="none"/>
        </w:rPr>
      </w:pPr>
    </w:p>
    <w:p w14:paraId="3596C4E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2D183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2C56CA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5C1AEB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422DF3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63F8ECA6">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公共安全（类）公安（款）行政运行（项）：指公安行政单位的事务和管理的基本支出。</w:t>
      </w:r>
    </w:p>
    <w:p w14:paraId="5C017409">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.公共安全（类）公安（款）一般行政管理事务（项）：指公安机关未单独设置项级科目的其他项目支出。</w:t>
      </w:r>
    </w:p>
    <w:p w14:paraId="62E847C7">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.公共安全支出（类）公安（款）其他公安支出（项）：指公安机关除上述项目以外其他用于公安方面的支出。</w:t>
      </w:r>
    </w:p>
    <w:p w14:paraId="00553E12">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．社会保障和就业支出（类）行政事业单位养老支出（款）行政单位离退休（项）：指公安机关开支的离退休支出。</w:t>
      </w:r>
    </w:p>
    <w:p w14:paraId="52F100DE">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．社会保障和就业支出（类）行政事业单位养老支出（款）机关事业单位基本养老保险缴费支出（项）：指公安机关实施养老保险制度由单位缴纳的基本养老保险费支出。</w:t>
      </w:r>
    </w:p>
    <w:p w14:paraId="4997177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 社会保障和就业（类）抚恤（款）死亡抚恤（项）：指公安机关按规定用于烈士和牺牲、病故人员家属的一次性和定期抚恤金以及丧葬补助费。</w:t>
      </w:r>
    </w:p>
    <w:p w14:paraId="60269F6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 卫生健康支出（类）行政事业单位医疗（款）行政单位医疗（项）：指公安机关职工基本医疗保险缴费。</w:t>
      </w:r>
    </w:p>
    <w:p w14:paraId="04303C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 住房保障支出（类）住房改革支出（款）住房公积金（项）：指公安机关按规定比例为职工缴纳的住房公积金。</w:t>
      </w:r>
    </w:p>
    <w:p w14:paraId="787454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Times New Roman" w:hAnsi="Times New Roman" w:eastAsia="仿宋_GB2312" w:cs="仿宋_GB2312"/>
          <w:color w:val="auto"/>
          <w:kern w:val="2"/>
          <w:sz w:val="32"/>
          <w:szCs w:val="32"/>
          <w:highlight w:val="none"/>
          <w:lang w:val="en-US" w:eastAsia="zh-CN" w:bidi="ar-SA"/>
        </w:rPr>
        <w:t xml:space="preserve"> 文化旅游体育与传媒支出（类）其他文化旅游体育与传媒支出（款）宣传文化发展专项支出（项）：反映除上述项目以外其他用于文化和旅游方面的支出。</w:t>
      </w:r>
    </w:p>
    <w:p w14:paraId="509E5C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AF122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95FAE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24E0DD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57C87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9D622C">
      <w:pPr>
        <w:spacing w:line="600" w:lineRule="exact"/>
        <w:ind w:firstLine="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1A423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38423D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D4406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D5EA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3ED13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050E776D">
      <w:pPr>
        <w:spacing w:line="600" w:lineRule="exact"/>
        <w:jc w:val="center"/>
        <w:rPr>
          <w:rStyle w:val="28"/>
          <w:rFonts w:hint="eastAsia" w:ascii="Times New Roman" w:hAnsi="Times New Roman" w:eastAsia="黑体"/>
          <w:b w:val="0"/>
          <w:color w:val="auto"/>
          <w:highlight w:val="none"/>
          <w:lang w:eastAsia="zh-CN"/>
        </w:rPr>
      </w:pPr>
      <w:bookmarkStart w:id="47" w:name="_Toc15396614"/>
      <w:bookmarkStart w:id="48"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E3F2F81">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部门整体支出自评报告</w:t>
      </w:r>
    </w:p>
    <w:p w14:paraId="3E685B4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cs="Times New Roman"/>
          <w:szCs w:val="32"/>
          <w:highlight w:val="none"/>
          <w:shd w:val="clear" w:color="auto" w:fill="FFFFFF"/>
        </w:rPr>
      </w:pPr>
      <w:r>
        <w:rPr>
          <w:rFonts w:hint="default" w:ascii="Times New Roman" w:hAnsi="Times New Roman" w:cs="Times New Roman"/>
          <w:szCs w:val="32"/>
          <w:highlight w:val="none"/>
          <w:shd w:val="clear" w:color="auto" w:fill="FFFFFF"/>
        </w:rPr>
        <w:t>（</w:t>
      </w:r>
      <w:r>
        <w:rPr>
          <w:rFonts w:hint="eastAsia" w:cs="Times New Roman"/>
          <w:szCs w:val="32"/>
          <w:highlight w:val="none"/>
          <w:shd w:val="clear" w:color="auto" w:fill="FFFFFF"/>
          <w:lang w:val="en-US" w:eastAsia="zh-CN"/>
        </w:rPr>
        <w:t>遂宁市公安局森林警察支队</w:t>
      </w:r>
      <w:r>
        <w:rPr>
          <w:rFonts w:hint="default" w:ascii="Times New Roman" w:hAnsi="Times New Roman" w:cs="Times New Roman"/>
          <w:szCs w:val="32"/>
          <w:highlight w:val="none"/>
          <w:shd w:val="clear" w:color="auto" w:fill="FFFFFF"/>
        </w:rPr>
        <w:t>）</w:t>
      </w:r>
    </w:p>
    <w:p w14:paraId="0E9E8F2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14:paraId="5EA0257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eastAsia" w:ascii="Times New Roman" w:hAnsi="Times New Roman" w:eastAsia="黑体" w:cs="Times New Roman"/>
          <w:color w:val="000000"/>
          <w:kern w:val="0"/>
          <w:sz w:val="33"/>
          <w:szCs w:val="33"/>
          <w:highlight w:val="none"/>
          <w:shd w:val="clear" w:color="auto" w:fill="FFFFFF"/>
          <w:lang w:val="zh-CN"/>
        </w:rPr>
        <w:t>一、</w:t>
      </w:r>
      <w:r>
        <w:rPr>
          <w:rFonts w:hint="default" w:ascii="Times New Roman" w:hAnsi="Times New Roman" w:eastAsia="黑体" w:cs="Times New Roman"/>
          <w:color w:val="000000"/>
          <w:kern w:val="0"/>
          <w:sz w:val="33"/>
          <w:szCs w:val="33"/>
          <w:highlight w:val="none"/>
          <w:shd w:val="clear" w:color="auto" w:fill="FFFFFF"/>
          <w:lang w:val="zh-CN"/>
        </w:rPr>
        <w:t>部门（单位）基本情况</w:t>
      </w:r>
    </w:p>
    <w:p w14:paraId="32A453D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47ECB53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本单位为独立编制机构，原下设机构遂宁市森林公安局办公室、案件侦查大队、西山派出所分别调整为遂宁市公安局森林警察支队办公室、案件侦查一大队、案件侦查二大队。</w:t>
      </w:r>
    </w:p>
    <w:p w14:paraId="5986CC2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sz w:val="33"/>
          <w:szCs w:val="33"/>
          <w:lang w:val="en-US" w:eastAsia="zh-CN"/>
        </w:rPr>
      </w:pPr>
      <w:r>
        <w:rPr>
          <w:rFonts w:hint="eastAsia" w:ascii="Times New Roman" w:hAnsi="Times New Roman" w:eastAsia="仿宋_GB2312" w:cs="仿宋_GB2312"/>
          <w:color w:val="auto"/>
          <w:kern w:val="2"/>
          <w:sz w:val="32"/>
          <w:szCs w:val="32"/>
          <w:highlight w:val="none"/>
          <w:lang w:val="en-US" w:eastAsia="zh-CN" w:bidi="ar-SA"/>
        </w:rPr>
        <w:t>遂宁市公安局森林警察支队原为遂宁市森林公安局，更名后调整为遂宁市公安局的内设机构，实行队建制。</w:t>
      </w:r>
    </w:p>
    <w:p w14:paraId="64BC294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01FD657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打击食药环类犯罪。</w:t>
      </w:r>
    </w:p>
    <w:p w14:paraId="5C9D9D6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778758F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sz w:val="33"/>
          <w:szCs w:val="33"/>
        </w:rPr>
      </w:pPr>
      <w:r>
        <w:rPr>
          <w:rFonts w:hint="eastAsia" w:ascii="Times New Roman" w:hAnsi="Times New Roman" w:eastAsia="仿宋_GB2312" w:cs="仿宋_GB2312"/>
          <w:color w:val="auto"/>
          <w:kern w:val="2"/>
          <w:sz w:val="32"/>
          <w:szCs w:val="32"/>
          <w:highlight w:val="none"/>
          <w:lang w:val="en-US" w:eastAsia="zh-CN" w:bidi="ar-SA"/>
        </w:rPr>
        <w:t>遂宁市公安局森林警察支队，截至2024年年末，在职民警16人，辅警7人，无退休人员。</w:t>
      </w:r>
    </w:p>
    <w:p w14:paraId="03E0468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1A9CC27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248A8AA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sz w:val="33"/>
          <w:szCs w:val="33"/>
          <w:lang w:val="en-US" w:eastAsia="zh-CN"/>
        </w:rPr>
      </w:pPr>
      <w:r>
        <w:rPr>
          <w:rFonts w:hint="eastAsia" w:ascii="Times New Roman" w:hAnsi="Times New Roman" w:eastAsia="仿宋_GB2312" w:cs="仿宋_GB2312"/>
          <w:color w:val="auto"/>
          <w:kern w:val="2"/>
          <w:sz w:val="32"/>
          <w:szCs w:val="32"/>
          <w:highlight w:val="none"/>
          <w:lang w:val="en-US" w:eastAsia="zh-CN" w:bidi="ar-SA"/>
        </w:rPr>
        <w:t>2024年遂宁市公安局森林警察支队年初预算453.60万元，其中年初财政拨款453.60万元，中期调整34.37万元，调整后预算收入总额为500.72万元。具体情况详见表2-2：</w:t>
      </w:r>
    </w:p>
    <w:p w14:paraId="2D0012F4">
      <w:pPr>
        <w:keepNext w:val="0"/>
        <w:keepLines w:val="0"/>
        <w:pageBreakBefore w:val="0"/>
        <w:widowControl/>
        <w:kinsoku/>
        <w:wordWrap/>
        <w:overflowPunct/>
        <w:topLinePunct w:val="0"/>
        <w:autoSpaceDE/>
        <w:autoSpaceDN/>
        <w:bidi w:val="0"/>
        <w:adjustRightInd/>
        <w:snapToGrid/>
        <w:spacing w:line="590" w:lineRule="exact"/>
        <w:ind w:right="0" w:rightChars="0"/>
        <w:contextualSpacing/>
        <w:jc w:val="center"/>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1</w:t>
      </w:r>
      <w:r>
        <w:rPr>
          <w:b/>
          <w:bCs/>
          <w:sz w:val="24"/>
          <w:szCs w:val="24"/>
          <w:highlight w:val="none"/>
        </w:rPr>
        <w:t xml:space="preserve"> 年度预算表</w:t>
      </w:r>
    </w:p>
    <w:tbl>
      <w:tblPr>
        <w:tblStyle w:val="15"/>
        <w:tblpPr w:leftFromText="180" w:rightFromText="180" w:vertAnchor="text" w:horzAnchor="page" w:tblpX="1872" w:tblpY="1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2074"/>
        <w:gridCol w:w="2081"/>
        <w:gridCol w:w="2081"/>
      </w:tblGrid>
      <w:tr w14:paraId="037E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66" w:type="dxa"/>
            <w:noWrap w:val="0"/>
            <w:vAlign w:val="top"/>
          </w:tcPr>
          <w:p w14:paraId="00A159E9">
            <w:pPr>
              <w:pStyle w:val="35"/>
              <w:rPr>
                <w:b/>
                <w:bCs w:val="0"/>
                <w:highlight w:val="none"/>
              </w:rPr>
            </w:pPr>
            <w:r>
              <w:rPr>
                <w:rFonts w:hint="eastAsia"/>
                <w:b/>
                <w:bCs w:val="0"/>
                <w:highlight w:val="none"/>
              </w:rPr>
              <w:t>项目名称</w:t>
            </w:r>
          </w:p>
        </w:tc>
        <w:tc>
          <w:tcPr>
            <w:tcW w:w="2074" w:type="dxa"/>
            <w:noWrap w:val="0"/>
            <w:vAlign w:val="top"/>
          </w:tcPr>
          <w:p w14:paraId="30E10C0D">
            <w:pPr>
              <w:pStyle w:val="35"/>
              <w:rPr>
                <w:b/>
                <w:bCs w:val="0"/>
                <w:highlight w:val="none"/>
              </w:rPr>
            </w:pPr>
            <w:r>
              <w:rPr>
                <w:rFonts w:hint="eastAsia"/>
                <w:b/>
                <w:bCs w:val="0"/>
                <w:highlight w:val="none"/>
              </w:rPr>
              <w:t>年初预算</w:t>
            </w:r>
          </w:p>
        </w:tc>
        <w:tc>
          <w:tcPr>
            <w:tcW w:w="2081" w:type="dxa"/>
            <w:noWrap w:val="0"/>
            <w:vAlign w:val="top"/>
          </w:tcPr>
          <w:p w14:paraId="6219727B">
            <w:pPr>
              <w:pStyle w:val="35"/>
              <w:rPr>
                <w:b/>
                <w:bCs w:val="0"/>
                <w:highlight w:val="none"/>
              </w:rPr>
            </w:pPr>
            <w:r>
              <w:rPr>
                <w:b/>
                <w:bCs w:val="0"/>
                <w:highlight w:val="none"/>
              </w:rPr>
              <w:t>中期调整</w:t>
            </w:r>
          </w:p>
        </w:tc>
        <w:tc>
          <w:tcPr>
            <w:tcW w:w="2081" w:type="dxa"/>
            <w:noWrap w:val="0"/>
            <w:vAlign w:val="top"/>
          </w:tcPr>
          <w:p w14:paraId="4F1683B6">
            <w:pPr>
              <w:pStyle w:val="35"/>
              <w:rPr>
                <w:b/>
                <w:bCs w:val="0"/>
                <w:highlight w:val="none"/>
              </w:rPr>
            </w:pPr>
            <w:r>
              <w:rPr>
                <w:b/>
                <w:bCs w:val="0"/>
                <w:highlight w:val="none"/>
              </w:rPr>
              <w:t>年度总预算</w:t>
            </w:r>
          </w:p>
        </w:tc>
      </w:tr>
      <w:tr w14:paraId="0900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noWrap w:val="0"/>
            <w:vAlign w:val="top"/>
          </w:tcPr>
          <w:p w14:paraId="0D381F12">
            <w:pPr>
              <w:pStyle w:val="35"/>
              <w:rPr>
                <w:highlight w:val="none"/>
              </w:rPr>
            </w:pPr>
            <w:r>
              <w:rPr>
                <w:rFonts w:hint="eastAsia"/>
                <w:highlight w:val="none"/>
              </w:rPr>
              <w:t>一、一般公共预算财政拨款收入</w:t>
            </w:r>
          </w:p>
        </w:tc>
        <w:tc>
          <w:tcPr>
            <w:tcW w:w="2074" w:type="dxa"/>
            <w:noWrap w:val="0"/>
            <w:vAlign w:val="top"/>
          </w:tcPr>
          <w:p w14:paraId="72ACEBFE">
            <w:pPr>
              <w:pStyle w:val="35"/>
              <w:rPr>
                <w:rFonts w:hint="eastAsia" w:eastAsia="仿宋"/>
                <w:highlight w:val="none"/>
                <w:lang w:eastAsia="zh-CN"/>
              </w:rPr>
            </w:pPr>
            <w:r>
              <w:rPr>
                <w:rFonts w:hint="eastAsia"/>
                <w:color w:val="000000"/>
                <w:kern w:val="0"/>
                <w:szCs w:val="32"/>
                <w:shd w:val="clear" w:color="auto" w:fill="FFFFFF"/>
                <w:lang w:val="zh-CN"/>
              </w:rPr>
              <w:t>453.6</w:t>
            </w:r>
            <w:r>
              <w:rPr>
                <w:rFonts w:hint="eastAsia"/>
                <w:color w:val="000000"/>
                <w:kern w:val="0"/>
                <w:szCs w:val="32"/>
                <w:shd w:val="clear" w:color="auto" w:fill="FFFFFF"/>
                <w:lang w:val="en-US" w:eastAsia="zh-CN"/>
              </w:rPr>
              <w:t>0</w:t>
            </w:r>
          </w:p>
        </w:tc>
        <w:tc>
          <w:tcPr>
            <w:tcW w:w="2081" w:type="dxa"/>
            <w:noWrap w:val="0"/>
            <w:vAlign w:val="top"/>
          </w:tcPr>
          <w:p w14:paraId="15A5803A">
            <w:pPr>
              <w:pStyle w:val="35"/>
              <w:rPr>
                <w:highlight w:val="none"/>
              </w:rPr>
            </w:pPr>
            <w:r>
              <w:rPr>
                <w:rFonts w:hint="eastAsia"/>
                <w:color w:val="000000"/>
                <w:kern w:val="0"/>
                <w:szCs w:val="32"/>
                <w:shd w:val="clear" w:color="auto" w:fill="FFFFFF"/>
                <w:lang w:val="en-US" w:eastAsia="zh-CN"/>
              </w:rPr>
              <w:t>34.37</w:t>
            </w:r>
          </w:p>
        </w:tc>
        <w:tc>
          <w:tcPr>
            <w:tcW w:w="2081" w:type="dxa"/>
            <w:noWrap w:val="0"/>
            <w:vAlign w:val="top"/>
          </w:tcPr>
          <w:p w14:paraId="4F059429">
            <w:pPr>
              <w:pStyle w:val="35"/>
              <w:rPr>
                <w:highlight w:val="none"/>
              </w:rPr>
            </w:pPr>
            <w:r>
              <w:rPr>
                <w:rFonts w:hint="eastAsia"/>
                <w:color w:val="000000"/>
                <w:kern w:val="0"/>
                <w:szCs w:val="32"/>
                <w:shd w:val="clear" w:color="auto" w:fill="FFFFFF"/>
                <w:lang w:val="en-US" w:eastAsia="zh-CN"/>
              </w:rPr>
              <w:t>487.97</w:t>
            </w:r>
          </w:p>
        </w:tc>
      </w:tr>
      <w:tr w14:paraId="087A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noWrap w:val="0"/>
            <w:vAlign w:val="top"/>
          </w:tcPr>
          <w:p w14:paraId="0F0AC39B">
            <w:pPr>
              <w:pStyle w:val="35"/>
              <w:rPr>
                <w:highlight w:val="none"/>
              </w:rPr>
            </w:pPr>
            <w:r>
              <w:rPr>
                <w:rFonts w:hint="eastAsia"/>
                <w:highlight w:val="none"/>
              </w:rPr>
              <w:t>二、其他收入</w:t>
            </w:r>
          </w:p>
        </w:tc>
        <w:tc>
          <w:tcPr>
            <w:tcW w:w="2074" w:type="dxa"/>
            <w:noWrap w:val="0"/>
            <w:vAlign w:val="top"/>
          </w:tcPr>
          <w:p w14:paraId="10150375">
            <w:pPr>
              <w:pStyle w:val="35"/>
              <w:jc w:val="center"/>
              <w:rPr>
                <w:highlight w:val="none"/>
              </w:rPr>
            </w:pPr>
            <w:r>
              <w:rPr>
                <w:rFonts w:hint="eastAsia"/>
                <w:highlight w:val="none"/>
              </w:rPr>
              <w:t>-</w:t>
            </w:r>
          </w:p>
        </w:tc>
        <w:tc>
          <w:tcPr>
            <w:tcW w:w="2081" w:type="dxa"/>
            <w:noWrap w:val="0"/>
            <w:vAlign w:val="top"/>
          </w:tcPr>
          <w:p w14:paraId="7977360C">
            <w:pPr>
              <w:pStyle w:val="35"/>
              <w:jc w:val="center"/>
              <w:rPr>
                <w:rFonts w:hint="eastAsia" w:eastAsia="仿宋"/>
                <w:highlight w:val="none"/>
                <w:lang w:val="en-US" w:eastAsia="zh-CN"/>
              </w:rPr>
            </w:pPr>
            <w:r>
              <w:rPr>
                <w:rFonts w:hint="eastAsia"/>
                <w:highlight w:val="none"/>
                <w:lang w:val="en-US" w:eastAsia="zh-CN"/>
              </w:rPr>
              <w:t>-</w:t>
            </w:r>
          </w:p>
        </w:tc>
        <w:tc>
          <w:tcPr>
            <w:tcW w:w="2081" w:type="dxa"/>
            <w:noWrap w:val="0"/>
            <w:vAlign w:val="top"/>
          </w:tcPr>
          <w:p w14:paraId="5142BFEE">
            <w:pPr>
              <w:pStyle w:val="35"/>
              <w:jc w:val="center"/>
              <w:rPr>
                <w:rFonts w:hint="default" w:eastAsia="仿宋"/>
                <w:highlight w:val="none"/>
                <w:lang w:val="en-US" w:eastAsia="zh-CN"/>
              </w:rPr>
            </w:pPr>
            <w:r>
              <w:rPr>
                <w:rFonts w:hint="eastAsia"/>
                <w:highlight w:val="none"/>
                <w:lang w:val="en-US" w:eastAsia="zh-CN"/>
              </w:rPr>
              <w:t>-</w:t>
            </w:r>
          </w:p>
        </w:tc>
      </w:tr>
      <w:tr w14:paraId="6682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noWrap w:val="0"/>
            <w:vAlign w:val="top"/>
          </w:tcPr>
          <w:p w14:paraId="68FEB0F7">
            <w:pPr>
              <w:pStyle w:val="35"/>
              <w:rPr>
                <w:highlight w:val="none"/>
              </w:rPr>
            </w:pPr>
            <w:r>
              <w:rPr>
                <w:rFonts w:hint="eastAsia"/>
                <w:highlight w:val="none"/>
              </w:rPr>
              <w:t>年初结转结余</w:t>
            </w:r>
          </w:p>
        </w:tc>
        <w:tc>
          <w:tcPr>
            <w:tcW w:w="2074" w:type="dxa"/>
            <w:noWrap w:val="0"/>
            <w:vAlign w:val="top"/>
          </w:tcPr>
          <w:p w14:paraId="0B864B34">
            <w:pPr>
              <w:pStyle w:val="35"/>
              <w:jc w:val="center"/>
              <w:rPr>
                <w:rFonts w:hint="eastAsia" w:eastAsia="仿宋"/>
                <w:highlight w:val="none"/>
                <w:lang w:val="en-US" w:eastAsia="zh-CN"/>
              </w:rPr>
            </w:pPr>
            <w:r>
              <w:rPr>
                <w:rFonts w:hint="eastAsia"/>
                <w:highlight w:val="none"/>
              </w:rPr>
              <w:t>-</w:t>
            </w:r>
          </w:p>
        </w:tc>
        <w:tc>
          <w:tcPr>
            <w:tcW w:w="2081" w:type="dxa"/>
            <w:noWrap w:val="0"/>
            <w:vAlign w:val="top"/>
          </w:tcPr>
          <w:p w14:paraId="2DC93299">
            <w:pPr>
              <w:pStyle w:val="35"/>
              <w:jc w:val="center"/>
              <w:rPr>
                <w:rFonts w:hint="default"/>
                <w:highlight w:val="none"/>
                <w:lang w:val="en-US"/>
              </w:rPr>
            </w:pPr>
            <w:r>
              <w:rPr>
                <w:rFonts w:hint="eastAsia"/>
                <w:highlight w:val="none"/>
                <w:lang w:val="en-US" w:eastAsia="zh-CN"/>
              </w:rPr>
              <w:t>12.75</w:t>
            </w:r>
          </w:p>
        </w:tc>
        <w:tc>
          <w:tcPr>
            <w:tcW w:w="2081" w:type="dxa"/>
            <w:noWrap w:val="0"/>
            <w:vAlign w:val="top"/>
          </w:tcPr>
          <w:p w14:paraId="0F55E4A5">
            <w:pPr>
              <w:pStyle w:val="35"/>
              <w:jc w:val="center"/>
              <w:rPr>
                <w:rFonts w:hint="eastAsia" w:eastAsia="仿宋"/>
                <w:highlight w:val="none"/>
                <w:lang w:val="en-US" w:eastAsia="zh-CN"/>
              </w:rPr>
            </w:pPr>
            <w:r>
              <w:rPr>
                <w:rFonts w:hint="eastAsia"/>
                <w:highlight w:val="none"/>
                <w:lang w:val="en-US" w:eastAsia="zh-CN"/>
              </w:rPr>
              <w:t>12.75</w:t>
            </w:r>
          </w:p>
        </w:tc>
      </w:tr>
      <w:tr w14:paraId="41E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6" w:type="dxa"/>
            <w:noWrap w:val="0"/>
            <w:vAlign w:val="top"/>
          </w:tcPr>
          <w:p w14:paraId="39694BB1">
            <w:pPr>
              <w:pStyle w:val="35"/>
              <w:rPr>
                <w:b/>
                <w:bCs w:val="0"/>
                <w:color w:val="FF0000"/>
                <w:highlight w:val="none"/>
              </w:rPr>
            </w:pPr>
            <w:r>
              <w:rPr>
                <w:rFonts w:hint="eastAsia"/>
                <w:b/>
                <w:bCs w:val="0"/>
                <w:highlight w:val="none"/>
              </w:rPr>
              <w:t>总计</w:t>
            </w:r>
          </w:p>
        </w:tc>
        <w:tc>
          <w:tcPr>
            <w:tcW w:w="2074" w:type="dxa"/>
            <w:noWrap w:val="0"/>
            <w:vAlign w:val="top"/>
          </w:tcPr>
          <w:p w14:paraId="5CAB124C">
            <w:pPr>
              <w:pStyle w:val="35"/>
              <w:rPr>
                <w:rFonts w:hint="eastAsia" w:eastAsia="仿宋"/>
                <w:b/>
                <w:bCs w:val="0"/>
                <w:sz w:val="21"/>
                <w:szCs w:val="21"/>
                <w:highlight w:val="none"/>
                <w:lang w:eastAsia="zh-CN"/>
              </w:rPr>
            </w:pPr>
            <w:r>
              <w:rPr>
                <w:rFonts w:hint="eastAsia"/>
                <w:color w:val="000000"/>
                <w:kern w:val="0"/>
                <w:szCs w:val="32"/>
                <w:shd w:val="clear" w:color="auto" w:fill="FFFFFF"/>
                <w:lang w:val="zh-CN"/>
              </w:rPr>
              <w:t>453.6</w:t>
            </w:r>
            <w:r>
              <w:rPr>
                <w:rFonts w:hint="eastAsia"/>
                <w:color w:val="000000"/>
                <w:kern w:val="0"/>
                <w:szCs w:val="32"/>
                <w:shd w:val="clear" w:color="auto" w:fill="FFFFFF"/>
                <w:lang w:val="en-US" w:eastAsia="zh-CN"/>
              </w:rPr>
              <w:t>0</w:t>
            </w:r>
          </w:p>
        </w:tc>
        <w:tc>
          <w:tcPr>
            <w:tcW w:w="2081" w:type="dxa"/>
            <w:noWrap w:val="0"/>
            <w:vAlign w:val="top"/>
          </w:tcPr>
          <w:p w14:paraId="389BC5FF">
            <w:pPr>
              <w:pStyle w:val="35"/>
              <w:rPr>
                <w:rFonts w:hint="default"/>
                <w:b/>
                <w:bCs w:val="0"/>
                <w:highlight w:val="none"/>
                <w:lang w:val="en-US"/>
              </w:rPr>
            </w:pPr>
            <w:r>
              <w:rPr>
                <w:rFonts w:hint="eastAsia"/>
                <w:color w:val="000000"/>
                <w:kern w:val="0"/>
                <w:szCs w:val="32"/>
                <w:shd w:val="clear" w:color="auto" w:fill="FFFFFF"/>
                <w:lang w:val="en-US" w:eastAsia="zh-CN"/>
              </w:rPr>
              <w:t>47.12</w:t>
            </w:r>
          </w:p>
        </w:tc>
        <w:tc>
          <w:tcPr>
            <w:tcW w:w="2081" w:type="dxa"/>
            <w:noWrap w:val="0"/>
            <w:vAlign w:val="top"/>
          </w:tcPr>
          <w:p w14:paraId="0A0741D0">
            <w:pPr>
              <w:pStyle w:val="35"/>
              <w:pBdr>
                <w:between w:val="none" w:color="auto" w:sz="0" w:space="0"/>
              </w:pBdr>
              <w:rPr>
                <w:rFonts w:hint="default"/>
                <w:b/>
                <w:bCs w:val="0"/>
                <w:highlight w:val="none"/>
                <w:lang w:val="en-US"/>
              </w:rPr>
            </w:pPr>
            <w:r>
              <w:rPr>
                <w:rFonts w:hint="eastAsia"/>
                <w:color w:val="000000"/>
                <w:kern w:val="0"/>
                <w:szCs w:val="32"/>
                <w:shd w:val="clear" w:color="auto" w:fill="FFFFFF"/>
                <w:lang w:val="en-US" w:eastAsia="zh-CN"/>
              </w:rPr>
              <w:t>500.72</w:t>
            </w:r>
          </w:p>
        </w:tc>
      </w:tr>
    </w:tbl>
    <w:p w14:paraId="61F130FE">
      <w:pPr>
        <w:keepNext w:val="0"/>
        <w:keepLines w:val="0"/>
        <w:pageBreakBefore w:val="0"/>
        <w:widowControl/>
        <w:kinsoku/>
        <w:wordWrap/>
        <w:overflowPunct/>
        <w:topLinePunct w:val="0"/>
        <w:autoSpaceDE/>
        <w:autoSpaceDN/>
        <w:bidi w:val="0"/>
        <w:adjustRightInd/>
        <w:snapToGrid/>
        <w:spacing w:line="590" w:lineRule="exact"/>
        <w:ind w:right="0" w:rightChars="0"/>
        <w:contextualSpacing/>
        <w:jc w:val="center"/>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p>
    <w:p w14:paraId="3D48AB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2A0EDD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sz w:val="33"/>
          <w:szCs w:val="33"/>
          <w:lang w:val="en-US" w:eastAsia="zh-CN"/>
        </w:rPr>
      </w:pPr>
      <w:r>
        <w:rPr>
          <w:rFonts w:hint="eastAsia" w:ascii="Times New Roman" w:hAnsi="Times New Roman" w:eastAsia="仿宋_GB2312" w:cs="仿宋_GB2312"/>
          <w:color w:val="auto"/>
          <w:kern w:val="2"/>
          <w:sz w:val="32"/>
          <w:szCs w:val="32"/>
          <w:highlight w:val="none"/>
          <w:lang w:val="en-US" w:eastAsia="zh-CN" w:bidi="ar-SA"/>
        </w:rPr>
        <w:t>遂宁市公安局森林警察支队2024年年初预算支出情况、决算报表支出情况。2024年度，遂宁市公安局森林警察支队财政支出年初预算为453.60万元，中期调整47.12万元，调整后预算支出总额为500.72万元，部门支出预算执行总额为497.97万元，部门总体执行进度为99.45%，其中：基本支出预算总额为429.54万元，基本支出执行总额为429.54万元，基本支出总体执行进度100%；项目支出预算总额为71.18万元，项目支出执行总额为68.43万元，项目支出总体执行进度96.14%。具体情况详见表2-2。</w:t>
      </w:r>
    </w:p>
    <w:p w14:paraId="338CEFC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482" w:firstLineChars="200"/>
        <w:contextualSpacing/>
        <w:jc w:val="center"/>
        <w:textAlignment w:val="auto"/>
        <w:outlineLvl w:val="9"/>
        <w:rPr>
          <w:rFonts w:hint="default" w:ascii="Times New Roman" w:hAnsi="Times New Roman" w:cs="Times New Roman"/>
          <w:sz w:val="33"/>
          <w:szCs w:val="33"/>
          <w:lang w:val="zh-CN" w:eastAsia="zh-CN"/>
        </w:rPr>
      </w:pPr>
      <w:r>
        <w:rPr>
          <w:rFonts w:hint="eastAsia"/>
          <w:b/>
          <w:bCs/>
          <w:sz w:val="24"/>
          <w:szCs w:val="24"/>
          <w:highlight w:val="none"/>
        </w:rPr>
        <w:t>表</w:t>
      </w:r>
      <w:r>
        <w:rPr>
          <w:b/>
          <w:bCs/>
          <w:sz w:val="24"/>
          <w:szCs w:val="24"/>
          <w:highlight w:val="none"/>
        </w:rPr>
        <w:t>2-2 年度预算执行表</w:t>
      </w:r>
    </w:p>
    <w:tbl>
      <w:tblPr>
        <w:tblStyle w:val="15"/>
        <w:tblpPr w:leftFromText="180" w:rightFromText="180" w:vertAnchor="text" w:horzAnchor="page" w:tblpX="1790"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156"/>
        <w:gridCol w:w="1389"/>
        <w:gridCol w:w="1389"/>
        <w:gridCol w:w="1390"/>
        <w:gridCol w:w="1383"/>
      </w:tblGrid>
      <w:tr w14:paraId="0E42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79AAEAD3">
            <w:pPr>
              <w:pStyle w:val="35"/>
              <w:rPr>
                <w:b/>
                <w:bCs w:val="0"/>
                <w:highlight w:val="none"/>
              </w:rPr>
            </w:pPr>
            <w:r>
              <w:rPr>
                <w:rFonts w:hint="eastAsia"/>
                <w:b/>
                <w:bCs w:val="0"/>
                <w:highlight w:val="none"/>
              </w:rPr>
              <w:t>项目名称</w:t>
            </w:r>
          </w:p>
        </w:tc>
        <w:tc>
          <w:tcPr>
            <w:tcW w:w="1156" w:type="dxa"/>
            <w:noWrap w:val="0"/>
            <w:vAlign w:val="top"/>
          </w:tcPr>
          <w:p w14:paraId="5894CC90">
            <w:pPr>
              <w:pStyle w:val="35"/>
              <w:rPr>
                <w:b/>
                <w:bCs w:val="0"/>
                <w:highlight w:val="none"/>
              </w:rPr>
            </w:pPr>
            <w:r>
              <w:rPr>
                <w:b/>
                <w:bCs w:val="0"/>
                <w:highlight w:val="none"/>
              </w:rPr>
              <w:t>年</w:t>
            </w:r>
            <w:r>
              <w:rPr>
                <w:rFonts w:hint="eastAsia"/>
                <w:b/>
                <w:bCs w:val="0"/>
                <w:highlight w:val="none"/>
                <w:lang w:val="en-US" w:eastAsia="zh-CN"/>
              </w:rPr>
              <w:t>初</w:t>
            </w:r>
            <w:r>
              <w:rPr>
                <w:b/>
                <w:bCs w:val="0"/>
                <w:highlight w:val="none"/>
              </w:rPr>
              <w:t>预算</w:t>
            </w:r>
          </w:p>
        </w:tc>
        <w:tc>
          <w:tcPr>
            <w:tcW w:w="1389" w:type="dxa"/>
            <w:noWrap w:val="0"/>
            <w:vAlign w:val="top"/>
          </w:tcPr>
          <w:p w14:paraId="32E27488">
            <w:pPr>
              <w:pStyle w:val="35"/>
              <w:rPr>
                <w:b/>
                <w:bCs w:val="0"/>
                <w:highlight w:val="none"/>
              </w:rPr>
            </w:pPr>
            <w:r>
              <w:rPr>
                <w:b/>
                <w:bCs w:val="0"/>
                <w:highlight w:val="none"/>
              </w:rPr>
              <w:t>中期调整</w:t>
            </w:r>
          </w:p>
        </w:tc>
        <w:tc>
          <w:tcPr>
            <w:tcW w:w="1389" w:type="dxa"/>
            <w:tcBorders>
              <w:bottom w:val="single" w:color="auto" w:sz="4" w:space="0"/>
            </w:tcBorders>
            <w:noWrap w:val="0"/>
            <w:vAlign w:val="top"/>
          </w:tcPr>
          <w:p w14:paraId="4EFC7C1E">
            <w:pPr>
              <w:pStyle w:val="35"/>
              <w:rPr>
                <w:b/>
                <w:bCs w:val="0"/>
                <w:highlight w:val="none"/>
              </w:rPr>
            </w:pPr>
            <w:r>
              <w:rPr>
                <w:b/>
                <w:bCs w:val="0"/>
                <w:highlight w:val="none"/>
              </w:rPr>
              <w:t>年</w:t>
            </w:r>
            <w:r>
              <w:rPr>
                <w:rFonts w:hint="eastAsia"/>
                <w:b/>
                <w:bCs w:val="0"/>
                <w:highlight w:val="none"/>
                <w:lang w:val="en-US" w:eastAsia="zh-CN"/>
              </w:rPr>
              <w:t>度</w:t>
            </w:r>
            <w:r>
              <w:rPr>
                <w:b/>
                <w:bCs w:val="0"/>
                <w:highlight w:val="none"/>
              </w:rPr>
              <w:t>总预算</w:t>
            </w:r>
          </w:p>
        </w:tc>
        <w:tc>
          <w:tcPr>
            <w:tcW w:w="1390" w:type="dxa"/>
            <w:tcBorders>
              <w:bottom w:val="single" w:color="auto" w:sz="4" w:space="0"/>
            </w:tcBorders>
            <w:noWrap w:val="0"/>
            <w:vAlign w:val="top"/>
          </w:tcPr>
          <w:p w14:paraId="24583A6F">
            <w:pPr>
              <w:pStyle w:val="35"/>
              <w:rPr>
                <w:b/>
                <w:bCs w:val="0"/>
                <w:highlight w:val="none"/>
              </w:rPr>
            </w:pPr>
            <w:r>
              <w:rPr>
                <w:b/>
                <w:bCs w:val="0"/>
                <w:highlight w:val="none"/>
              </w:rPr>
              <w:t>预算执行</w:t>
            </w:r>
          </w:p>
        </w:tc>
        <w:tc>
          <w:tcPr>
            <w:tcW w:w="1383" w:type="dxa"/>
            <w:noWrap w:val="0"/>
            <w:vAlign w:val="top"/>
          </w:tcPr>
          <w:p w14:paraId="5FCB96EA">
            <w:pPr>
              <w:pStyle w:val="35"/>
              <w:rPr>
                <w:b/>
                <w:bCs w:val="0"/>
                <w:highlight w:val="none"/>
              </w:rPr>
            </w:pPr>
            <w:r>
              <w:rPr>
                <w:b/>
                <w:bCs w:val="0"/>
                <w:highlight w:val="none"/>
              </w:rPr>
              <w:t>执行率（%）</w:t>
            </w:r>
          </w:p>
        </w:tc>
      </w:tr>
      <w:tr w14:paraId="4B8B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6A7898AC">
            <w:pPr>
              <w:pStyle w:val="35"/>
              <w:rPr>
                <w:highlight w:val="none"/>
              </w:rPr>
            </w:pPr>
            <w:r>
              <w:rPr>
                <w:rFonts w:hint="eastAsia"/>
                <w:highlight w:val="none"/>
              </w:rPr>
              <w:t>一、基本支出</w:t>
            </w:r>
          </w:p>
        </w:tc>
        <w:tc>
          <w:tcPr>
            <w:tcW w:w="1156" w:type="dxa"/>
            <w:noWrap w:val="0"/>
            <w:vAlign w:val="top"/>
          </w:tcPr>
          <w:p w14:paraId="1C41ABEC">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411.60</w:t>
            </w:r>
          </w:p>
        </w:tc>
        <w:tc>
          <w:tcPr>
            <w:tcW w:w="1389" w:type="dxa"/>
            <w:tcBorders>
              <w:top w:val="nil"/>
              <w:left w:val="nil"/>
              <w:bottom w:val="single" w:color="auto" w:sz="4" w:space="0"/>
              <w:right w:val="single" w:color="auto" w:sz="8" w:space="0"/>
            </w:tcBorders>
            <w:noWrap w:val="0"/>
            <w:vAlign w:val="top"/>
          </w:tcPr>
          <w:p w14:paraId="05EF5FE1">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17.94</w:t>
            </w:r>
          </w:p>
        </w:tc>
        <w:tc>
          <w:tcPr>
            <w:tcW w:w="1389" w:type="dxa"/>
            <w:tcBorders>
              <w:top w:val="single" w:color="auto" w:sz="4" w:space="0"/>
              <w:left w:val="nil"/>
              <w:bottom w:val="single" w:color="auto" w:sz="4" w:space="0"/>
              <w:right w:val="single" w:color="auto" w:sz="4" w:space="0"/>
            </w:tcBorders>
            <w:noWrap w:val="0"/>
            <w:vAlign w:val="top"/>
          </w:tcPr>
          <w:p w14:paraId="141F4121">
            <w:pPr>
              <w:widowControl/>
              <w:jc w:val="center"/>
              <w:rPr>
                <w:rFonts w:hint="default" w:ascii="Times New Roman" w:hAnsi="Times New Roman" w:cs="Times New Roman"/>
                <w:highlight w:val="none"/>
                <w:lang w:val="en-US"/>
              </w:rPr>
            </w:pPr>
            <w:r>
              <w:rPr>
                <w:rFonts w:hint="eastAsia" w:ascii="Times New Roman" w:hAnsi="Times New Roman" w:cs="Times New Roman"/>
                <w:color w:val="000000"/>
                <w:kern w:val="0"/>
                <w:sz w:val="22"/>
                <w:szCs w:val="22"/>
                <w:highlight w:val="none"/>
                <w:lang w:val="en-US" w:eastAsia="zh-CN"/>
              </w:rPr>
              <w:t>429.54</w:t>
            </w:r>
          </w:p>
        </w:tc>
        <w:tc>
          <w:tcPr>
            <w:tcW w:w="1390" w:type="dxa"/>
            <w:tcBorders>
              <w:top w:val="single" w:color="auto" w:sz="4" w:space="0"/>
              <w:left w:val="single" w:color="auto" w:sz="4" w:space="0"/>
              <w:bottom w:val="single" w:color="auto" w:sz="4" w:space="0"/>
              <w:right w:val="nil"/>
            </w:tcBorders>
            <w:noWrap w:val="0"/>
            <w:vAlign w:val="top"/>
          </w:tcPr>
          <w:p w14:paraId="6CCED740">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429.54</w:t>
            </w:r>
          </w:p>
        </w:tc>
        <w:tc>
          <w:tcPr>
            <w:tcW w:w="1383" w:type="dxa"/>
            <w:noWrap w:val="0"/>
            <w:vAlign w:val="top"/>
          </w:tcPr>
          <w:p w14:paraId="1D6F3987">
            <w:pPr>
              <w:pStyle w:val="35"/>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6DB8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3FB138DF">
            <w:pPr>
              <w:pStyle w:val="35"/>
              <w:rPr>
                <w:highlight w:val="none"/>
              </w:rPr>
            </w:pPr>
            <w:r>
              <w:rPr>
                <w:highlight w:val="none"/>
              </w:rPr>
              <w:t xml:space="preserve">    人员经费</w:t>
            </w:r>
          </w:p>
        </w:tc>
        <w:tc>
          <w:tcPr>
            <w:tcW w:w="1156" w:type="dxa"/>
            <w:noWrap w:val="0"/>
            <w:vAlign w:val="top"/>
          </w:tcPr>
          <w:p w14:paraId="191C44DF">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319.86</w:t>
            </w:r>
          </w:p>
        </w:tc>
        <w:tc>
          <w:tcPr>
            <w:tcW w:w="1389" w:type="dxa"/>
            <w:tcBorders>
              <w:top w:val="nil"/>
              <w:left w:val="nil"/>
              <w:bottom w:val="single" w:color="auto" w:sz="4" w:space="0"/>
              <w:right w:val="single" w:color="auto" w:sz="8" w:space="0"/>
            </w:tcBorders>
            <w:noWrap w:val="0"/>
            <w:vAlign w:val="top"/>
          </w:tcPr>
          <w:p w14:paraId="6F7F95A2">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35.6</w:t>
            </w:r>
          </w:p>
        </w:tc>
        <w:tc>
          <w:tcPr>
            <w:tcW w:w="1389" w:type="dxa"/>
            <w:tcBorders>
              <w:top w:val="single" w:color="auto" w:sz="4" w:space="0"/>
              <w:left w:val="nil"/>
              <w:bottom w:val="single" w:color="auto" w:sz="4" w:space="0"/>
              <w:right w:val="single" w:color="auto" w:sz="4" w:space="0"/>
            </w:tcBorders>
            <w:noWrap w:val="0"/>
            <w:vAlign w:val="top"/>
          </w:tcPr>
          <w:p w14:paraId="523DF182">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355.46</w:t>
            </w:r>
          </w:p>
        </w:tc>
        <w:tc>
          <w:tcPr>
            <w:tcW w:w="1390" w:type="dxa"/>
            <w:tcBorders>
              <w:top w:val="single" w:color="auto" w:sz="4" w:space="0"/>
              <w:left w:val="single" w:color="auto" w:sz="4" w:space="0"/>
              <w:bottom w:val="single" w:color="auto" w:sz="4" w:space="0"/>
              <w:right w:val="nil"/>
            </w:tcBorders>
            <w:noWrap w:val="0"/>
            <w:vAlign w:val="top"/>
          </w:tcPr>
          <w:p w14:paraId="2FF56239">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355.46</w:t>
            </w:r>
          </w:p>
        </w:tc>
        <w:tc>
          <w:tcPr>
            <w:tcW w:w="1383" w:type="dxa"/>
            <w:noWrap w:val="0"/>
            <w:vAlign w:val="top"/>
          </w:tcPr>
          <w:p w14:paraId="1AA8FC5A">
            <w:pPr>
              <w:pStyle w:val="35"/>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41C3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75C034D4">
            <w:pPr>
              <w:pStyle w:val="35"/>
              <w:rPr>
                <w:highlight w:val="none"/>
              </w:rPr>
            </w:pPr>
            <w:r>
              <w:rPr>
                <w:rFonts w:hint="eastAsia"/>
                <w:highlight w:val="none"/>
              </w:rPr>
              <w:t>公用经费</w:t>
            </w:r>
          </w:p>
        </w:tc>
        <w:tc>
          <w:tcPr>
            <w:tcW w:w="1156" w:type="dxa"/>
            <w:noWrap w:val="0"/>
            <w:vAlign w:val="top"/>
          </w:tcPr>
          <w:p w14:paraId="62E467CF">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ascii="Times New Roman" w:hAnsi="Times New Roman" w:cs="Times New Roman"/>
                <w:color w:val="000000"/>
                <w:kern w:val="0"/>
                <w:sz w:val="22"/>
                <w:szCs w:val="22"/>
                <w:highlight w:val="none"/>
                <w:lang w:val="en-US" w:eastAsia="zh-CN"/>
              </w:rPr>
              <w:t>91.74</w:t>
            </w:r>
          </w:p>
        </w:tc>
        <w:tc>
          <w:tcPr>
            <w:tcW w:w="1389" w:type="dxa"/>
            <w:tcBorders>
              <w:top w:val="nil"/>
              <w:left w:val="nil"/>
              <w:bottom w:val="single" w:color="auto" w:sz="4" w:space="0"/>
              <w:right w:val="single" w:color="auto" w:sz="8" w:space="0"/>
            </w:tcBorders>
            <w:noWrap w:val="0"/>
            <w:vAlign w:val="top"/>
          </w:tcPr>
          <w:p w14:paraId="54A1752C">
            <w:pPr>
              <w:widowControl/>
              <w:jc w:val="center"/>
              <w:rPr>
                <w:rFonts w:hint="default" w:ascii="Times New Roman" w:hAnsi="Times New Roman" w:eastAsia="仿宋" w:cs="Times New Roman"/>
                <w:highlight w:val="none"/>
                <w:lang w:val="en-US" w:eastAsia="zh-CN"/>
              </w:rPr>
            </w:pPr>
            <w:r>
              <w:rPr>
                <w:rFonts w:hint="eastAsia" w:ascii="Times New Roman" w:hAnsi="Times New Roman" w:cs="Times New Roman"/>
                <w:color w:val="000000"/>
                <w:kern w:val="0"/>
                <w:sz w:val="22"/>
                <w:szCs w:val="22"/>
                <w:highlight w:val="none"/>
                <w:lang w:val="en-US" w:eastAsia="zh-CN"/>
              </w:rPr>
              <w:t>-17.66</w:t>
            </w:r>
          </w:p>
        </w:tc>
        <w:tc>
          <w:tcPr>
            <w:tcW w:w="1389" w:type="dxa"/>
            <w:tcBorders>
              <w:top w:val="single" w:color="auto" w:sz="4" w:space="0"/>
              <w:left w:val="nil"/>
              <w:bottom w:val="single" w:color="auto" w:sz="4" w:space="0"/>
              <w:right w:val="single" w:color="auto" w:sz="4" w:space="0"/>
            </w:tcBorders>
            <w:noWrap w:val="0"/>
            <w:vAlign w:val="top"/>
          </w:tcPr>
          <w:p w14:paraId="670FDD9F">
            <w:pPr>
              <w:widowControl/>
              <w:jc w:val="center"/>
              <w:rPr>
                <w:rFonts w:hint="default" w:ascii="Times New Roman" w:hAnsi="Times New Roman" w:cs="Times New Roman"/>
                <w:highlight w:val="none"/>
                <w:lang w:val="en-US"/>
              </w:rPr>
            </w:pPr>
            <w:r>
              <w:rPr>
                <w:rFonts w:hint="eastAsia" w:ascii="Times New Roman" w:hAnsi="Times New Roman" w:cs="Times New Roman"/>
                <w:color w:val="000000"/>
                <w:kern w:val="0"/>
                <w:sz w:val="22"/>
                <w:szCs w:val="22"/>
                <w:highlight w:val="none"/>
                <w:lang w:val="en-US" w:eastAsia="zh-CN"/>
              </w:rPr>
              <w:t>74.08</w:t>
            </w:r>
          </w:p>
        </w:tc>
        <w:tc>
          <w:tcPr>
            <w:tcW w:w="1390" w:type="dxa"/>
            <w:tcBorders>
              <w:top w:val="single" w:color="auto" w:sz="4" w:space="0"/>
              <w:left w:val="single" w:color="auto" w:sz="4" w:space="0"/>
              <w:bottom w:val="single" w:color="auto" w:sz="4" w:space="0"/>
              <w:right w:val="nil"/>
            </w:tcBorders>
            <w:noWrap w:val="0"/>
            <w:vAlign w:val="top"/>
          </w:tcPr>
          <w:p w14:paraId="27939B65">
            <w:pPr>
              <w:widowControl/>
              <w:jc w:val="center"/>
              <w:rPr>
                <w:rFonts w:hint="default" w:ascii="Times New Roman" w:hAnsi="Times New Roman" w:cs="Times New Roman"/>
                <w:highlight w:val="none"/>
              </w:rPr>
            </w:pPr>
            <w:r>
              <w:rPr>
                <w:rFonts w:hint="eastAsia" w:ascii="Times New Roman" w:hAnsi="Times New Roman" w:cs="Times New Roman"/>
                <w:color w:val="000000"/>
                <w:kern w:val="0"/>
                <w:sz w:val="22"/>
                <w:szCs w:val="22"/>
                <w:highlight w:val="none"/>
                <w:lang w:val="en-US" w:eastAsia="zh-CN"/>
              </w:rPr>
              <w:t>74.08</w:t>
            </w:r>
          </w:p>
        </w:tc>
        <w:tc>
          <w:tcPr>
            <w:tcW w:w="1383" w:type="dxa"/>
            <w:noWrap w:val="0"/>
            <w:vAlign w:val="top"/>
          </w:tcPr>
          <w:p w14:paraId="484F1553">
            <w:pPr>
              <w:pStyle w:val="35"/>
              <w:jc w:val="center"/>
              <w:rPr>
                <w:rFonts w:hint="default" w:ascii="Times New Roman" w:hAnsi="Times New Roman" w:cs="Times New Roman"/>
                <w:highlight w:val="none"/>
              </w:rPr>
            </w:pPr>
            <w:r>
              <w:rPr>
                <w:rFonts w:hint="default" w:ascii="Times New Roman" w:hAnsi="Times New Roman" w:cs="Times New Roman"/>
                <w:highlight w:val="none"/>
              </w:rPr>
              <w:t>100%</w:t>
            </w:r>
          </w:p>
        </w:tc>
      </w:tr>
      <w:tr w14:paraId="52DE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noWrap w:val="0"/>
            <w:vAlign w:val="top"/>
          </w:tcPr>
          <w:p w14:paraId="26CE9366">
            <w:pPr>
              <w:pStyle w:val="35"/>
              <w:rPr>
                <w:highlight w:val="none"/>
              </w:rPr>
            </w:pPr>
            <w:r>
              <w:rPr>
                <w:rFonts w:hint="eastAsia"/>
                <w:highlight w:val="none"/>
              </w:rPr>
              <w:t>二、项目支出</w:t>
            </w:r>
          </w:p>
        </w:tc>
        <w:tc>
          <w:tcPr>
            <w:tcW w:w="1156" w:type="dxa"/>
            <w:noWrap w:val="0"/>
            <w:vAlign w:val="top"/>
          </w:tcPr>
          <w:p w14:paraId="13ACD042">
            <w:pPr>
              <w:widowControl/>
              <w:jc w:val="center"/>
              <w:rPr>
                <w:rFonts w:hint="eastAsia" w:ascii="Times New Roman" w:hAnsi="Times New Roman" w:eastAsia="仿宋_GB2312" w:cs="Times New Roman"/>
                <w:color w:val="000000"/>
                <w:kern w:val="0"/>
                <w:sz w:val="22"/>
                <w:szCs w:val="22"/>
                <w:highlight w:val="none"/>
                <w:lang w:val="en-US" w:eastAsia="zh-CN"/>
              </w:rPr>
            </w:pPr>
            <w:r>
              <w:rPr>
                <w:rFonts w:hint="default" w:ascii="Times New Roman" w:hAnsi="Times New Roman" w:cs="Times New Roman"/>
                <w:color w:val="000000"/>
                <w:kern w:val="0"/>
                <w:sz w:val="22"/>
                <w:szCs w:val="22"/>
                <w:highlight w:val="none"/>
              </w:rPr>
              <w:t>42</w:t>
            </w:r>
            <w:r>
              <w:rPr>
                <w:rFonts w:hint="eastAsia" w:ascii="Times New Roman" w:hAnsi="Times New Roman" w:cs="Times New Roman"/>
                <w:color w:val="000000"/>
                <w:kern w:val="0"/>
                <w:sz w:val="22"/>
                <w:szCs w:val="22"/>
                <w:highlight w:val="none"/>
                <w:lang w:eastAsia="zh-CN"/>
              </w:rPr>
              <w:t>.</w:t>
            </w:r>
            <w:r>
              <w:rPr>
                <w:rFonts w:hint="default" w:ascii="Times New Roman" w:hAnsi="Times New Roman" w:cs="Times New Roman"/>
                <w:color w:val="000000"/>
                <w:kern w:val="0"/>
                <w:sz w:val="22"/>
                <w:szCs w:val="22"/>
                <w:highlight w:val="none"/>
              </w:rPr>
              <w:t>00</w:t>
            </w:r>
          </w:p>
        </w:tc>
        <w:tc>
          <w:tcPr>
            <w:tcW w:w="1389" w:type="dxa"/>
            <w:tcBorders>
              <w:top w:val="nil"/>
              <w:left w:val="nil"/>
              <w:bottom w:val="single" w:color="auto" w:sz="4" w:space="0"/>
              <w:right w:val="single" w:color="auto" w:sz="8" w:space="0"/>
            </w:tcBorders>
            <w:noWrap w:val="0"/>
            <w:vAlign w:val="top"/>
          </w:tcPr>
          <w:p w14:paraId="6B56A7DC">
            <w:pPr>
              <w:widowControl/>
              <w:jc w:val="center"/>
              <w:rPr>
                <w:rFonts w:hint="default" w:ascii="Times New Roman" w:hAnsi="Times New Roman" w:eastAsia="仿宋" w:cs="Times New Roman"/>
                <w:highlight w:val="none"/>
                <w:lang w:val="en-US" w:eastAsia="zh-CN"/>
              </w:rPr>
            </w:pPr>
            <w:r>
              <w:rPr>
                <w:rFonts w:hint="eastAsia" w:eastAsia="仿宋" w:cs="Times New Roman"/>
                <w:color w:val="000000"/>
                <w:kern w:val="0"/>
                <w:sz w:val="22"/>
                <w:szCs w:val="22"/>
                <w:highlight w:val="none"/>
                <w:lang w:val="en-US" w:eastAsia="zh-CN"/>
              </w:rPr>
              <w:t>29.18</w:t>
            </w:r>
          </w:p>
        </w:tc>
        <w:tc>
          <w:tcPr>
            <w:tcW w:w="1389" w:type="dxa"/>
            <w:tcBorders>
              <w:top w:val="single" w:color="auto" w:sz="4" w:space="0"/>
              <w:left w:val="nil"/>
              <w:bottom w:val="single" w:color="auto" w:sz="4" w:space="0"/>
              <w:right w:val="single" w:color="auto" w:sz="4" w:space="0"/>
            </w:tcBorders>
            <w:noWrap w:val="0"/>
            <w:vAlign w:val="top"/>
          </w:tcPr>
          <w:p w14:paraId="0DCA6F5A">
            <w:pPr>
              <w:widowControl/>
              <w:jc w:val="center"/>
              <w:rPr>
                <w:rFonts w:hint="default" w:ascii="Times New Roman" w:hAnsi="Times New Roman" w:eastAsia="仿宋_GB2312" w:cs="Times New Roman"/>
                <w:highlight w:val="none"/>
                <w:lang w:val="en-US" w:eastAsia="zh-CN"/>
              </w:rPr>
            </w:pPr>
            <w:r>
              <w:rPr>
                <w:rFonts w:hint="eastAsia" w:cs="Times New Roman"/>
                <w:color w:val="000000"/>
                <w:kern w:val="0"/>
                <w:sz w:val="22"/>
                <w:szCs w:val="22"/>
                <w:highlight w:val="none"/>
                <w:lang w:val="en-US" w:eastAsia="zh-CN"/>
              </w:rPr>
              <w:t>71.18</w:t>
            </w:r>
          </w:p>
        </w:tc>
        <w:tc>
          <w:tcPr>
            <w:tcW w:w="1390" w:type="dxa"/>
            <w:tcBorders>
              <w:top w:val="single" w:color="auto" w:sz="4" w:space="0"/>
              <w:left w:val="single" w:color="auto" w:sz="4" w:space="0"/>
              <w:bottom w:val="single" w:color="auto" w:sz="4" w:space="0"/>
              <w:right w:val="nil"/>
            </w:tcBorders>
            <w:noWrap w:val="0"/>
            <w:vAlign w:val="top"/>
          </w:tcPr>
          <w:p w14:paraId="6CD6897F">
            <w:pPr>
              <w:widowControl/>
              <w:jc w:val="center"/>
              <w:rPr>
                <w:rFonts w:hint="default" w:ascii="Times New Roman" w:hAnsi="Times New Roman" w:cs="Times New Roman"/>
                <w:highlight w:val="none"/>
              </w:rPr>
            </w:pPr>
            <w:r>
              <w:rPr>
                <w:rFonts w:hint="eastAsia" w:cs="Times New Roman"/>
                <w:color w:val="000000"/>
                <w:kern w:val="0"/>
                <w:sz w:val="22"/>
                <w:szCs w:val="22"/>
                <w:highlight w:val="none"/>
                <w:lang w:val="en-US" w:eastAsia="zh-CN"/>
              </w:rPr>
              <w:t>68.43</w:t>
            </w:r>
          </w:p>
        </w:tc>
        <w:tc>
          <w:tcPr>
            <w:tcW w:w="1383" w:type="dxa"/>
            <w:noWrap w:val="0"/>
            <w:vAlign w:val="top"/>
          </w:tcPr>
          <w:p w14:paraId="0582B231">
            <w:pPr>
              <w:widowControl/>
              <w:jc w:val="center"/>
              <w:rPr>
                <w:rFonts w:hint="default" w:ascii="Times New Roman" w:hAnsi="Times New Roman" w:eastAsia="仿宋_GB2312" w:cs="Times New Roman"/>
                <w:color w:val="000000"/>
                <w:kern w:val="0"/>
                <w:sz w:val="22"/>
                <w:szCs w:val="22"/>
                <w:highlight w:val="none"/>
                <w:lang w:val="en-US" w:eastAsia="zh-CN"/>
              </w:rPr>
            </w:pPr>
            <w:r>
              <w:rPr>
                <w:rFonts w:hint="eastAsia" w:cs="Times New Roman"/>
                <w:color w:val="000000"/>
                <w:kern w:val="0"/>
                <w:sz w:val="22"/>
                <w:szCs w:val="22"/>
                <w:highlight w:val="none"/>
                <w:lang w:val="en-US" w:eastAsia="zh-CN"/>
              </w:rPr>
              <w:t>96.14</w:t>
            </w:r>
            <w:r>
              <w:rPr>
                <w:rFonts w:hint="eastAsia" w:ascii="Times New Roman" w:hAnsi="Times New Roman" w:cs="Times New Roman"/>
                <w:color w:val="000000"/>
                <w:kern w:val="0"/>
                <w:sz w:val="22"/>
                <w:szCs w:val="22"/>
                <w:highlight w:val="none"/>
                <w:lang w:val="en-US" w:eastAsia="zh-CN"/>
              </w:rPr>
              <w:t>%</w:t>
            </w:r>
          </w:p>
        </w:tc>
      </w:tr>
      <w:tr w14:paraId="77E0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95" w:type="dxa"/>
            <w:noWrap w:val="0"/>
            <w:vAlign w:val="top"/>
          </w:tcPr>
          <w:p w14:paraId="1DE6462B">
            <w:pPr>
              <w:pStyle w:val="35"/>
              <w:rPr>
                <w:highlight w:val="none"/>
              </w:rPr>
            </w:pPr>
            <w:r>
              <w:rPr>
                <w:rFonts w:hint="eastAsia"/>
                <w:b w:val="0"/>
                <w:bCs/>
                <w:highlight w:val="none"/>
              </w:rPr>
              <w:t>总计</w:t>
            </w:r>
          </w:p>
        </w:tc>
        <w:tc>
          <w:tcPr>
            <w:tcW w:w="1156" w:type="dxa"/>
            <w:noWrap w:val="0"/>
            <w:vAlign w:val="top"/>
          </w:tcPr>
          <w:p w14:paraId="60A07B69">
            <w:pPr>
              <w:pStyle w:val="35"/>
              <w:jc w:val="center"/>
              <w:rPr>
                <w:rFonts w:hint="eastAsia" w:ascii="Times New Roman" w:hAnsi="Times New Roman" w:eastAsia="仿宋" w:cs="Times New Roman"/>
                <w:highlight w:val="none"/>
                <w:lang w:eastAsia="zh-CN"/>
              </w:rPr>
            </w:pPr>
            <w:r>
              <w:rPr>
                <w:rFonts w:hint="eastAsia"/>
                <w:b w:val="0"/>
                <w:bCs/>
                <w:color w:val="000000"/>
                <w:kern w:val="0"/>
                <w:szCs w:val="32"/>
                <w:shd w:val="clear" w:color="auto" w:fill="FFFFFF"/>
                <w:lang w:val="zh-CN"/>
              </w:rPr>
              <w:t>453.60</w:t>
            </w:r>
          </w:p>
        </w:tc>
        <w:tc>
          <w:tcPr>
            <w:tcW w:w="1389" w:type="dxa"/>
            <w:tcBorders>
              <w:top w:val="nil"/>
              <w:left w:val="nil"/>
              <w:bottom w:val="single" w:color="auto" w:sz="4" w:space="0"/>
              <w:right w:val="single" w:color="auto" w:sz="8" w:space="0"/>
            </w:tcBorders>
            <w:noWrap w:val="0"/>
            <w:vAlign w:val="top"/>
          </w:tcPr>
          <w:p w14:paraId="2623BB02">
            <w:pPr>
              <w:pStyle w:val="35"/>
              <w:ind w:firstLine="0" w:firstLineChars="0"/>
              <w:jc w:val="center"/>
              <w:rPr>
                <w:rFonts w:hint="default" w:ascii="Times New Roman" w:hAnsi="Times New Roman" w:eastAsia="仿宋" w:cs="Times New Roman"/>
                <w:b/>
                <w:bCs w:val="0"/>
                <w:highlight w:val="none"/>
                <w:lang w:val="en-US" w:eastAsia="zh-CN"/>
              </w:rPr>
            </w:pPr>
            <w:r>
              <w:rPr>
                <w:rFonts w:hint="eastAsia"/>
                <w:color w:val="000000"/>
                <w:kern w:val="0"/>
                <w:szCs w:val="32"/>
                <w:shd w:val="clear" w:color="auto" w:fill="FFFFFF"/>
                <w:lang w:val="en-US" w:eastAsia="zh-CN"/>
              </w:rPr>
              <w:t>47.12</w:t>
            </w:r>
          </w:p>
        </w:tc>
        <w:tc>
          <w:tcPr>
            <w:tcW w:w="1389" w:type="dxa"/>
            <w:tcBorders>
              <w:top w:val="single" w:color="auto" w:sz="4" w:space="0"/>
              <w:left w:val="nil"/>
              <w:bottom w:val="single" w:color="auto" w:sz="4" w:space="0"/>
              <w:right w:val="single" w:color="auto" w:sz="4" w:space="0"/>
            </w:tcBorders>
            <w:noWrap w:val="0"/>
            <w:vAlign w:val="top"/>
          </w:tcPr>
          <w:p w14:paraId="0EDBFF49">
            <w:pPr>
              <w:pStyle w:val="35"/>
              <w:ind w:firstLine="0" w:firstLineChars="0"/>
              <w:jc w:val="center"/>
              <w:rPr>
                <w:rFonts w:hint="default" w:ascii="Times New Roman" w:hAnsi="Times New Roman" w:eastAsia="仿宋_GB2312" w:cs="Times New Roman"/>
                <w:b/>
                <w:color w:val="000000"/>
                <w:kern w:val="0"/>
                <w:sz w:val="22"/>
                <w:szCs w:val="22"/>
                <w:highlight w:val="none"/>
                <w:lang w:val="en-US" w:eastAsia="zh-CN"/>
              </w:rPr>
            </w:pPr>
            <w:r>
              <w:rPr>
                <w:rFonts w:hint="eastAsia"/>
                <w:color w:val="000000"/>
                <w:kern w:val="0"/>
                <w:szCs w:val="32"/>
                <w:shd w:val="clear" w:color="auto" w:fill="FFFFFF"/>
                <w:lang w:val="en-US" w:eastAsia="zh-CN"/>
              </w:rPr>
              <w:t>500.72</w:t>
            </w:r>
          </w:p>
        </w:tc>
        <w:tc>
          <w:tcPr>
            <w:tcW w:w="1390" w:type="dxa"/>
            <w:tcBorders>
              <w:top w:val="single" w:color="auto" w:sz="4" w:space="0"/>
              <w:left w:val="single" w:color="auto" w:sz="4" w:space="0"/>
              <w:bottom w:val="single" w:color="auto" w:sz="4" w:space="0"/>
              <w:right w:val="nil"/>
            </w:tcBorders>
            <w:noWrap w:val="0"/>
            <w:vAlign w:val="top"/>
          </w:tcPr>
          <w:p w14:paraId="4B9A844C">
            <w:pPr>
              <w:pStyle w:val="35"/>
              <w:ind w:firstLine="0" w:firstLineChars="0"/>
              <w:jc w:val="center"/>
              <w:rPr>
                <w:rFonts w:hint="default" w:ascii="Times New Roman" w:hAnsi="Times New Roman" w:cs="Times New Roman"/>
                <w:b/>
                <w:bCs w:val="0"/>
                <w:highlight w:val="none"/>
                <w:lang w:val="en-US"/>
              </w:rPr>
            </w:pPr>
            <w:r>
              <w:rPr>
                <w:rFonts w:hint="eastAsia"/>
                <w:color w:val="000000"/>
                <w:kern w:val="0"/>
                <w:szCs w:val="32"/>
                <w:shd w:val="clear" w:color="auto" w:fill="FFFFFF"/>
                <w:lang w:val="en-US" w:eastAsia="zh-CN"/>
              </w:rPr>
              <w:t>497.97</w:t>
            </w:r>
          </w:p>
        </w:tc>
        <w:tc>
          <w:tcPr>
            <w:tcW w:w="1383" w:type="dxa"/>
            <w:noWrap w:val="0"/>
            <w:vAlign w:val="top"/>
          </w:tcPr>
          <w:p w14:paraId="2F74D299">
            <w:pPr>
              <w:pStyle w:val="35"/>
              <w:jc w:val="center"/>
              <w:rPr>
                <w:rFonts w:hint="default" w:ascii="Times New Roman" w:hAnsi="Times New Roman" w:cs="Times New Roman"/>
                <w:highlight w:val="none"/>
              </w:rPr>
            </w:pPr>
            <w:r>
              <w:rPr>
                <w:rFonts w:hint="eastAsia" w:cs="Times New Roman"/>
                <w:b w:val="0"/>
                <w:bCs/>
                <w:color w:val="000000"/>
                <w:kern w:val="0"/>
                <w:sz w:val="22"/>
                <w:szCs w:val="22"/>
                <w:highlight w:val="none"/>
                <w:lang w:val="en-US" w:eastAsia="zh-CN"/>
              </w:rPr>
              <w:t>99.45</w:t>
            </w:r>
            <w:r>
              <w:rPr>
                <w:rFonts w:hint="eastAsia" w:ascii="Times New Roman" w:hAnsi="Times New Roman" w:cs="Times New Roman"/>
                <w:b w:val="0"/>
                <w:bCs/>
                <w:color w:val="000000"/>
                <w:kern w:val="0"/>
                <w:sz w:val="22"/>
                <w:szCs w:val="22"/>
                <w:highlight w:val="none"/>
                <w:lang w:val="en-US" w:eastAsia="zh-CN"/>
              </w:rPr>
              <w:t>%</w:t>
            </w:r>
          </w:p>
        </w:tc>
      </w:tr>
    </w:tbl>
    <w:p w14:paraId="6A14B0E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center"/>
        <w:textAlignment w:val="auto"/>
        <w:outlineLvl w:val="9"/>
        <w:rPr>
          <w:rFonts w:hint="default" w:ascii="Times New Roman" w:hAnsi="Times New Roman" w:cs="Times New Roman"/>
          <w:sz w:val="33"/>
          <w:szCs w:val="33"/>
          <w:lang w:val="zh-CN" w:eastAsia="zh-CN"/>
        </w:rPr>
      </w:pPr>
    </w:p>
    <w:p w14:paraId="65D4F8A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14:paraId="4C04D85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2024年度，遂宁市公安局森林警察支队年初结转和结余12.75万元，年末结转和结余2.75万元。</w:t>
      </w:r>
    </w:p>
    <w:p w14:paraId="182252C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6FFD53B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14:paraId="54B822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根据部门预算绩效评价指标体系“总体绩效”涉及二、三级指标进行逐项绩效分析并评分，依次包括履职效能、预算管理、资产管理、采购管理、财务管理等情况。</w:t>
      </w:r>
    </w:p>
    <w:p w14:paraId="4E7DF2E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p>
    <w:p w14:paraId="1070DA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我单位2024年，支队对照市局党委“三聚焦三抓实”工作要求和2024年工作要点，以“昆仑2024”“谋治”系列专项行动为抓手，扎实工作、勇于开拓，切实防范森林火灾风险隐患，全年未发生森林火灾。强力破案攻坚，截止11月11日，全市共立案127件，移送起诉108件297人（部督案件1件、厅督案件12件、大要案4件），其中侦办食药环知类案件61件，移送起诉46件185人；侦办非法捕捞案件37件，移送起诉36件61人；侦办破坏森林草原、野生动物、珍稀植物资源违法犯罪案件29件，移送起诉26件51人。</w:t>
      </w:r>
    </w:p>
    <w:p w14:paraId="0F73883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076B97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预算编制质量</w:t>
      </w:r>
    </w:p>
    <w:p w14:paraId="4A644C0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根据《部门整体支出绩效自评打分表》计算，预算编制质量指标权重8分、得分8分，具体如下：</w:t>
      </w:r>
    </w:p>
    <w:p w14:paraId="72A5D3B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3</w:t>
      </w:r>
      <w:r>
        <w:rPr>
          <w:b/>
          <w:bCs/>
          <w:sz w:val="24"/>
          <w:szCs w:val="24"/>
          <w:highlight w:val="none"/>
        </w:rPr>
        <w:t xml:space="preserve"> 年度预算执行表</w:t>
      </w:r>
    </w:p>
    <w:tbl>
      <w:tblPr>
        <w:tblStyle w:val="15"/>
        <w:tblW w:w="872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2145"/>
        <w:gridCol w:w="1870"/>
        <w:gridCol w:w="2290"/>
      </w:tblGrid>
      <w:tr w14:paraId="1272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5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7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预算执行数</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D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调整预算数</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5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偏离度</w:t>
            </w:r>
          </w:p>
        </w:tc>
      </w:tr>
      <w:tr w14:paraId="4779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487.97</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9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487.97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86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D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预算编制质量得分计算</w:t>
            </w:r>
          </w:p>
        </w:tc>
        <w:tc>
          <w:tcPr>
            <w:tcW w:w="6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B5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该项指标得分=（1-财政拨款预算偏离度）×100%×8。偏离度=|预算执行数-调整预算数|÷调整预算数。</w:t>
            </w:r>
          </w:p>
        </w:tc>
      </w:tr>
    </w:tbl>
    <w:p w14:paraId="76C8A38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支出执行进度</w:t>
      </w:r>
    </w:p>
    <w:p w14:paraId="1329469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根据《关于批复二级预算单位2024年部门预算的通知》年初预算批复文件、2024年决算统计表及2024年1-12月预算可执行情况表。支出执行进度指标权重9分、得分8.28分，本单位2024年支出执行进度具体如下：</w:t>
      </w:r>
    </w:p>
    <w:p w14:paraId="45AB0F1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cs="Times New Roman"/>
          <w:color w:val="000000"/>
          <w:kern w:val="0"/>
          <w:sz w:val="33"/>
          <w:szCs w:val="33"/>
          <w:highlight w:val="none"/>
          <w:shd w:val="clear" w:color="auto" w:fill="FFFFFF"/>
          <w:lang w:val="zh-CN" w:eastAsia="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4中省资金</w:t>
      </w:r>
      <w:r>
        <w:rPr>
          <w:b/>
          <w:bCs/>
          <w:sz w:val="24"/>
          <w:szCs w:val="24"/>
          <w:highlight w:val="none"/>
        </w:rPr>
        <w:t>预算执行表</w:t>
      </w:r>
    </w:p>
    <w:tbl>
      <w:tblPr>
        <w:tblStyle w:val="15"/>
        <w:tblW w:w="8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gridCol w:w="2115"/>
        <w:gridCol w:w="1820"/>
        <w:gridCol w:w="3245"/>
      </w:tblGrid>
      <w:tr w14:paraId="561E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EF60">
            <w:pPr>
              <w:rPr>
                <w:rFonts w:hint="eastAsia" w:ascii="宋体" w:hAnsi="宋体" w:eastAsia="宋体" w:cs="宋体"/>
                <w:i w:val="0"/>
                <w:iCs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A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实际支出数</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E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支出执行进度</w:t>
            </w:r>
          </w:p>
        </w:tc>
      </w:tr>
      <w:tr w14:paraId="790D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D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中省转移支付资金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E0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24.01</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56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26.01</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9AC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0.92</w:t>
            </w:r>
          </w:p>
        </w:tc>
      </w:tr>
      <w:tr w14:paraId="130B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D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A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6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3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4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3BC3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5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1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6F5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该项指标得分=中省转移支付资金1至12月实际支出数÷1-12月预算数*3+专项债券资金实际支出数÷1-12月部门预算数*3+专项预算项目1至12月实际支出数÷1-12月预算数*3。（我单位不涉及专项债券、专项预算项目）</w:t>
            </w:r>
          </w:p>
        </w:tc>
      </w:tr>
    </w:tbl>
    <w:p w14:paraId="0C70A28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预算年终结余</w:t>
      </w:r>
    </w:p>
    <w:p w14:paraId="0C45FD7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本单位2024年年终部门预算注销金额0万元和结转金额0万元，2024年，部门预算487.97万元。部门整体预算结余率0%。预算年终结余指标权重8分、得分8分。</w:t>
      </w:r>
    </w:p>
    <w:p w14:paraId="0FCA802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严控一般性支出</w:t>
      </w:r>
    </w:p>
    <w:p w14:paraId="7160C4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根据《关于批复二级预算单位2024年部门预算的通知》年初预算批复文件、2024年决算统计表及2024年1-12月预算可执行情况表。严控一般性支出指标权重6分、得分3.1分。单位2024年严控一般性支出具体如下：</w:t>
      </w:r>
    </w:p>
    <w:p w14:paraId="7EE9120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4</w:t>
      </w:r>
      <w:r>
        <w:rPr>
          <w:b/>
          <w:bCs/>
          <w:sz w:val="24"/>
          <w:szCs w:val="24"/>
          <w:highlight w:val="none"/>
        </w:rPr>
        <w:t>预算执行表</w:t>
      </w:r>
    </w:p>
    <w:tbl>
      <w:tblPr>
        <w:tblStyle w:val="15"/>
        <w:tblW w:w="85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1356"/>
        <w:gridCol w:w="1084"/>
        <w:gridCol w:w="1356"/>
        <w:gridCol w:w="1084"/>
        <w:gridCol w:w="1356"/>
        <w:gridCol w:w="1084"/>
      </w:tblGrid>
      <w:tr w14:paraId="7194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B58B">
            <w:pPr>
              <w:jc w:val="center"/>
              <w:rPr>
                <w:rFonts w:hint="eastAsia" w:ascii="宋体" w:hAnsi="宋体" w:eastAsia="宋体" w:cs="宋体"/>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B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F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B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较上年变化</w:t>
            </w:r>
          </w:p>
        </w:tc>
      </w:tr>
      <w:tr w14:paraId="3230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D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6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E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9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w:t>
            </w:r>
          </w:p>
        </w:tc>
      </w:tr>
      <w:tr w14:paraId="4DE7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9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8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86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r>
      <w:tr w14:paraId="2642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749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该项指标得分=基础分值+加分值。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2.加分值。一般性支出财政拨款年初预算较上年每压减1%得0.2分，累计不超过1分；一般性支出财政拨款预算执行较上年每压减1%得0.4分，累计不超过2分。</w:t>
            </w:r>
          </w:p>
        </w:tc>
      </w:tr>
    </w:tbl>
    <w:p w14:paraId="6A10473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资产管理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2283D9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人均资产变化率</w:t>
      </w:r>
    </w:p>
    <w:p w14:paraId="674D971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根据《关于批复二级预算单位2024年部门预算的通知》年初预算批复文件、2024年决算统计表及部门行政事业性国有资产报表资料，人均资产变化率指标权重3分、得分3分。单位2024年人均资产变化率具体如下：</w:t>
      </w:r>
    </w:p>
    <w:p w14:paraId="26D5259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5人均资产变化情况</w:t>
      </w:r>
      <w:r>
        <w:rPr>
          <w:b/>
          <w:bCs/>
          <w:sz w:val="24"/>
          <w:szCs w:val="24"/>
          <w:highlight w:val="none"/>
        </w:rPr>
        <w:t>表</w:t>
      </w:r>
    </w:p>
    <w:tbl>
      <w:tblPr>
        <w:tblStyle w:val="15"/>
        <w:tblW w:w="881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830"/>
        <w:gridCol w:w="1830"/>
        <w:gridCol w:w="1830"/>
        <w:gridCol w:w="2225"/>
      </w:tblGrid>
      <w:tr w14:paraId="02D0C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85F">
            <w:pPr>
              <w:jc w:val="cente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9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B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编制实有人数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5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人均资产变化</w:t>
            </w:r>
          </w:p>
        </w:tc>
      </w:tr>
      <w:tr w14:paraId="5EE2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F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B9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B0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0.67</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r>
      <w:tr w14:paraId="7724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7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D3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76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67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0.48</w:t>
            </w: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9EBE">
            <w:pPr>
              <w:jc w:val="center"/>
              <w:rPr>
                <w:rFonts w:hint="eastAsia" w:ascii="宋体" w:hAnsi="宋体" w:eastAsia="宋体" w:cs="宋体"/>
                <w:i w:val="0"/>
                <w:iCs w:val="0"/>
                <w:color w:val="000000"/>
                <w:sz w:val="22"/>
                <w:szCs w:val="22"/>
                <w:u w:val="none"/>
              </w:rPr>
            </w:pPr>
          </w:p>
        </w:tc>
      </w:tr>
      <w:tr w14:paraId="0817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3A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r>
    </w:tbl>
    <w:p w14:paraId="0283843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资产利用率</w:t>
      </w:r>
    </w:p>
    <w:p w14:paraId="5182FF4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both"/>
        <w:textAlignment w:val="auto"/>
        <w:outlineLvl w:val="9"/>
        <w:rPr>
          <w:rFonts w:hint="eastAsia"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我支队截至2024年12月31日固定资产卡片明细数据，超最低使用年限的办公家具资产利用率为0%；超最低使用年限的办公设备资产利用率为89.76%。资产利用率指标权重3分、得分1.35分。单位2024年资产利用率具体如下：</w:t>
      </w:r>
    </w:p>
    <w:p w14:paraId="6E33822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contextualSpacing/>
        <w:jc w:val="center"/>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b/>
          <w:bCs/>
          <w:sz w:val="24"/>
          <w:szCs w:val="24"/>
          <w:highlight w:val="none"/>
        </w:rPr>
        <w:t>表</w:t>
      </w:r>
      <w:r>
        <w:rPr>
          <w:b/>
          <w:bCs/>
          <w:sz w:val="24"/>
          <w:szCs w:val="24"/>
          <w:highlight w:val="none"/>
        </w:rPr>
        <w:t>2-</w:t>
      </w:r>
      <w:r>
        <w:rPr>
          <w:rFonts w:hint="eastAsia"/>
          <w:b/>
          <w:bCs/>
          <w:sz w:val="24"/>
          <w:szCs w:val="24"/>
          <w:highlight w:val="none"/>
          <w:lang w:val="en-US" w:eastAsia="zh-CN"/>
        </w:rPr>
        <w:t>6资产利用率情况</w:t>
      </w:r>
      <w:r>
        <w:rPr>
          <w:b/>
          <w:bCs/>
          <w:sz w:val="24"/>
          <w:szCs w:val="24"/>
          <w:highlight w:val="none"/>
        </w:rPr>
        <w:t>表</w:t>
      </w:r>
    </w:p>
    <w:tbl>
      <w:tblPr>
        <w:tblStyle w:val="15"/>
        <w:tblW w:w="85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2488"/>
        <w:gridCol w:w="2488"/>
        <w:gridCol w:w="2488"/>
      </w:tblGrid>
      <w:tr w14:paraId="0DE1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F3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遂宁市公安局森林警察支队</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超最低使用年限的办公家具账面原值</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办公家具账面原值</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5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r>
      <w:tr w14:paraId="0B31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3472">
            <w:pPr>
              <w:jc w:val="center"/>
              <w:rPr>
                <w:rFonts w:hint="eastAsia" w:ascii="宋体" w:hAnsi="宋体" w:eastAsia="宋体" w:cs="宋体"/>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4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2C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6.95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4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A765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2E23">
            <w:pPr>
              <w:jc w:val="center"/>
              <w:rPr>
                <w:rFonts w:hint="eastAsia" w:ascii="宋体" w:hAnsi="宋体" w:eastAsia="宋体" w:cs="宋体"/>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F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超最低使用年限的办公设备账面原值</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0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办公家具账面原值</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资产利用率</w:t>
            </w:r>
          </w:p>
        </w:tc>
      </w:tr>
      <w:tr w14:paraId="5ED1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A014">
            <w:pPr>
              <w:jc w:val="center"/>
              <w:rPr>
                <w:rFonts w:hint="eastAsia" w:ascii="宋体" w:hAnsi="宋体" w:eastAsia="宋体" w:cs="宋体"/>
                <w:i w:val="0"/>
                <w:iCs w:val="0"/>
                <w:color w:val="000000"/>
                <w:sz w:val="22"/>
                <w:szCs w:val="22"/>
                <w:u w:val="none"/>
              </w:rPr>
            </w:pP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3B5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29.37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B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32.72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r>
      <w:tr w14:paraId="73B9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0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得分计算</w:t>
            </w:r>
          </w:p>
        </w:tc>
        <w:tc>
          <w:tcPr>
            <w:tcW w:w="7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86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该项指标得分=（超最低使用年限的办公家具账面原值÷办公家具账面原值×100%×1.5）+（超最低使用年限的办公设备账面原值÷办公设备账面原值×100%×1.5）。</w:t>
            </w:r>
          </w:p>
        </w:tc>
      </w:tr>
    </w:tbl>
    <w:p w14:paraId="15A9741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资产盘活率</w:t>
      </w:r>
    </w:p>
    <w:p w14:paraId="794B9DE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contextualSpacing/>
        <w:jc w:val="left"/>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根据我支队截至2024年12月31日固定资产卡片明细数据，并结合现场勘察情况。2024年我单位无闲置资产，部门闲置资产占比率0%，根据《部门整体支出绩效自评打分表》的评分说明本项指标权重3分、得分3分。</w:t>
      </w:r>
    </w:p>
    <w:p w14:paraId="74D800C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4</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采购管理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6493475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支持中小企业发展</w:t>
      </w:r>
    </w:p>
    <w:p w14:paraId="477A0A1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我单位未对适宜由中小企业提供的采购项目和采购包，预留采购份额专门面向中小企业采购，根据《部门整体支出绩效自评打分表》的评分说明本项指标权重3分、得分0分。</w:t>
      </w:r>
    </w:p>
    <w:p w14:paraId="0383DFC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采购执行率</w:t>
      </w:r>
    </w:p>
    <w:p w14:paraId="0B12763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根据我单位无政府采购预算，不涉及政府采购执行率。根据《部门整体支出绩效自评打分表》的评分说明本项指标权重3分、得分0分。</w:t>
      </w:r>
    </w:p>
    <w:p w14:paraId="3E9351D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5</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财务管理</w:t>
      </w:r>
      <w:r>
        <w:rPr>
          <w:rFonts w:hint="eastAsia" w:ascii="Times New Roman" w:hAnsi="Times New Roman" w:eastAsia="楷体_GB2312" w:cs="楷体_GB2312"/>
          <w:color w:val="000000"/>
          <w:kern w:val="0"/>
          <w:sz w:val="33"/>
          <w:szCs w:val="33"/>
          <w:highlight w:val="none"/>
          <w:shd w:val="clear" w:color="auto" w:fill="FFFFFF"/>
          <w:lang w:val="zh-CN"/>
        </w:rPr>
        <w:t>。</w:t>
      </w:r>
    </w:p>
    <w:p w14:paraId="32B4E26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财务管理制度建设情况：本部门制定了《财务管理办法》管理制度，财务机构按照《财务管理办法》严格执行有关制度。不涉及扣分。</w:t>
      </w:r>
    </w:p>
    <w:p w14:paraId="1019FC0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财务岗位设置情况：装备财务科设置会计、出纳工作岗位。会计岗位的职责权限为支出与资金申请审核管理、会计核算与报表编制工作、会计档案整理与移交；出纳岗位的职责权限为办理费用报销、货币资金管理；本部门严格实行不相容岗位分离。不涉及扣分。</w:t>
      </w:r>
    </w:p>
    <w:p w14:paraId="671EC5E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资金使用规范情况。财务部门在本部门绩效自评价期间抽查了辅警专项经费、2022年政法转移资金（公安）项目支付有关资料。部门资金使用符合相关财务管理制度规定的专项资金管理办法。不涉及扣分。</w:t>
      </w:r>
    </w:p>
    <w:p w14:paraId="317AC06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14:paraId="7408E4D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常年项目绩效分析。该类项目总数2个，涉及预算总金额68.01万元，1—12月预算执行总体进度为86%，其中：预算结余率大于10%的项目共计1个。</w:t>
      </w:r>
    </w:p>
    <w:p w14:paraId="6657784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eastAsia" w:ascii="Times New Roman" w:hAnsi="Times New Roman" w:eastAsia="仿宋_GB2312" w:cs="仿宋_GB2312"/>
          <w:color w:val="auto"/>
          <w:kern w:val="2"/>
          <w:sz w:val="32"/>
          <w:szCs w:val="32"/>
          <w:highlight w:val="none"/>
          <w:lang w:val="en-US" w:eastAsia="zh-CN" w:bidi="ar-SA"/>
        </w:rPr>
        <w:t>无阶段（一次性）项目。</w:t>
      </w:r>
    </w:p>
    <w:p w14:paraId="564937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right="0" w:rightChars="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p>
    <w:p w14:paraId="6727DB6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决策程序</w:t>
      </w:r>
    </w:p>
    <w:p w14:paraId="3524951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事前绩效评估管理办法》，对“年度预算100万元以上的新增项目，年度预算增幅达到30%或增加金额100万元以上的延续性项目”开展事前绩效评估。2024年本部门应开展部门预算阶段项目（含一次性项目）总数2个、实际开展部门预算阶段项目（含一次性项目）2个，开展比例100%。根据《部门整体支出绩效自评打分表》的评分说明本项指标权重4分、得分4分。</w:t>
      </w:r>
    </w:p>
    <w:p w14:paraId="206994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目标设置</w:t>
      </w:r>
    </w:p>
    <w:p w14:paraId="59FC4BC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遂宁市市级部门（单位）绩效管理办法》、部门预算编制通知文件以及本部门项目绩效目标及预算审核结果。2024年本部门财务机构抽查预算阶段项目（含一次性项目）2个项目，涉及绩效目标与计划期内的任务量、预算安排不相匹配的部门预算阶段项目（含一次性项目）数量0个。或不存在绩效目标与计划期内的任务量、预算安排不相匹配的部门预算阶段项目（含一次性项目）的项目。根据《部门整体支出绩效自评打分表》的评分说明本项指标权重4分、得分4分。</w:t>
      </w:r>
    </w:p>
    <w:p w14:paraId="32363A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项目入库</w:t>
      </w:r>
    </w:p>
    <w:p w14:paraId="4F93F0E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根据部门预算编制通知文件，一体化系统导出项目库明细数据。2024年本部门最终安排部门预算阶段项目（含一次性项目）总数2个，规定时间未入财政库部门预算阶段项目（含一次性项目）数量0个，项目入库及时率100%。或不存规定时间未入财政库部门预算阶段项目（含一次性项目），项目入库及时率100%。根据《部门整体支出绩效自评打分表》的评分说明本项指标权重4分、得分4分。</w:t>
      </w:r>
    </w:p>
    <w:p w14:paraId="4C95CE2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r>
        <w:rPr>
          <w:rFonts w:hint="eastAsia" w:ascii="Times New Roman" w:hAnsi="Times New Roman" w:eastAsia="楷体_GB2312" w:cs="楷体_GB2312"/>
          <w:color w:val="000000"/>
          <w:kern w:val="0"/>
          <w:sz w:val="33"/>
          <w:szCs w:val="33"/>
          <w:highlight w:val="none"/>
          <w:shd w:val="clear" w:color="auto" w:fill="FFFFFF"/>
          <w:lang w:val="zh-CN"/>
        </w:rPr>
        <w:t>。</w:t>
      </w:r>
    </w:p>
    <w:p w14:paraId="0FB416D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执行同向</w:t>
      </w:r>
    </w:p>
    <w:p w14:paraId="413C09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本部门财务机构抽查预算阶段项目（含一次性项目）2个项目，涉及绩效目标与计划期内的任务量、预算安排不相匹配的部门预算阶段项目（含一次性项目）数量0个。或不存在绩效目标与计划期内的任务量、预算安排不相匹配的部门预算阶段项目（含一次性项目）的项目。根据《部门整体支出绩效自评打分表》的评分说明本项指标权重5分、得分5分。</w:t>
      </w:r>
    </w:p>
    <w:p w14:paraId="229B84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项目调整</w:t>
      </w:r>
    </w:p>
    <w:p w14:paraId="36D6B72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本部门应采取收回预算、调整目标等处置措施的部门预算阶段项目（含一次性项目）总数1个，其中应采取未采取收回预算、调整目标等处置措施的部门预算阶段项目（含一次性项目）数量1个。或不涉及应采取未采取收回预算、调整目标等处置措施的部门预算阶段项目（含一次性项目）。根据《部门整体支出绩效自评打分表》的评分说明本项指标权重6分、得分3分。</w:t>
      </w:r>
    </w:p>
    <w:p w14:paraId="1550FAE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执行结果</w:t>
      </w:r>
    </w:p>
    <w:p w14:paraId="026CD9B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2024年本单位共实施2个项目，其中：常年项目2个，一次性项目和阶段项目0个。根据一体化系统预算可执行情况表，共1个常年项目预算结余率小于10%，1个常年项目预算结余率大于10%；共1个一次性项目和阶段项目预算结余率小于10%。根据《部门整体支出绩效自评打分表》的评分说明本项指标权重4分、得分2分。</w:t>
      </w:r>
    </w:p>
    <w:p w14:paraId="1FCB0228">
      <w:pPr>
        <w:keepNext w:val="0"/>
        <w:keepLines w:val="0"/>
        <w:pageBreakBefore w:val="0"/>
        <w:kinsoku/>
        <w:wordWrap/>
        <w:overflowPunct/>
        <w:topLinePunct w:val="0"/>
        <w:autoSpaceDE/>
        <w:autoSpaceDN/>
        <w:bidi w:val="0"/>
        <w:adjustRightInd/>
        <w:snapToGrid/>
        <w:spacing w:line="590" w:lineRule="exact"/>
        <w:ind w:right="0" w:rightChars="0" w:firstLine="660" w:firstLineChars="200"/>
        <w:jc w:val="both"/>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p>
    <w:p w14:paraId="5BDDE18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目标完成</w:t>
      </w:r>
    </w:p>
    <w:p w14:paraId="1DE9FE9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仿宋_GB2312" w:cs="仿宋_GB2312"/>
          <w:color w:val="auto"/>
          <w:kern w:val="2"/>
          <w:sz w:val="32"/>
          <w:szCs w:val="32"/>
          <w:highlight w:val="none"/>
          <w:lang w:val="en-US" w:eastAsia="zh-CN" w:bidi="ar-SA"/>
        </w:rPr>
        <w:t>2025年本单位共实施2个项目，财务机构抽查2个项目核查项目目标完成情况。2个项目共有2条数量指标，2条数量指标均完成目标值。根据《部门整体支出绩效自评打分表》的评分说明本项指标权重6分、得分5.7分。具体情况详见下表（参考样表）：</w:t>
      </w:r>
    </w:p>
    <w:tbl>
      <w:tblPr>
        <w:tblStyle w:val="15"/>
        <w:tblW w:w="896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9"/>
        <w:gridCol w:w="2032"/>
        <w:gridCol w:w="2000"/>
        <w:gridCol w:w="800"/>
        <w:gridCol w:w="760"/>
        <w:gridCol w:w="810"/>
        <w:gridCol w:w="960"/>
        <w:gridCol w:w="1202"/>
      </w:tblGrid>
      <w:tr w14:paraId="7D37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E0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BD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82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82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目标值</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4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2A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C4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目标完成情况</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42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数据来源</w:t>
            </w:r>
          </w:p>
        </w:tc>
      </w:tr>
      <w:tr w14:paraId="1DAD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A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2022年政法转移资金（公安）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资金金额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26.01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6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5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24.01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5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92.31%</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C0F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记账凭证</w:t>
            </w:r>
          </w:p>
        </w:tc>
      </w:tr>
      <w:tr w14:paraId="1003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1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0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辅警专项经费2023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5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辅警人数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D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E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7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3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w:t>
            </w:r>
          </w:p>
        </w:tc>
      </w:tr>
    </w:tbl>
    <w:p w14:paraId="298BCD7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目标偏离</w:t>
      </w:r>
    </w:p>
    <w:p w14:paraId="1BE9952B">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2025年本单位共实施2个项目，财务机构抽查2个项目核查项目目标完成情况。2个项目共有2条数量指标，2024年已完成预期指标值的数量指标共计2条，其中0条数量指标偏离度≥30%。根据《部门整体支出绩效自评打分表》的评分说明本项指标权重6分、得分5.7分。</w:t>
      </w:r>
    </w:p>
    <w:p w14:paraId="4991E344">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实现效果</w:t>
      </w:r>
    </w:p>
    <w:p w14:paraId="15EA9B58">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楷体_GB2312" w:cs="Times New Roman"/>
          <w:color w:val="333333"/>
          <w:sz w:val="33"/>
          <w:szCs w:val="33"/>
          <w:highlight w:val="none"/>
          <w:u w:val="none"/>
          <w:shd w:val="clear" w:color="auto" w:fill="auto"/>
          <w:lang w:bidi="ar"/>
        </w:rPr>
      </w:pPr>
      <w:r>
        <w:rPr>
          <w:rFonts w:hint="eastAsia" w:ascii="Times New Roman" w:hAnsi="Times New Roman" w:eastAsia="仿宋_GB2312" w:cs="仿宋_GB2312"/>
          <w:color w:val="auto"/>
          <w:kern w:val="2"/>
          <w:sz w:val="32"/>
          <w:szCs w:val="32"/>
          <w:highlight w:val="none"/>
          <w:lang w:val="en-US" w:eastAsia="zh-CN" w:bidi="ar-SA"/>
        </w:rPr>
        <w:t>2024年本部门共实施2个项目，财务机构共抽查2个项目，2个项目共有2条效益指标，经核查2条效益指标完成。各类项目均实现其效果。根据《部门整体支出绩效自评打分表》的评分说明本项指标权重5分、得分5分。具体情况详见下表（参考样表）：</w:t>
      </w:r>
    </w:p>
    <w:tbl>
      <w:tblPr>
        <w:tblStyle w:val="15"/>
        <w:tblW w:w="851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1811"/>
        <w:gridCol w:w="2070"/>
        <w:gridCol w:w="1345"/>
        <w:gridCol w:w="945"/>
        <w:gridCol w:w="919"/>
        <w:gridCol w:w="936"/>
      </w:tblGrid>
      <w:tr w14:paraId="5586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F625687">
            <w:pPr>
              <w:keepNext w:val="0"/>
              <w:keepLines w:val="0"/>
              <w:widowControl/>
              <w:suppressLineNumbers w:val="0"/>
              <w:jc w:val="center"/>
              <w:textAlignment w:val="center"/>
              <w:rPr>
                <w:rFonts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EE478">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项目名称</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8865">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效益指标</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A53E">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目标值</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B9B5">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单位</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8A57E">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完成值</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9584">
            <w:pPr>
              <w:keepNext w:val="0"/>
              <w:keepLines w:val="0"/>
              <w:widowControl/>
              <w:suppressLineNumbers w:val="0"/>
              <w:jc w:val="center"/>
              <w:textAlignment w:val="center"/>
              <w:rPr>
                <w:rFonts w:hint="eastAsia" w:ascii="仿宋" w:hAnsi="仿宋" w:eastAsia="仿宋" w:cs="仿宋"/>
                <w:b w:val="0"/>
                <w:bCs/>
                <w:i w:val="0"/>
                <w:iCs w:val="0"/>
                <w:color w:val="000000"/>
                <w:sz w:val="22"/>
                <w:szCs w:val="22"/>
                <w:u w:val="none"/>
              </w:rPr>
            </w:pPr>
            <w:r>
              <w:rPr>
                <w:rFonts w:hint="eastAsia" w:ascii="仿宋" w:hAnsi="仿宋" w:eastAsia="仿宋" w:cs="仿宋"/>
                <w:b w:val="0"/>
                <w:bCs/>
                <w:i w:val="0"/>
                <w:iCs w:val="0"/>
                <w:color w:val="000000"/>
                <w:kern w:val="0"/>
                <w:sz w:val="22"/>
                <w:szCs w:val="22"/>
                <w:u w:val="none"/>
                <w:lang w:val="en-US" w:eastAsia="zh-CN" w:bidi="ar"/>
              </w:rPr>
              <w:t>目标完成情况</w:t>
            </w:r>
          </w:p>
        </w:tc>
      </w:tr>
      <w:tr w14:paraId="6FA3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3B80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EF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2022年政法转移资金（公安）</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E6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破案率</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D347E">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D167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8EF1D">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99</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FA8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r>
      <w:tr w14:paraId="0359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830C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D960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辅警专项经费2023</w:t>
            </w:r>
          </w:p>
        </w:tc>
        <w:tc>
          <w:tcPr>
            <w:tcW w:w="2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C14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辅警人数</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6ECA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3C9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人</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B22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8997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w:t>
            </w:r>
          </w:p>
        </w:tc>
      </w:tr>
    </w:tbl>
    <w:p w14:paraId="23AD9B8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p>
    <w:p w14:paraId="64A8E5B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行政事业性国有资产基本情况</w:t>
      </w:r>
    </w:p>
    <w:p w14:paraId="053819DC">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我单位行政事业性国有资产购买实施主要依据单位财务管理制度、行政事业单位资金管理办法，并严格执行财务管理制度，账务处理及时，会计核算规范。资金拨付经过财政的审批程序，使用规范；项目预算批复或合同规定用途一直；不存在截留、挤占、挪用、虚列支出等情况。</w:t>
      </w:r>
    </w:p>
    <w:p w14:paraId="21D0C88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50D7EB8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14:paraId="5856423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eastAsia" w:ascii="Times New Roman" w:hAnsi="Times New Roman" w:eastAsia="仿宋_GB2312" w:cs="仿宋_GB2312"/>
          <w:color w:val="auto"/>
          <w:kern w:val="2"/>
          <w:sz w:val="32"/>
          <w:szCs w:val="32"/>
          <w:highlight w:val="none"/>
          <w:lang w:val="en-US" w:eastAsia="zh-CN" w:bidi="ar-SA"/>
        </w:rPr>
        <w:t>2024年，我单位部门整体支出绩效自查自评结果良好，全年基本支出保证了部门的正常运转，项目支出保障了重点工作的开展，按照 2024年度市级部门整体支出绩效评价指标体系对我单位部门预算编制、预算执行、完成结果、信息公开、整改反馈等方面进行了自评，最终得分83.43分。在上级主管部门的正确领导下，本年度财务工作高效规范，圆满完成了各项任务。未来将继续保持严谨作风，为单位稳健运行提供保障。</w:t>
      </w:r>
    </w:p>
    <w:p w14:paraId="48B1D12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p>
    <w:p w14:paraId="66F70C1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无</w:t>
      </w:r>
    </w:p>
    <w:p w14:paraId="054A42D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p>
    <w:p w14:paraId="77D801E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1.标准化财务流程  </w:t>
      </w:r>
    </w:p>
    <w:p w14:paraId="6EB8B37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制定统一的报销、付款、预算编制等操作手册，减少人为判断差异。</w:t>
      </w:r>
    </w:p>
    <w:p w14:paraId="23F1B13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2.加强跨部门协作 </w:t>
      </w:r>
    </w:p>
    <w:p w14:paraId="78E6858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与业务部门定期沟通，确保财务数据的及时性和准确性。  </w:t>
      </w:r>
    </w:p>
    <w:p w14:paraId="1DDCC4F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为其他部门提供简单的财务培训（如费用报销规范），减少因流程不熟导致的返工。</w:t>
      </w:r>
    </w:p>
    <w:p w14:paraId="1E9C4953">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仿宋_GB2312" w:cs="仿宋_GB2312"/>
          <w:b w:val="0"/>
          <w:bCs w:val="0"/>
          <w:kern w:val="0"/>
          <w:position w:val="0"/>
          <w:sz w:val="33"/>
          <w:szCs w:val="33"/>
          <w:highlight w:val="none"/>
          <w:lang w:val="zh-CN" w:eastAsia="zh-CN" w:bidi="ar-SA"/>
        </w:rPr>
      </w:pPr>
    </w:p>
    <w:p w14:paraId="19C8FFFD">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cs="Times New Roman"/>
          <w:color w:val="000000"/>
          <w:kern w:val="0"/>
          <w:sz w:val="33"/>
          <w:szCs w:val="33"/>
          <w:highlight w:val="none"/>
          <w:shd w:val="clear" w:color="auto" w:fill="FFFFFF"/>
          <w:lang w:val="en-US" w:eastAsia="zh-CN"/>
        </w:rPr>
      </w:pPr>
      <w:r>
        <w:rPr>
          <w:rFonts w:hint="eastAsia" w:ascii="Times New Roman" w:hAnsi="Times New Roman" w:eastAsia="仿宋_GB2312" w:cs="仿宋_GB2312"/>
          <w:color w:val="auto"/>
          <w:kern w:val="2"/>
          <w:sz w:val="32"/>
          <w:szCs w:val="32"/>
          <w:highlight w:val="none"/>
          <w:lang w:val="en-US" w:eastAsia="zh-CN" w:bidi="ar-SA"/>
        </w:rPr>
        <w:t>附表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：部门整体支出绩效目标完成情况自评表</w:t>
      </w:r>
    </w:p>
    <w:p w14:paraId="5E405B0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w:t>
      </w:r>
      <w:r>
        <w:rPr>
          <w:rFonts w:hint="eastAsia" w:eastAsia="仿宋_GB2312" w:cs="仿宋_GB2312"/>
          <w:color w:val="auto"/>
          <w:kern w:val="2"/>
          <w:sz w:val="32"/>
          <w:szCs w:val="32"/>
          <w:highlight w:val="none"/>
          <w:lang w:val="en-US" w:eastAsia="zh-CN" w:bidi="ar-SA"/>
        </w:rPr>
        <w:t>件2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bCs w:val="0"/>
          <w:kern w:val="0"/>
          <w:position w:val="0"/>
          <w:sz w:val="33"/>
          <w:szCs w:val="33"/>
          <w:highlight w:val="none"/>
          <w:lang w:val="en-US" w:eastAsia="zh-CN" w:bidi="ar-SA"/>
        </w:rPr>
        <w:t>部门整体支出绩效自评打分表</w:t>
      </w:r>
    </w:p>
    <w:p w14:paraId="2BFC0B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附</w:t>
      </w:r>
      <w:r>
        <w:rPr>
          <w:rFonts w:hint="eastAsia" w:eastAsia="仿宋_GB2312" w:cs="仿宋_GB2312"/>
          <w:color w:val="auto"/>
          <w:kern w:val="2"/>
          <w:sz w:val="32"/>
          <w:szCs w:val="32"/>
          <w:highlight w:val="none"/>
          <w:lang w:val="en-US" w:eastAsia="zh-CN" w:bidi="ar-SA"/>
        </w:rPr>
        <w:t>件3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val="0"/>
          <w:bCs w:val="0"/>
          <w:kern w:val="0"/>
          <w:position w:val="0"/>
          <w:sz w:val="33"/>
          <w:szCs w:val="33"/>
          <w:highlight w:val="none"/>
          <w:lang w:val="en-US" w:eastAsia="zh-CN" w:bidi="ar-SA"/>
        </w:rPr>
        <w:t>部门预算项目支出绩效自评表</w:t>
      </w:r>
    </w:p>
    <w:p w14:paraId="10AEB48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contextualSpacing/>
        <w:jc w:val="right"/>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r>
        <w:rPr>
          <w:rFonts w:hint="eastAsia" w:ascii="Times New Roman" w:hAnsi="Times New Roman" w:eastAsia="仿宋_GB2312" w:cs="仿宋_GB2312"/>
          <w:b w:val="0"/>
          <w:bCs w:val="0"/>
          <w:kern w:val="0"/>
          <w:position w:val="0"/>
          <w:sz w:val="33"/>
          <w:szCs w:val="33"/>
          <w:highlight w:val="none"/>
          <w:lang w:val="en-US" w:eastAsia="zh-CN" w:bidi="ar-SA"/>
        </w:rPr>
        <w:t>遂宁市公安局森林警察支队</w:t>
      </w:r>
    </w:p>
    <w:p w14:paraId="0493E3C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contextualSpacing/>
        <w:jc w:val="right"/>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p>
    <w:p w14:paraId="687F266B">
      <w:pPr>
        <w:keepNext w:val="0"/>
        <w:keepLines w:val="0"/>
        <w:pageBreakBefore w:val="0"/>
        <w:widowControl w:val="0"/>
        <w:kinsoku/>
        <w:wordWrap/>
        <w:overflowPunct/>
        <w:topLinePunct w:val="0"/>
        <w:autoSpaceDE/>
        <w:autoSpaceDN/>
        <w:bidi w:val="0"/>
        <w:adjustRightInd/>
        <w:snapToGrid/>
        <w:spacing w:line="590" w:lineRule="exact"/>
        <w:ind w:right="0" w:rightChars="0" w:firstLine="0" w:firstLineChars="0"/>
        <w:contextualSpacing/>
        <w:jc w:val="left"/>
        <w:textAlignment w:val="auto"/>
        <w:outlineLvl w:val="9"/>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黑体" w:cs="黑体"/>
          <w:kern w:val="2"/>
          <w:sz w:val="32"/>
          <w:szCs w:val="24"/>
          <w:highlight w:val="none"/>
          <w:lang w:val="en-US" w:eastAsia="zh-CN" w:bidi="ar-SA"/>
        </w:rPr>
        <w:t>附表</w:t>
      </w:r>
      <w:r>
        <w:rPr>
          <w:rFonts w:hint="eastAsia" w:eastAsia="黑体" w:cs="黑体"/>
          <w:kern w:val="2"/>
          <w:sz w:val="32"/>
          <w:szCs w:val="24"/>
          <w:highlight w:val="none"/>
          <w:lang w:val="en-US" w:eastAsia="zh-CN" w:bidi="ar-SA"/>
        </w:rPr>
        <w:t>1</w:t>
      </w:r>
    </w:p>
    <w:tbl>
      <w:tblPr>
        <w:tblStyle w:val="15"/>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800"/>
        <w:gridCol w:w="1108"/>
        <w:gridCol w:w="974"/>
        <w:gridCol w:w="927"/>
        <w:gridCol w:w="945"/>
        <w:gridCol w:w="947"/>
      </w:tblGrid>
      <w:tr w14:paraId="19E2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9630" w:type="dxa"/>
            <w:gridSpan w:val="9"/>
            <w:shd w:val="clear" w:color="auto" w:fill="auto"/>
            <w:vAlign w:val="center"/>
          </w:tcPr>
          <w:p w14:paraId="7AD4C3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7AC4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630" w:type="dxa"/>
            <w:gridSpan w:val="9"/>
            <w:shd w:val="clear" w:color="auto" w:fill="auto"/>
            <w:vAlign w:val="center"/>
          </w:tcPr>
          <w:p w14:paraId="2B4EF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37AA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630" w:type="dxa"/>
            <w:gridSpan w:val="9"/>
            <w:tcBorders>
              <w:bottom w:val="single" w:color="000000" w:sz="4" w:space="0"/>
            </w:tcBorders>
            <w:shd w:val="clear" w:color="auto" w:fill="auto"/>
            <w:vAlign w:val="center"/>
          </w:tcPr>
          <w:p w14:paraId="1D7D5240">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3D44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D9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5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8D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遂宁市公安局森林警察支队</w:t>
            </w:r>
          </w:p>
        </w:tc>
      </w:tr>
      <w:tr w14:paraId="106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77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41E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DD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7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355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53D4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21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5F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r>
              <w:rPr>
                <w:rFonts w:hint="eastAsia"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97</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DD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487</w:t>
            </w:r>
            <w:r>
              <w:rPr>
                <w:rFonts w:hint="eastAsia"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97</w:t>
            </w:r>
          </w:p>
        </w:tc>
        <w:tc>
          <w:tcPr>
            <w:tcW w:w="37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33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63A4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5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5B99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83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D69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保障职工工资及社保、办公经费，</w:t>
            </w:r>
            <w:r>
              <w:rPr>
                <w:rFonts w:hint="default" w:ascii="Times New Roman" w:hAnsi="Times New Roman" w:eastAsia="宋体" w:cs="Times New Roman"/>
                <w:i w:val="0"/>
                <w:color w:val="000000"/>
                <w:kern w:val="0"/>
                <w:sz w:val="24"/>
                <w:szCs w:val="24"/>
                <w:u w:val="none"/>
                <w:lang w:val="en-US" w:eastAsia="zh-CN" w:bidi="ar"/>
              </w:rPr>
              <w:t>森林及野生动植物资源领域的犯罪案件。打击食药环类犯罪。</w:t>
            </w:r>
          </w:p>
        </w:tc>
      </w:tr>
      <w:tr w14:paraId="3B45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9F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680CB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EF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5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B07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0D22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5316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BA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打击森林动植物资源犯罪经费保障</w:t>
            </w:r>
          </w:p>
        </w:tc>
        <w:tc>
          <w:tcPr>
            <w:tcW w:w="5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E28F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打击食药环类犯罪。</w:t>
            </w:r>
          </w:p>
        </w:tc>
      </w:tr>
      <w:tr w14:paraId="3D0C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55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11F2B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7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D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F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A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1CE48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1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C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45" w:type="dxa"/>
            <w:tcBorders>
              <w:top w:val="single" w:color="000000" w:sz="4" w:space="0"/>
              <w:left w:val="single" w:color="000000" w:sz="4" w:space="0"/>
              <w:bottom w:val="single" w:color="000000" w:sz="4" w:space="0"/>
            </w:tcBorders>
            <w:shd w:val="clear" w:color="auto" w:fill="auto"/>
            <w:vAlign w:val="center"/>
          </w:tcPr>
          <w:p w14:paraId="43C1D3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9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C051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46AE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7645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8A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A7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491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资金金额</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7D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6D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26.01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01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64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947" w:type="dxa"/>
            <w:tcBorders>
              <w:left w:val="single" w:color="000000" w:sz="4" w:space="0"/>
              <w:bottom w:val="single" w:color="000000" w:sz="4" w:space="0"/>
              <w:right w:val="single" w:color="000000" w:sz="4" w:space="0"/>
            </w:tcBorders>
            <w:shd w:val="clear" w:color="auto" w:fill="auto"/>
            <w:vAlign w:val="center"/>
          </w:tcPr>
          <w:p w14:paraId="253CC8C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24.01</w:t>
            </w:r>
          </w:p>
        </w:tc>
      </w:tr>
      <w:tr w14:paraId="7B58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D231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31D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14F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E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辅警人数</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203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6D1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7</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5E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F0A0">
            <w:pPr>
              <w:jc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86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7</w:t>
            </w:r>
          </w:p>
        </w:tc>
      </w:tr>
      <w:tr w14:paraId="3E4A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297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985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0EC47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67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资金使用率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1C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1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A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00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DD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92</w:t>
            </w:r>
          </w:p>
        </w:tc>
      </w:tr>
      <w:tr w14:paraId="0165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B3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D1B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3E27C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3A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资金使用</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AA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2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B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BC65">
            <w:pPr>
              <w:jc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10B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81</w:t>
            </w:r>
          </w:p>
        </w:tc>
      </w:tr>
      <w:tr w14:paraId="2A9B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BBE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F93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2044B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8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资金支付率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751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7C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7B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8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2D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3F53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0CF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1DB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5B494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3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资金支付</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00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FF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27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0D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FA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100</w:t>
            </w:r>
          </w:p>
        </w:tc>
      </w:tr>
      <w:tr w14:paraId="042F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9C1A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02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2D9B8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可持续影响</w:t>
            </w:r>
          </w:p>
          <w:p w14:paraId="3ECBD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05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破案率</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11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AA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1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94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DE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99</w:t>
            </w:r>
          </w:p>
        </w:tc>
      </w:tr>
      <w:tr w14:paraId="7DA5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A9EC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095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79A4C3D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0D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提升履职能力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1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E3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高</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EA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98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30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FB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高</w:t>
            </w:r>
          </w:p>
        </w:tc>
      </w:tr>
      <w:tr w14:paraId="6A7D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FCED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4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3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5CF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辅警满意度</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8D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5C0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356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D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4F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100</w:t>
            </w:r>
          </w:p>
        </w:tc>
      </w:tr>
    </w:tbl>
    <w:p w14:paraId="5E20690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contextualSpacing/>
        <w:jc w:val="left"/>
        <w:textAlignment w:val="auto"/>
        <w:outlineLvl w:val="9"/>
        <w:rPr>
          <w:rFonts w:hint="eastAsia" w:ascii="Times New Roman" w:hAnsi="Times New Roman" w:eastAsia="仿宋_GB2312" w:cs="仿宋_GB2312"/>
          <w:b w:val="0"/>
          <w:bCs w:val="0"/>
          <w:kern w:val="0"/>
          <w:position w:val="0"/>
          <w:sz w:val="33"/>
          <w:szCs w:val="33"/>
          <w:highlight w:val="none"/>
          <w:lang w:val="en-US" w:eastAsia="zh-CN" w:bidi="ar-SA"/>
        </w:rPr>
      </w:pPr>
    </w:p>
    <w:p w14:paraId="46026E1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08A90E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C8E4B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9FC6B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F76768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8"/>
      <w:bookmarkEnd w:id="49"/>
      <w:bookmarkStart w:id="50" w:name="_Toc15396619"/>
    </w:p>
    <w:p w14:paraId="00DE71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4B32196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5C8BB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719D322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0BCF21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4AE2D5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D2F6F5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457504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21EF82F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37DF99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8084">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9C9C9">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99C9C9">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67794AB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332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E81D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0E81D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D937A">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ED937A">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10E3E4B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1211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01211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9A5D24"/>
    <w:rsid w:val="05434777"/>
    <w:rsid w:val="061E35DE"/>
    <w:rsid w:val="066E0107"/>
    <w:rsid w:val="07996F6E"/>
    <w:rsid w:val="07DFD8BA"/>
    <w:rsid w:val="09867E8F"/>
    <w:rsid w:val="0A2032A3"/>
    <w:rsid w:val="0CA8290A"/>
    <w:rsid w:val="0D35B1ED"/>
    <w:rsid w:val="0F98263C"/>
    <w:rsid w:val="101860EC"/>
    <w:rsid w:val="10C055FF"/>
    <w:rsid w:val="116C0E4F"/>
    <w:rsid w:val="11772AA4"/>
    <w:rsid w:val="118107EC"/>
    <w:rsid w:val="13D50BC4"/>
    <w:rsid w:val="165E0673"/>
    <w:rsid w:val="16BB723D"/>
    <w:rsid w:val="186504BB"/>
    <w:rsid w:val="19A445FC"/>
    <w:rsid w:val="1BE8440E"/>
    <w:rsid w:val="1D155CEE"/>
    <w:rsid w:val="1E740ACF"/>
    <w:rsid w:val="1FF35744"/>
    <w:rsid w:val="1FF6BC77"/>
    <w:rsid w:val="23860B96"/>
    <w:rsid w:val="240371BF"/>
    <w:rsid w:val="260F557C"/>
    <w:rsid w:val="281408E2"/>
    <w:rsid w:val="29FD04D3"/>
    <w:rsid w:val="2BFF7BC6"/>
    <w:rsid w:val="2C8A61B5"/>
    <w:rsid w:val="2DF04E50"/>
    <w:rsid w:val="2F040D46"/>
    <w:rsid w:val="2FAE5751"/>
    <w:rsid w:val="2FB1A395"/>
    <w:rsid w:val="2FD9A7D8"/>
    <w:rsid w:val="319F7F4E"/>
    <w:rsid w:val="3304709D"/>
    <w:rsid w:val="349D6851"/>
    <w:rsid w:val="362E3D32"/>
    <w:rsid w:val="36AA5135"/>
    <w:rsid w:val="36BE0DA7"/>
    <w:rsid w:val="376B6AA6"/>
    <w:rsid w:val="376D39B2"/>
    <w:rsid w:val="37E16F03"/>
    <w:rsid w:val="37F53A3B"/>
    <w:rsid w:val="388301AC"/>
    <w:rsid w:val="389B6C89"/>
    <w:rsid w:val="38D469F0"/>
    <w:rsid w:val="38F96E56"/>
    <w:rsid w:val="39627CCD"/>
    <w:rsid w:val="397BAF1F"/>
    <w:rsid w:val="3AB79AF3"/>
    <w:rsid w:val="3B2E7A2F"/>
    <w:rsid w:val="3B7A2C6A"/>
    <w:rsid w:val="3B7EF35A"/>
    <w:rsid w:val="3B9FDB6C"/>
    <w:rsid w:val="3BF5BC2F"/>
    <w:rsid w:val="3CEBA265"/>
    <w:rsid w:val="3D98207C"/>
    <w:rsid w:val="3DEE7CF3"/>
    <w:rsid w:val="3E78745D"/>
    <w:rsid w:val="3FF4CAE0"/>
    <w:rsid w:val="3FF7B227"/>
    <w:rsid w:val="44E268DA"/>
    <w:rsid w:val="455B6AEB"/>
    <w:rsid w:val="486A6C7A"/>
    <w:rsid w:val="4A54713C"/>
    <w:rsid w:val="4A627F82"/>
    <w:rsid w:val="4B0E749A"/>
    <w:rsid w:val="4B4F25DA"/>
    <w:rsid w:val="4BE068DB"/>
    <w:rsid w:val="4D577224"/>
    <w:rsid w:val="4DBF1CEB"/>
    <w:rsid w:val="4EAB630A"/>
    <w:rsid w:val="4EC03F29"/>
    <w:rsid w:val="4ECE2238"/>
    <w:rsid w:val="4F833267"/>
    <w:rsid w:val="4FE9BD67"/>
    <w:rsid w:val="4FFB052F"/>
    <w:rsid w:val="537E6D0A"/>
    <w:rsid w:val="53C471D1"/>
    <w:rsid w:val="53F74C96"/>
    <w:rsid w:val="542B3255"/>
    <w:rsid w:val="56E47B74"/>
    <w:rsid w:val="57BD3DD4"/>
    <w:rsid w:val="5ABD38A2"/>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64B1D71"/>
    <w:rsid w:val="67AA3209"/>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20234C"/>
    <w:rsid w:val="7CBFC87B"/>
    <w:rsid w:val="7CFE0F48"/>
    <w:rsid w:val="7D7EC23E"/>
    <w:rsid w:val="7E8ADEBF"/>
    <w:rsid w:val="7EC26070"/>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表文字"/>
    <w:basedOn w:val="36"/>
    <w:qFormat/>
    <w:uiPriority w:val="5"/>
    <w:pPr>
      <w:widowControl/>
      <w:pBdr>
        <w:between w:val="single" w:color="auto" w:sz="4" w:space="1"/>
      </w:pBdr>
      <w:spacing w:line="320" w:lineRule="exact"/>
      <w:ind w:firstLine="0" w:firstLineChars="0"/>
      <w:jc w:val="center"/>
    </w:pPr>
    <w:rPr>
      <w:rFonts w:cs="宋体"/>
      <w:bCs/>
      <w:color w:val="000000"/>
      <w:sz w:val="22"/>
    </w:rPr>
  </w:style>
  <w:style w:type="paragraph" w:customStyle="1" w:styleId="36">
    <w:name w:val="报告正文"/>
    <w:basedOn w:val="1"/>
    <w:qFormat/>
    <w:uiPriority w:val="0"/>
    <w:pPr>
      <w:spacing w:line="600" w:lineRule="exact"/>
      <w:ind w:firstLine="200" w:firstLineChars="200"/>
    </w:pPr>
    <w:rPr>
      <w:rFonts w:eastAsia="仿宋"/>
      <w:kern w:val="0"/>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8955</Words>
  <Characters>10121</Characters>
  <Lines>61</Lines>
  <Paragraphs>17</Paragraphs>
  <TotalTime>1</TotalTime>
  <ScaleCrop>false</ScaleCrop>
  <LinksUpToDate>false</LinksUpToDate>
  <CharactersWithSpaces>10192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；_；</cp:lastModifiedBy>
  <cp:lastPrinted>2025-07-29T14:54:00Z</cp:lastPrinted>
  <dcterms:modified xsi:type="dcterms:W3CDTF">2025-08-22T02:56:02Z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3BF536824C220DA3E40E8B68BA118B1C_42</vt:lpwstr>
  </property>
  <property fmtid="{D5CDD505-2E9C-101B-9397-08002B2CF9AE}" pid="4" name="KSOTemplateDocerSaveRecord">
    <vt:lpwstr>eyJoZGlkIjoiN2VkMjA4NzdhN2EyY2YwZmFlMDhiNzkwMTY5OWZlYWEiLCJ1c2VySWQiOiI3OTM1NDgyMTIifQ==</vt:lpwstr>
  </property>
</Properties>
</file>