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B9896">
      <w:pPr>
        <w:spacing w:line="600" w:lineRule="exact"/>
        <w:jc w:val="center"/>
        <w:outlineLvl w:val="0"/>
        <w:rPr>
          <w:rFonts w:ascii="方正小标宋简体" w:hAnsi="宋体" w:eastAsia="方正小标宋简体"/>
          <w:sz w:val="72"/>
          <w:szCs w:val="72"/>
        </w:rPr>
      </w:pPr>
      <w:bookmarkStart w:id="0" w:name="_Toc15306267"/>
      <w:bookmarkStart w:id="1" w:name="_Toc15377193"/>
      <w:bookmarkStart w:id="2" w:name="_Toc15396475"/>
      <w:bookmarkStart w:id="3" w:name="_Toc15378441"/>
      <w:bookmarkStart w:id="4" w:name="_Toc15396597"/>
      <w:bookmarkStart w:id="5" w:name="_Toc15377425"/>
    </w:p>
    <w:p w14:paraId="4F6EAA65">
      <w:pPr>
        <w:spacing w:line="600" w:lineRule="exact"/>
        <w:jc w:val="center"/>
        <w:outlineLvl w:val="0"/>
        <w:rPr>
          <w:rFonts w:ascii="方正小标宋简体" w:hAnsi="宋体" w:eastAsia="方正小标宋简体"/>
          <w:sz w:val="72"/>
          <w:szCs w:val="72"/>
        </w:rPr>
      </w:pPr>
    </w:p>
    <w:p w14:paraId="537F62AA">
      <w:pPr>
        <w:spacing w:line="600" w:lineRule="exact"/>
        <w:jc w:val="center"/>
        <w:outlineLvl w:val="0"/>
        <w:rPr>
          <w:rFonts w:ascii="方正小标宋简体" w:hAnsi="宋体" w:eastAsia="方正小标宋简体"/>
          <w:sz w:val="72"/>
          <w:szCs w:val="72"/>
        </w:rPr>
      </w:pPr>
    </w:p>
    <w:p w14:paraId="452BDA57">
      <w:pPr>
        <w:pStyle w:val="2"/>
        <w:rPr>
          <w:rFonts w:ascii="方正小标宋简体" w:hAnsi="宋体" w:eastAsia="方正小标宋简体"/>
          <w:sz w:val="72"/>
          <w:szCs w:val="72"/>
        </w:rPr>
      </w:pPr>
    </w:p>
    <w:p w14:paraId="54468BF6">
      <w:pPr>
        <w:pStyle w:val="2"/>
        <w:rPr>
          <w:rFonts w:ascii="方正小标宋简体" w:hAnsi="宋体" w:eastAsia="方正小标宋简体"/>
          <w:sz w:val="72"/>
          <w:szCs w:val="72"/>
        </w:rPr>
      </w:pPr>
    </w:p>
    <w:p w14:paraId="28E00F59">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3" w:name="_GoBack"/>
      <w:bookmarkEnd w:id="63"/>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4</w:t>
      </w:r>
      <w:r>
        <w:rPr>
          <w:rFonts w:hint="eastAsia" w:ascii="方正小标宋简体" w:hAnsi="方正小标宋简体" w:eastAsia="方正小标宋简体" w:cs="方正小标宋简体"/>
          <w:sz w:val="52"/>
          <w:szCs w:val="52"/>
        </w:rPr>
        <w:t>年度</w:t>
      </w:r>
      <w:bookmarkEnd w:id="0"/>
      <w:bookmarkEnd w:id="1"/>
      <w:bookmarkEnd w:id="2"/>
      <w:bookmarkEnd w:id="3"/>
      <w:bookmarkEnd w:id="4"/>
      <w:bookmarkEnd w:id="5"/>
      <w:bookmarkStart w:id="6" w:name="_Toc15396598"/>
      <w:bookmarkStart w:id="7" w:name="_Toc15306268"/>
      <w:bookmarkStart w:id="8" w:name="_Toc15396476"/>
      <w:bookmarkStart w:id="9" w:name="_Toc15378442"/>
      <w:bookmarkStart w:id="10" w:name="_Toc15377426"/>
      <w:bookmarkStart w:id="11" w:name="_Toc15377194"/>
      <w:r>
        <w:rPr>
          <w:rFonts w:hint="eastAsia" w:ascii="方正小标宋简体" w:hAnsi="方正小标宋简体" w:eastAsia="方正小标宋简体" w:cs="方正小标宋简体"/>
          <w:sz w:val="52"/>
          <w:szCs w:val="52"/>
        </w:rPr>
        <w:t>遂宁市强制</w:t>
      </w:r>
      <w:r>
        <w:rPr>
          <w:rFonts w:hint="eastAsia" w:ascii="方正小标宋简体" w:hAnsi="方正小标宋简体" w:eastAsia="方正小标宋简体" w:cs="方正小标宋简体"/>
          <w:sz w:val="52"/>
          <w:szCs w:val="52"/>
          <w:lang w:val="en-US" w:eastAsia="zh-CN"/>
        </w:rPr>
        <w:t>医疗</w:t>
      </w:r>
      <w:r>
        <w:rPr>
          <w:rFonts w:hint="eastAsia" w:ascii="方正小标宋简体" w:hAnsi="方正小标宋简体" w:eastAsia="方正小标宋简体" w:cs="方正小标宋简体"/>
          <w:sz w:val="52"/>
          <w:szCs w:val="52"/>
        </w:rPr>
        <w:t xml:space="preserve">所 </w:t>
      </w:r>
      <w:r>
        <w:rPr>
          <w:rFonts w:ascii="方正小标宋简体" w:hAnsi="方正小标宋简体" w:eastAsia="方正小标宋简体" w:cs="方正小标宋简体"/>
          <w:sz w:val="52"/>
          <w:szCs w:val="52"/>
        </w:rPr>
        <w:t xml:space="preserve"> </w:t>
      </w:r>
    </w:p>
    <w:p w14:paraId="29568E8D">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单位决算</w:t>
      </w:r>
      <w:bookmarkEnd w:id="6"/>
      <w:bookmarkEnd w:id="7"/>
      <w:bookmarkEnd w:id="8"/>
      <w:bookmarkEnd w:id="9"/>
      <w:bookmarkEnd w:id="10"/>
      <w:bookmarkEnd w:id="11"/>
    </w:p>
    <w:p w14:paraId="67214F6A">
      <w:pPr>
        <w:widowControl/>
        <w:numPr>
          <w:ilvl w:val="0"/>
          <w:numId w:val="1"/>
        </w:numPr>
        <w:adjustRightInd w:val="0"/>
        <w:snapToGrid w:val="0"/>
        <w:spacing w:line="580" w:lineRule="exact"/>
        <w:contextualSpacing/>
        <w:jc w:val="left"/>
        <w:rPr>
          <w:rFonts w:hint="eastAsia" w:ascii="仿宋_GB2312" w:hAnsi="Calibri" w:eastAsia="仿宋_GB2312" w:cs="仿宋"/>
          <w:color w:val="auto"/>
          <w:kern w:val="0"/>
          <w:sz w:val="32"/>
          <w:szCs w:val="32"/>
          <w:highlight w:val="none"/>
          <w:lang w:val="en-US" w:eastAsia="zh-CN" w:bidi="ar-SA"/>
        </w:rPr>
      </w:pPr>
      <w:r>
        <w:rPr>
          <w:rFonts w:ascii="方正小标宋简体" w:hAnsi="宋体" w:eastAsia="方正小标宋简体"/>
          <w:sz w:val="36"/>
          <w:szCs w:val="36"/>
        </w:rPr>
        <w:br w:type="page"/>
      </w:r>
    </w:p>
    <w:p w14:paraId="687304B7">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0F3DD1FC">
      <w:pPr>
        <w:widowControl/>
        <w:jc w:val="center"/>
        <w:rPr>
          <w:rFonts w:ascii="黑体" w:hAnsi="黑体" w:eastAsia="黑体"/>
          <w:color w:val="auto"/>
          <w:sz w:val="48"/>
          <w:szCs w:val="48"/>
          <w:highlight w:val="none"/>
        </w:rPr>
      </w:pPr>
      <w:bookmarkStart w:id="12" w:name="_Toc15396599"/>
      <w:bookmarkStart w:id="13" w:name="_Toc15377196"/>
      <w:r>
        <w:rPr>
          <w:rFonts w:hint="eastAsia" w:ascii="黑体" w:hAnsi="黑体" w:eastAsia="黑体"/>
          <w:color w:val="auto"/>
          <w:sz w:val="48"/>
          <w:szCs w:val="48"/>
          <w:highlight w:val="none"/>
        </w:rPr>
        <w:t>目录</w:t>
      </w:r>
    </w:p>
    <w:p w14:paraId="35CB9842">
      <w:pPr>
        <w:widowControl/>
        <w:jc w:val="center"/>
        <w:rPr>
          <w:rFonts w:ascii="黑体" w:hAnsi="黑体" w:eastAsia="黑体" w:cstheme="minorBidi"/>
          <w:color w:val="auto"/>
          <w:sz w:val="28"/>
          <w:szCs w:val="28"/>
          <w:highlight w:val="none"/>
        </w:rPr>
      </w:pPr>
    </w:p>
    <w:p w14:paraId="762136E6">
      <w:pPr>
        <w:pStyle w:val="11"/>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p>
    <w:p w14:paraId="2514FF96">
      <w:pPr>
        <w:rPr>
          <w:color w:val="auto"/>
          <w:highlight w:val="none"/>
        </w:rPr>
      </w:pPr>
    </w:p>
    <w:p w14:paraId="1B8AC08E">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val="en-US" w:eastAsia="zh-CN"/>
        </w:rPr>
        <w:t xml:space="preserve"> 单位</w:t>
      </w:r>
      <w:r>
        <w:rPr>
          <w:rFonts w:hint="eastAsia"/>
          <w:color w:val="auto"/>
          <w:sz w:val="24"/>
          <w:highlight w:val="none"/>
        </w:rPr>
        <w:t>概况</w:t>
      </w:r>
      <w:r>
        <w:rPr>
          <w:rFonts w:hint="eastAsia"/>
          <w:color w:val="auto"/>
          <w:sz w:val="24"/>
          <w:highlight w:val="none"/>
          <w:lang w:val="en-US" w:eastAsia="zh-CN"/>
        </w:rPr>
        <w:t>................................................1</w:t>
      </w:r>
    </w:p>
    <w:p w14:paraId="64C91075">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val="en-US" w:eastAsia="zh-CN"/>
        </w:rPr>
        <w:t>主要职责......................................................................................................1</w:t>
      </w:r>
    </w:p>
    <w:p w14:paraId="0C76C67E">
      <w:pPr>
        <w:pStyle w:val="12"/>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机构设置</w:t>
      </w:r>
      <w:r>
        <w:rPr>
          <w:rFonts w:hint="eastAsia"/>
          <w:color w:val="auto"/>
          <w:sz w:val="24"/>
          <w:highlight w:val="none"/>
          <w:lang w:val="en-US" w:eastAsia="zh-CN"/>
        </w:rPr>
        <w:t>......................................................................................................1</w:t>
      </w:r>
    </w:p>
    <w:p w14:paraId="1F316323">
      <w:pPr>
        <w:pStyle w:val="11"/>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.................................2</w:t>
      </w:r>
    </w:p>
    <w:p w14:paraId="73D5EEB2">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......................................................................2</w:t>
      </w:r>
    </w:p>
    <w:p w14:paraId="635A6740">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二、收入决算情况说明</w:t>
      </w:r>
      <w:r>
        <w:rPr>
          <w:rFonts w:hint="eastAsia"/>
          <w:color w:val="auto"/>
          <w:sz w:val="24"/>
          <w:highlight w:val="none"/>
          <w:lang w:val="en-US" w:eastAsia="zh-CN"/>
        </w:rPr>
        <w:t>......................................................................................2</w:t>
      </w:r>
    </w:p>
    <w:p w14:paraId="5A9996F6">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color w:val="auto"/>
          <w:sz w:val="24"/>
          <w:highlight w:val="none"/>
          <w:lang w:val="en-US" w:eastAsia="zh-CN"/>
        </w:rPr>
        <w:t>......................................................................................3</w:t>
      </w:r>
    </w:p>
    <w:p w14:paraId="6AA2CF2A">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color w:val="auto"/>
          <w:sz w:val="24"/>
          <w:highlight w:val="none"/>
          <w:lang w:val="en-US" w:eastAsia="zh-CN"/>
        </w:rPr>
        <w:t>......................................................3</w:t>
      </w:r>
    </w:p>
    <w:p w14:paraId="124D75C3">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color w:val="auto"/>
          <w:sz w:val="24"/>
          <w:highlight w:val="none"/>
          <w:lang w:val="en-US" w:eastAsia="zh-CN"/>
        </w:rPr>
        <w:t>..............................................4</w:t>
      </w:r>
    </w:p>
    <w:p w14:paraId="1EA67DA0">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val="en-US" w:eastAsia="zh-CN"/>
        </w:rPr>
        <w:t>......................................6</w:t>
      </w:r>
    </w:p>
    <w:p w14:paraId="36D2AC28">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w:t>
      </w:r>
      <w:r>
        <w:rPr>
          <w:rFonts w:hint="eastAsia"/>
          <w:color w:val="auto"/>
          <w:sz w:val="24"/>
          <w:highlight w:val="none"/>
          <w:lang w:val="en-US" w:eastAsia="zh-CN"/>
        </w:rPr>
        <w:t>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..............................................6</w:t>
      </w:r>
    </w:p>
    <w:p w14:paraId="640DC9AD">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val="en-US" w:eastAsia="zh-CN"/>
        </w:rPr>
        <w:t>..........................................................7</w:t>
      </w:r>
    </w:p>
    <w:p w14:paraId="128E1374">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color w:val="auto"/>
          <w:sz w:val="24"/>
          <w:highlight w:val="none"/>
          <w:lang w:val="en-US" w:eastAsia="zh-CN"/>
        </w:rPr>
        <w:t>......................................................7</w:t>
      </w:r>
    </w:p>
    <w:p w14:paraId="07A601A7">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val="en-US" w:eastAsia="zh-CN"/>
        </w:rPr>
        <w:t>..........................................................................8</w:t>
      </w:r>
    </w:p>
    <w:p w14:paraId="64C1BE2F">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.................................................9</w:t>
      </w:r>
    </w:p>
    <w:p w14:paraId="2340C91C">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....................................................11</w:t>
      </w:r>
    </w:p>
    <w:p w14:paraId="7727FCBF">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....................................................12</w:t>
      </w:r>
    </w:p>
    <w:p w14:paraId="7B72F7E8">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rPr>
          <w:rFonts w:hint="eastAsia"/>
          <w:color w:val="auto"/>
          <w:sz w:val="24"/>
          <w:highlight w:val="none"/>
          <w:lang w:val="en-US" w:eastAsia="zh-CN"/>
        </w:rPr>
        <w:t>...................................................................................12</w:t>
      </w:r>
    </w:p>
    <w:p w14:paraId="40DA8A2C">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eastAsia"/>
          <w:color w:val="auto"/>
          <w:sz w:val="24"/>
          <w:highlight w:val="none"/>
          <w:lang w:val="en-US" w:eastAsia="zh-CN"/>
        </w:rPr>
        <w:t>...............................................................................................12</w:t>
      </w:r>
    </w:p>
    <w:p w14:paraId="09623AA3">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三、支出决算表</w:t>
      </w:r>
      <w:r>
        <w:rPr>
          <w:rFonts w:hint="eastAsia"/>
          <w:color w:val="auto"/>
          <w:sz w:val="24"/>
          <w:highlight w:val="none"/>
          <w:lang w:val="en-US" w:eastAsia="zh-CN"/>
        </w:rPr>
        <w:t>...............................................................................................12</w:t>
      </w:r>
    </w:p>
    <w:p w14:paraId="76B7510C">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四、财政拨款收入支出决算总表</w:t>
      </w:r>
      <w:r>
        <w:rPr>
          <w:rFonts w:hint="eastAsia"/>
          <w:color w:val="auto"/>
          <w:sz w:val="24"/>
          <w:highlight w:val="none"/>
          <w:lang w:val="en-US" w:eastAsia="zh-CN"/>
        </w:rPr>
        <w:t>...................................................................12</w:t>
      </w:r>
    </w:p>
    <w:p w14:paraId="3B976AF1">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五、财政拨款支出决算明细表</w:t>
      </w:r>
      <w:r>
        <w:rPr>
          <w:rFonts w:hint="eastAsia"/>
          <w:color w:val="auto"/>
          <w:sz w:val="24"/>
          <w:highlight w:val="none"/>
          <w:lang w:val="en-US" w:eastAsia="zh-CN"/>
        </w:rPr>
        <w:t>.......................................................................12</w:t>
      </w:r>
    </w:p>
    <w:p w14:paraId="0AA28501">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六、一般公共预算财政拨款支出决算表</w:t>
      </w:r>
      <w:r>
        <w:rPr>
          <w:rFonts w:hint="eastAsia"/>
          <w:color w:val="auto"/>
          <w:sz w:val="24"/>
          <w:highlight w:val="none"/>
          <w:lang w:val="en-US" w:eastAsia="zh-CN"/>
        </w:rPr>
        <w:t>.......................................................12</w:t>
      </w:r>
    </w:p>
    <w:p w14:paraId="53EF329B">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color w:val="auto"/>
          <w:sz w:val="24"/>
          <w:highlight w:val="none"/>
          <w:lang w:val="en-US" w:eastAsia="zh-CN"/>
        </w:rPr>
        <w:t>...............................................12</w:t>
      </w:r>
    </w:p>
    <w:p w14:paraId="234E28E6">
      <w:pPr>
        <w:pStyle w:val="12"/>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r>
        <w:rPr>
          <w:rFonts w:hint="eastAsia"/>
          <w:color w:val="auto"/>
          <w:sz w:val="24"/>
          <w:highlight w:val="none"/>
          <w:lang w:val="en-US" w:eastAsia="zh-CN"/>
        </w:rPr>
        <w:t>...............................................12</w:t>
      </w:r>
    </w:p>
    <w:p w14:paraId="56B9AE9B">
      <w:pPr>
        <w:pStyle w:val="12"/>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r>
        <w:rPr>
          <w:rFonts w:hint="eastAsia"/>
          <w:color w:val="auto"/>
          <w:sz w:val="24"/>
          <w:highlight w:val="none"/>
          <w:lang w:val="en-US" w:eastAsia="zh-CN"/>
        </w:rPr>
        <w:t>...............................................12</w:t>
      </w:r>
    </w:p>
    <w:p w14:paraId="15FD007B">
      <w:pPr>
        <w:pStyle w:val="12"/>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r>
        <w:rPr>
          <w:rFonts w:hint="eastAsia"/>
          <w:color w:val="auto"/>
          <w:sz w:val="24"/>
          <w:highlight w:val="none"/>
          <w:lang w:val="en-US" w:eastAsia="zh-CN"/>
        </w:rPr>
        <w:t>...........................................12</w:t>
      </w:r>
    </w:p>
    <w:p w14:paraId="33120280">
      <w:pPr>
        <w:pStyle w:val="12"/>
        <w:adjustRightInd w:val="0"/>
        <w:snapToGrid w:val="0"/>
        <w:spacing w:line="440" w:lineRule="exact"/>
        <w:jc w:val="left"/>
        <w:rPr>
          <w:rFonts w:hint="eastAsia"/>
          <w:color w:val="auto"/>
          <w:sz w:val="24"/>
          <w:highlight w:val="none"/>
        </w:rPr>
      </w:pPr>
      <w:r>
        <w:rPr>
          <w:rFonts w:hint="eastAsia"/>
          <w:color w:val="auto"/>
          <w:sz w:val="24"/>
          <w:highlight w:val="none"/>
        </w:rPr>
        <w:t>十</w:t>
      </w:r>
      <w:r>
        <w:rPr>
          <w:rFonts w:hint="eastAsia"/>
          <w:color w:val="auto"/>
          <w:sz w:val="24"/>
          <w:highlight w:val="none"/>
          <w:lang w:val="en-US" w:eastAsia="zh-CN"/>
        </w:rPr>
        <w:t>一</w:t>
      </w:r>
      <w:r>
        <w:rPr>
          <w:rFonts w:hint="eastAsia"/>
          <w:color w:val="auto"/>
          <w:sz w:val="24"/>
          <w:highlight w:val="none"/>
        </w:rPr>
        <w:t>、国有资本经营预算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lang w:val="en-US" w:eastAsia="zh-CN"/>
        </w:rPr>
        <w:t>...................................12</w:t>
      </w:r>
    </w:p>
    <w:p w14:paraId="30CDE90B">
      <w:pPr>
        <w:pStyle w:val="12"/>
        <w:adjustRightInd w:val="0"/>
        <w:snapToGrid w:val="0"/>
        <w:spacing w:line="440" w:lineRule="exact"/>
        <w:jc w:val="left"/>
        <w:rPr>
          <w:rFonts w:hint="eastAsia"/>
        </w:rPr>
      </w:pPr>
      <w:r>
        <w:rPr>
          <w:rFonts w:hint="eastAsia"/>
          <w:color w:val="auto"/>
          <w:sz w:val="24"/>
          <w:highlight w:val="none"/>
          <w:lang w:val="en-US" w:eastAsia="zh-CN"/>
        </w:rPr>
        <w:t>十二、国有资本经营预算财政拨款支出决算表...........................................12</w:t>
      </w:r>
    </w:p>
    <w:p w14:paraId="7CAED21D">
      <w:pPr>
        <w:pStyle w:val="12"/>
        <w:adjustRightInd w:val="0"/>
        <w:snapToGrid w:val="0"/>
        <w:spacing w:line="440" w:lineRule="exact"/>
        <w:jc w:val="left"/>
        <w:rPr>
          <w:rFonts w:hint="default"/>
          <w:lang w:val="en-US"/>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color w:val="auto"/>
          <w:sz w:val="24"/>
          <w:highlight w:val="none"/>
          <w:lang w:val="en-US" w:eastAsia="zh-CN"/>
        </w:rPr>
        <w:t>十三、财政拨款“三公”经费支出决算表...................................................12</w:t>
      </w:r>
    </w:p>
    <w:p w14:paraId="728C32BC">
      <w:pPr>
        <w:widowControl/>
        <w:spacing w:line="440" w:lineRule="exact"/>
        <w:jc w:val="left"/>
        <w:rPr>
          <w:rFonts w:ascii="仿宋" w:hAnsi="仿宋" w:eastAsia="仿宋"/>
          <w:bCs/>
          <w:kern w:val="44"/>
          <w:sz w:val="24"/>
        </w:rPr>
      </w:pPr>
    </w:p>
    <w:p w14:paraId="708CCB93">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lang w:val="en-US" w:eastAsia="zh-CN"/>
        </w:rPr>
        <w:t>单位</w:t>
      </w:r>
      <w:r>
        <w:rPr>
          <w:rStyle w:val="28"/>
          <w:rFonts w:hint="eastAsia" w:ascii="黑体" w:hAnsi="黑体" w:eastAsia="黑体"/>
          <w:b w:val="0"/>
          <w:bCs w:val="0"/>
        </w:rPr>
        <w:t>概况</w:t>
      </w:r>
      <w:bookmarkEnd w:id="12"/>
      <w:bookmarkEnd w:id="13"/>
    </w:p>
    <w:p w14:paraId="443F9353">
      <w:pPr>
        <w:widowControl/>
        <w:jc w:val="left"/>
        <w:rPr>
          <w:rFonts w:ascii="黑体" w:eastAsia="黑体"/>
          <w:sz w:val="32"/>
          <w:szCs w:val="32"/>
        </w:rPr>
      </w:pPr>
    </w:p>
    <w:p w14:paraId="679604A5">
      <w:pPr>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一、主要职责</w:t>
      </w:r>
    </w:p>
    <w:p w14:paraId="5098B9F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1.组织专业医疗机构人员在市级公安监管场所内开展日常巡诊，为市级公安监管场所被监管人员提供健康检查、常规检查、一般治疗、急救处置、传染病预防控制等医疗卫生服务</w:t>
      </w:r>
      <w:r>
        <w:rPr>
          <w:rFonts w:hint="eastAsia" w:ascii="仿宋" w:hAnsi="仿宋" w:eastAsia="仿宋" w:cs="仿宋"/>
          <w:sz w:val="32"/>
          <w:szCs w:val="32"/>
        </w:rPr>
        <w:t>。</w:t>
      </w:r>
    </w:p>
    <w:p w14:paraId="0B272E8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对市级公安监管场所新收被监管人员进行入所前健康检查</w:t>
      </w:r>
      <w:r>
        <w:rPr>
          <w:rFonts w:hint="eastAsia" w:ascii="仿宋" w:hAnsi="仿宋" w:eastAsia="仿宋" w:cs="仿宋"/>
          <w:sz w:val="32"/>
          <w:szCs w:val="32"/>
        </w:rPr>
        <w:t>。</w:t>
      </w:r>
    </w:p>
    <w:p w14:paraId="0B4DBCB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对有肇事肇祸行为、危害公共安全或者严重危害公民人身安全，经法定程序鉴定依法不负刑事责任，且有继续危害社会可能的严重精神障碍患者和被人民法院决定强制医疗的精神病人进行依法强制监管</w:t>
      </w:r>
      <w:r>
        <w:rPr>
          <w:rFonts w:hint="eastAsia" w:ascii="仿宋" w:hAnsi="仿宋" w:eastAsia="仿宋" w:cs="仿宋"/>
          <w:sz w:val="32"/>
          <w:szCs w:val="32"/>
        </w:rPr>
        <w:t>。</w:t>
      </w:r>
    </w:p>
    <w:p w14:paraId="4F84EC72">
      <w:pPr>
        <w:pStyle w:val="2"/>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lang w:val="en-US" w:eastAsia="zh-CN"/>
        </w:rPr>
      </w:pPr>
      <w:r>
        <w:rPr>
          <w:rFonts w:hint="eastAsia" w:ascii="仿宋" w:hAnsi="仿宋" w:eastAsia="仿宋" w:cs="仿宋"/>
          <w:sz w:val="32"/>
          <w:szCs w:val="32"/>
          <w:lang w:val="en-US" w:eastAsia="zh-CN"/>
        </w:rPr>
        <w:t xml:space="preserve">    4.承担在治精神病人的精神疾病治疗、心理治疗、身体康复训练、道德教育、安全监管、诊断评估和保障工作。</w:t>
      </w:r>
    </w:p>
    <w:p w14:paraId="03B623EF">
      <w:pPr>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bookmarkStart w:id="14" w:name="_Toc15377200"/>
      <w:bookmarkStart w:id="15" w:name="_Toc15396601"/>
      <w:r>
        <w:rPr>
          <w:rFonts w:hint="eastAsia" w:ascii="黑体" w:hAnsi="黑体" w:eastAsia="黑体" w:cs="黑体"/>
          <w:sz w:val="32"/>
          <w:szCs w:val="32"/>
          <w:lang w:val="en-US" w:eastAsia="zh-CN"/>
        </w:rPr>
        <w:t>二、机构设置</w:t>
      </w:r>
      <w:bookmarkEnd w:id="14"/>
      <w:bookmarkEnd w:id="15"/>
    </w:p>
    <w:p w14:paraId="5FF8D00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遂宁市强制医疗所属市公安局下属二级预算单位,无内设科室。</w:t>
      </w:r>
    </w:p>
    <w:p w14:paraId="646300B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14:paraId="5563E2E1">
      <w:pPr>
        <w:pStyle w:val="2"/>
        <w:spacing w:before="93"/>
        <w:rPr>
          <w:rFonts w:hint="eastAsia"/>
        </w:rPr>
      </w:pPr>
    </w:p>
    <w:p w14:paraId="2AE19CD8">
      <w:pPr>
        <w:pStyle w:val="2"/>
        <w:spacing w:before="93"/>
        <w:rPr>
          <w:rFonts w:hint="eastAsia"/>
        </w:rPr>
      </w:pPr>
    </w:p>
    <w:p w14:paraId="37544D89">
      <w:pPr>
        <w:pStyle w:val="3"/>
        <w:ind w:right="440"/>
        <w:jc w:val="center"/>
        <w:rPr>
          <w:rStyle w:val="28"/>
          <w:rFonts w:ascii="黑体" w:hAnsi="黑体" w:eastAsia="黑体"/>
          <w:b w:val="0"/>
          <w:bCs/>
        </w:rPr>
      </w:pPr>
      <w:bookmarkStart w:id="16" w:name="_Toc15377204"/>
      <w:bookmarkStart w:id="17" w:name="_Toc15396602"/>
      <w:r>
        <w:rPr>
          <w:rFonts w:hint="eastAsia" w:ascii="黑体" w:hAnsi="黑体" w:eastAsia="黑体"/>
          <w:b w:val="0"/>
          <w:lang w:val="en-US" w:eastAsia="zh-CN"/>
        </w:rPr>
        <w:t xml:space="preserve">  </w:t>
      </w:r>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8"/>
          <w:rFonts w:hint="eastAsia" w:ascii="黑体" w:hAnsi="黑体" w:eastAsia="黑体"/>
          <w:b w:val="0"/>
          <w:bCs/>
          <w:lang w:val="en-US" w:eastAsia="zh-CN"/>
        </w:rPr>
        <w:t>单位</w:t>
      </w:r>
      <w:r>
        <w:rPr>
          <w:rStyle w:val="28"/>
          <w:rFonts w:hint="eastAsia" w:ascii="黑体" w:hAnsi="黑体" w:eastAsia="黑体"/>
          <w:b w:val="0"/>
          <w:bCs/>
        </w:rPr>
        <w:t>决算情况说明</w:t>
      </w:r>
      <w:bookmarkEnd w:id="16"/>
      <w:bookmarkEnd w:id="17"/>
    </w:p>
    <w:p w14:paraId="0278B584"/>
    <w:p w14:paraId="50F33074">
      <w:pPr>
        <w:pStyle w:val="27"/>
        <w:numPr>
          <w:ilvl w:val="0"/>
          <w:numId w:val="2"/>
        </w:numPr>
        <w:spacing w:line="600" w:lineRule="exact"/>
        <w:ind w:firstLineChars="0"/>
        <w:outlineLvl w:val="1"/>
        <w:rPr>
          <w:rStyle w:val="29"/>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14:paraId="2DEBA0F7">
      <w:pPr>
        <w:spacing w:line="600" w:lineRule="exact"/>
        <w:ind w:firstLine="640" w:firstLineChars="200"/>
        <w:rPr>
          <w:rFonts w:hint="eastAsia" w:eastAsia="仿宋_GB2312"/>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w:t>
      </w:r>
      <w:r>
        <w:rPr>
          <w:rFonts w:hint="eastAsia" w:ascii="仿宋" w:hAnsi="仿宋" w:eastAsia="仿宋"/>
          <w:sz w:val="32"/>
          <w:szCs w:val="32"/>
          <w:lang w:val="en-US" w:eastAsia="zh-CN"/>
        </w:rPr>
        <w:t>404.56</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408.69万</w:t>
      </w:r>
      <w:r>
        <w:rPr>
          <w:rFonts w:hint="eastAsia" w:ascii="仿宋" w:hAnsi="仿宋" w:eastAsia="仿宋"/>
          <w:sz w:val="32"/>
          <w:szCs w:val="32"/>
        </w:rPr>
        <w:t>相比，收、支总计各</w:t>
      </w:r>
      <w:r>
        <w:rPr>
          <w:rFonts w:hint="eastAsia" w:ascii="仿宋" w:hAnsi="仿宋" w:eastAsia="仿宋"/>
          <w:sz w:val="32"/>
          <w:szCs w:val="32"/>
          <w:lang w:val="en-US" w:eastAsia="zh-CN"/>
        </w:rPr>
        <w:t>减少4.13</w:t>
      </w:r>
      <w:r>
        <w:rPr>
          <w:rFonts w:hint="eastAsia" w:ascii="仿宋" w:hAnsi="仿宋" w:eastAsia="仿宋"/>
          <w:sz w:val="32"/>
          <w:szCs w:val="32"/>
        </w:rPr>
        <w:t>万元，分别</w:t>
      </w:r>
      <w:r>
        <w:rPr>
          <w:rFonts w:hint="eastAsia" w:ascii="仿宋" w:hAnsi="仿宋" w:eastAsia="仿宋"/>
          <w:sz w:val="32"/>
          <w:szCs w:val="32"/>
          <w:lang w:val="en-US" w:eastAsia="zh-CN"/>
        </w:rPr>
        <w:t>减少1.01%</w:t>
      </w:r>
      <w:r>
        <w:rPr>
          <w:rFonts w:hint="eastAsia" w:ascii="仿宋" w:hAnsi="仿宋" w:eastAsia="仿宋"/>
          <w:sz w:val="32"/>
          <w:szCs w:val="32"/>
        </w:rPr>
        <w:t>。主要原因</w:t>
      </w:r>
      <w:r>
        <w:rPr>
          <w:rFonts w:hint="eastAsia" w:ascii="仿宋" w:hAnsi="仿宋" w:eastAsia="仿宋"/>
          <w:sz w:val="32"/>
          <w:szCs w:val="32"/>
          <w:lang w:val="en-US" w:eastAsia="zh-CN"/>
        </w:rPr>
        <w:t>为日常公用经费的减少</w:t>
      </w:r>
      <w:r>
        <w:rPr>
          <w:rFonts w:hint="eastAsia" w:ascii="仿宋" w:hAnsi="仿宋" w:eastAsia="仿宋"/>
          <w:sz w:val="32"/>
          <w:szCs w:val="32"/>
        </w:rPr>
        <w:t>。</w:t>
      </w:r>
    </w:p>
    <w:p w14:paraId="25F12BF7">
      <w:pPr>
        <w:pStyle w:val="2"/>
        <w:spacing w:beforeLines="0"/>
        <w:jc w:val="center"/>
        <w:rPr>
          <w:rFonts w:hint="eastAsia" w:eastAsia="仿宋_GB2312"/>
          <w:lang w:eastAsia="zh-CN"/>
        </w:rPr>
      </w:pPr>
      <w:r>
        <w:drawing>
          <wp:inline distT="0" distB="0" distL="114300" distR="114300">
            <wp:extent cx="4826000" cy="2743200"/>
            <wp:effectExtent l="4445" t="4445" r="15875" b="1079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2D1FC2">
      <w:pPr>
        <w:spacing w:line="240" w:lineRule="auto"/>
        <w:jc w:val="center"/>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1DFF5EE4">
      <w:pPr>
        <w:pStyle w:val="27"/>
        <w:numPr>
          <w:ilvl w:val="0"/>
          <w:numId w:val="2"/>
        </w:numPr>
        <w:spacing w:line="600" w:lineRule="exact"/>
        <w:ind w:firstLineChars="0"/>
        <w:outlineLvl w:val="1"/>
        <w:rPr>
          <w:rStyle w:val="29"/>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14:paraId="5997F31C">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年本年收入合计</w:t>
      </w:r>
      <w:r>
        <w:rPr>
          <w:rFonts w:hint="eastAsia" w:ascii="仿宋" w:hAnsi="仿宋" w:eastAsia="仿宋"/>
          <w:sz w:val="32"/>
          <w:szCs w:val="32"/>
          <w:lang w:val="en-US" w:eastAsia="zh-CN"/>
        </w:rPr>
        <w:t>404.56</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404.56</w:t>
      </w:r>
      <w:r>
        <w:rPr>
          <w:rFonts w:hint="eastAsia" w:ascii="仿宋" w:hAnsi="仿宋" w:eastAsia="仿宋"/>
          <w:sz w:val="32"/>
          <w:szCs w:val="32"/>
        </w:rPr>
        <w:t>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；附属单位上缴收入0万元，占0；其他收入0万元，占0</w:t>
      </w:r>
      <w:r>
        <w:rPr>
          <w:rFonts w:ascii="仿宋" w:hAnsi="仿宋" w:eastAsia="仿宋"/>
          <w:sz w:val="32"/>
          <w:szCs w:val="32"/>
        </w:rPr>
        <w:t>%</w:t>
      </w:r>
      <w:r>
        <w:rPr>
          <w:rFonts w:hint="eastAsia" w:ascii="仿宋" w:hAnsi="仿宋" w:eastAsia="仿宋"/>
          <w:sz w:val="32"/>
          <w:szCs w:val="32"/>
        </w:rPr>
        <w:t>。</w:t>
      </w:r>
    </w:p>
    <w:p w14:paraId="014168A0">
      <w:pPr>
        <w:pStyle w:val="2"/>
        <w:spacing w:beforeLines="0"/>
        <w:jc w:val="center"/>
      </w:pPr>
      <w:r>
        <w:drawing>
          <wp:inline distT="0" distB="0" distL="114300" distR="114300">
            <wp:extent cx="4826000" cy="2743200"/>
            <wp:effectExtent l="4445" t="4445" r="15875" b="1079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80E510">
      <w:pPr>
        <w:pStyle w:val="2"/>
        <w:spacing w:beforeLines="0"/>
        <w:jc w:val="center"/>
        <w:rPr>
          <w:rFonts w:hint="eastAsia" w:ascii="仿宋" w:hAnsi="仿宋" w:eastAsia="仿宋"/>
          <w:sz w:val="32"/>
          <w:szCs w:val="32"/>
        </w:rPr>
      </w:pPr>
      <w:r>
        <w:rPr>
          <w:rFonts w:hint="eastAsia" w:ascii="仿宋" w:hAnsi="仿宋" w:eastAsia="仿宋"/>
          <w:sz w:val="32"/>
          <w:szCs w:val="32"/>
        </w:rPr>
        <w:t>（图2：收入决算结构图）</w:t>
      </w:r>
    </w:p>
    <w:p w14:paraId="78A1430B">
      <w:pPr>
        <w:pStyle w:val="27"/>
        <w:numPr>
          <w:ilvl w:val="0"/>
          <w:numId w:val="2"/>
        </w:numPr>
        <w:spacing w:line="600" w:lineRule="exact"/>
        <w:ind w:firstLineChars="0"/>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14:paraId="04093773">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年本年支出合计</w:t>
      </w:r>
      <w:r>
        <w:rPr>
          <w:rFonts w:hint="eastAsia" w:ascii="仿宋" w:hAnsi="仿宋" w:eastAsia="仿宋"/>
          <w:sz w:val="32"/>
          <w:szCs w:val="32"/>
          <w:lang w:val="en-US" w:eastAsia="zh-CN"/>
        </w:rPr>
        <w:t>404.56</w:t>
      </w:r>
      <w:r>
        <w:rPr>
          <w:rFonts w:hint="eastAsia" w:ascii="仿宋" w:hAnsi="仿宋" w:eastAsia="仿宋"/>
          <w:sz w:val="32"/>
          <w:szCs w:val="32"/>
        </w:rPr>
        <w:t>万元，其中：基本支出</w:t>
      </w:r>
      <w:r>
        <w:rPr>
          <w:rFonts w:hint="eastAsia" w:ascii="仿宋" w:hAnsi="仿宋" w:eastAsia="仿宋"/>
          <w:sz w:val="32"/>
          <w:szCs w:val="32"/>
          <w:lang w:val="en-US" w:eastAsia="zh-CN"/>
        </w:rPr>
        <w:t>110.67</w:t>
      </w:r>
      <w:r>
        <w:rPr>
          <w:rFonts w:hint="eastAsia" w:ascii="仿宋" w:hAnsi="仿宋" w:eastAsia="仿宋"/>
          <w:sz w:val="32"/>
          <w:szCs w:val="32"/>
        </w:rPr>
        <w:t>万元，占</w:t>
      </w:r>
      <w:r>
        <w:rPr>
          <w:rFonts w:hint="eastAsia" w:ascii="仿宋" w:hAnsi="仿宋" w:eastAsia="仿宋"/>
          <w:sz w:val="32"/>
          <w:szCs w:val="32"/>
          <w:lang w:val="en-US" w:eastAsia="zh-CN"/>
        </w:rPr>
        <w:t>27.36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293.89</w:t>
      </w:r>
      <w:r>
        <w:rPr>
          <w:rFonts w:hint="eastAsia" w:ascii="仿宋" w:hAnsi="仿宋" w:eastAsia="仿宋"/>
          <w:sz w:val="32"/>
          <w:szCs w:val="32"/>
        </w:rPr>
        <w:t>万元，占</w:t>
      </w:r>
      <w:r>
        <w:rPr>
          <w:rFonts w:hint="eastAsia" w:ascii="仿宋" w:hAnsi="仿宋" w:eastAsia="仿宋"/>
          <w:sz w:val="32"/>
          <w:szCs w:val="32"/>
          <w:lang w:val="en-US" w:eastAsia="zh-CN"/>
        </w:rPr>
        <w:t>72.64</w:t>
      </w:r>
      <w:r>
        <w:rPr>
          <w:rFonts w:ascii="仿宋" w:hAnsi="仿宋" w:eastAsia="仿宋"/>
          <w:sz w:val="32"/>
          <w:szCs w:val="32"/>
        </w:rPr>
        <w:t>%</w:t>
      </w:r>
      <w:r>
        <w:rPr>
          <w:rFonts w:hint="eastAsia" w:ascii="仿宋" w:hAnsi="仿宋" w:eastAsia="仿宋"/>
          <w:sz w:val="32"/>
          <w:szCs w:val="32"/>
        </w:rPr>
        <w:t>。</w:t>
      </w:r>
    </w:p>
    <w:p w14:paraId="7AF62424">
      <w:pPr>
        <w:pStyle w:val="2"/>
        <w:jc w:val="center"/>
      </w:pPr>
      <w:r>
        <w:drawing>
          <wp:inline distT="0" distB="0" distL="114300" distR="114300">
            <wp:extent cx="4826000" cy="2743200"/>
            <wp:effectExtent l="4445" t="4445" r="15875" b="1079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A9D669">
      <w:pPr>
        <w:pStyle w:val="2"/>
        <w:jc w:val="center"/>
        <w:rPr>
          <w:rFonts w:hint="eastAsia" w:ascii="黑体" w:hAnsi="黑体" w:eastAsia="黑体"/>
          <w:sz w:val="32"/>
          <w:szCs w:val="32"/>
        </w:rPr>
      </w:pPr>
      <w:r>
        <w:rPr>
          <w:rFonts w:hint="eastAsia" w:ascii="仿宋" w:hAnsi="仿宋" w:eastAsia="仿宋"/>
          <w:sz w:val="32"/>
          <w:szCs w:val="32"/>
        </w:rPr>
        <w:t>（图3：支出决算结构图）</w:t>
      </w:r>
      <w:bookmarkStart w:id="24" w:name="_Toc15377208"/>
      <w:bookmarkStart w:id="25" w:name="_Toc15396606"/>
    </w:p>
    <w:p w14:paraId="00403542">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14:paraId="7BCF731E">
      <w:pPr>
        <w:spacing w:line="600" w:lineRule="exact"/>
        <w:ind w:firstLine="640" w:firstLineChars="200"/>
        <w:rPr>
          <w:rFonts w:hint="eastAsia" w:eastAsia="仿宋_GB2312"/>
          <w:lang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年财政拨款收、支总计</w:t>
      </w:r>
      <w:r>
        <w:rPr>
          <w:rFonts w:hint="eastAsia" w:ascii="仿宋" w:hAnsi="仿宋" w:eastAsia="仿宋"/>
          <w:sz w:val="32"/>
          <w:szCs w:val="32"/>
          <w:lang w:val="en-US" w:eastAsia="zh-CN"/>
        </w:rPr>
        <w:t>404.56</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408.69</w:t>
      </w:r>
      <w:r>
        <w:rPr>
          <w:rFonts w:hint="eastAsia" w:ascii="仿宋" w:hAnsi="仿宋" w:eastAsia="仿宋"/>
          <w:sz w:val="32"/>
          <w:szCs w:val="32"/>
        </w:rPr>
        <w:t>万元相比，财政拨款收、支总计各</w:t>
      </w:r>
      <w:r>
        <w:rPr>
          <w:rFonts w:hint="eastAsia" w:ascii="仿宋" w:hAnsi="仿宋" w:eastAsia="仿宋"/>
          <w:sz w:val="32"/>
          <w:szCs w:val="32"/>
          <w:lang w:val="en-US" w:eastAsia="zh-CN"/>
        </w:rPr>
        <w:t>减少4.13</w:t>
      </w:r>
      <w:r>
        <w:rPr>
          <w:rFonts w:hint="eastAsia" w:ascii="仿宋" w:hAnsi="仿宋" w:eastAsia="仿宋"/>
          <w:sz w:val="32"/>
          <w:szCs w:val="32"/>
        </w:rPr>
        <w:t>万元，分别</w:t>
      </w:r>
      <w:r>
        <w:rPr>
          <w:rFonts w:hint="eastAsia" w:ascii="仿宋" w:hAnsi="仿宋" w:eastAsia="仿宋"/>
          <w:sz w:val="32"/>
          <w:szCs w:val="32"/>
          <w:lang w:val="en-US" w:eastAsia="zh-CN"/>
        </w:rPr>
        <w:t>减少1.01%</w:t>
      </w:r>
      <w:r>
        <w:rPr>
          <w:rFonts w:hint="eastAsia" w:ascii="仿宋" w:hAnsi="仿宋" w:eastAsia="仿宋"/>
          <w:sz w:val="32"/>
          <w:szCs w:val="32"/>
        </w:rPr>
        <w:t>。主要原因</w:t>
      </w:r>
      <w:r>
        <w:rPr>
          <w:rFonts w:hint="eastAsia" w:ascii="仿宋" w:hAnsi="仿宋" w:eastAsia="仿宋"/>
          <w:sz w:val="32"/>
          <w:szCs w:val="32"/>
          <w:lang w:val="en-US" w:eastAsia="zh-CN"/>
        </w:rPr>
        <w:t>为日常公用经费的减少</w:t>
      </w:r>
      <w:r>
        <w:rPr>
          <w:rFonts w:hint="eastAsia" w:ascii="仿宋" w:hAnsi="仿宋" w:eastAsia="仿宋"/>
          <w:sz w:val="32"/>
          <w:szCs w:val="32"/>
        </w:rPr>
        <w:t>。</w:t>
      </w:r>
    </w:p>
    <w:p w14:paraId="085FA1AF">
      <w:pPr>
        <w:spacing w:line="240" w:lineRule="auto"/>
        <w:jc w:val="center"/>
      </w:pPr>
      <w:r>
        <w:drawing>
          <wp:inline distT="0" distB="0" distL="114300" distR="114300">
            <wp:extent cx="4826000" cy="2743200"/>
            <wp:effectExtent l="4445" t="4445" r="15875" b="1079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566530">
      <w:pPr>
        <w:spacing w:line="240" w:lineRule="auto"/>
        <w:jc w:val="center"/>
        <w:rPr>
          <w:rFonts w:hint="eastAsia" w:ascii="黑体" w:hAnsi="黑体" w:eastAsia="黑体"/>
          <w:sz w:val="32"/>
          <w:szCs w:val="32"/>
        </w:rPr>
      </w:pPr>
      <w:r>
        <w:rPr>
          <w:rFonts w:hint="eastAsia" w:ascii="仿宋" w:hAnsi="仿宋" w:eastAsia="仿宋"/>
          <w:sz w:val="32"/>
          <w:szCs w:val="32"/>
        </w:rPr>
        <w:t>（图4：财政拨款收、支决算总计变动情况）</w:t>
      </w:r>
      <w:bookmarkStart w:id="26" w:name="_Toc15377209"/>
      <w:bookmarkStart w:id="27" w:name="_Toc15396607"/>
    </w:p>
    <w:p w14:paraId="550A818C">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14:paraId="3A5ADE81">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57BB03A9">
      <w:pPr>
        <w:spacing w:line="600" w:lineRule="exact"/>
        <w:ind w:firstLine="640" w:firstLineChars="200"/>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404.56</w:t>
      </w:r>
      <w:r>
        <w:rPr>
          <w:rFonts w:hint="eastAsia" w:ascii="仿宋" w:hAnsi="仿宋" w:eastAsia="仿宋"/>
          <w:sz w:val="32"/>
          <w:szCs w:val="32"/>
        </w:rPr>
        <w:t>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408.69</w:t>
      </w:r>
      <w:r>
        <w:rPr>
          <w:rFonts w:hint="eastAsia" w:ascii="仿宋" w:hAnsi="仿宋" w:eastAsia="仿宋"/>
          <w:sz w:val="32"/>
          <w:szCs w:val="32"/>
        </w:rPr>
        <w:t>万元相比，一般公共预算财政拨款支出</w:t>
      </w:r>
      <w:r>
        <w:rPr>
          <w:rFonts w:hint="eastAsia" w:ascii="仿宋" w:hAnsi="仿宋" w:eastAsia="仿宋"/>
          <w:sz w:val="32"/>
          <w:szCs w:val="32"/>
          <w:lang w:val="en-US" w:eastAsia="zh-CN"/>
        </w:rPr>
        <w:t>减少4.13</w:t>
      </w:r>
      <w:r>
        <w:rPr>
          <w:rFonts w:hint="eastAsia" w:ascii="仿宋" w:hAnsi="仿宋" w:eastAsia="仿宋"/>
          <w:sz w:val="32"/>
          <w:szCs w:val="32"/>
        </w:rPr>
        <w:t>万元，</w:t>
      </w:r>
      <w:r>
        <w:rPr>
          <w:rFonts w:hint="eastAsia" w:ascii="仿宋" w:hAnsi="仿宋" w:eastAsia="仿宋"/>
          <w:sz w:val="32"/>
          <w:szCs w:val="32"/>
          <w:lang w:val="en-US" w:eastAsia="zh-CN"/>
        </w:rPr>
        <w:t>减少1.01%</w:t>
      </w:r>
      <w:r>
        <w:rPr>
          <w:rFonts w:hint="eastAsia" w:ascii="仿宋" w:hAnsi="仿宋" w:eastAsia="仿宋"/>
          <w:sz w:val="32"/>
          <w:szCs w:val="32"/>
        </w:rPr>
        <w:t>。主要原因</w:t>
      </w:r>
      <w:r>
        <w:rPr>
          <w:rFonts w:hint="eastAsia" w:ascii="仿宋" w:hAnsi="仿宋" w:eastAsia="仿宋"/>
          <w:sz w:val="32"/>
          <w:szCs w:val="32"/>
          <w:lang w:val="en-US" w:eastAsia="zh-CN"/>
        </w:rPr>
        <w:t>为日常公用经费的减少</w:t>
      </w:r>
      <w:r>
        <w:rPr>
          <w:rFonts w:hint="eastAsia" w:ascii="仿宋" w:hAnsi="仿宋" w:eastAsia="仿宋"/>
          <w:sz w:val="32"/>
          <w:szCs w:val="32"/>
        </w:rPr>
        <w:t>。</w:t>
      </w:r>
    </w:p>
    <w:p w14:paraId="5D167F2C">
      <w:pPr>
        <w:spacing w:line="240" w:lineRule="auto"/>
        <w:ind w:firstLine="0" w:firstLineChars="0"/>
        <w:jc w:val="center"/>
      </w:pPr>
      <w:r>
        <w:drawing>
          <wp:inline distT="0" distB="0" distL="114300" distR="114300">
            <wp:extent cx="4826000" cy="2743200"/>
            <wp:effectExtent l="4445" t="4445" r="15875" b="1079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93AE50">
      <w:pPr>
        <w:spacing w:line="240" w:lineRule="auto"/>
        <w:ind w:firstLine="0" w:firstLineChars="0"/>
        <w:jc w:val="center"/>
        <w:rPr>
          <w:rFonts w:ascii="仿宋" w:hAnsi="仿宋" w:eastAsia="仿宋"/>
          <w:sz w:val="32"/>
          <w:szCs w:val="32"/>
        </w:rPr>
      </w:pPr>
      <w:r>
        <w:rPr>
          <w:rFonts w:hint="eastAsia" w:ascii="仿宋" w:hAnsi="仿宋" w:eastAsia="仿宋"/>
          <w:sz w:val="32"/>
          <w:szCs w:val="32"/>
        </w:rPr>
        <w:t>（图5：一般公共预算财政拨款支出决算变动情况）</w:t>
      </w:r>
    </w:p>
    <w:p w14:paraId="174C0204">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4A040E4F">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404.56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val="0"/>
          <w:bCs/>
          <w:sz w:val="32"/>
          <w:szCs w:val="32"/>
        </w:rPr>
        <w:t>公共安全支出</w:t>
      </w:r>
      <w:r>
        <w:rPr>
          <w:rFonts w:hint="eastAsia" w:ascii="仿宋" w:hAnsi="仿宋" w:eastAsia="仿宋"/>
          <w:b w:val="0"/>
          <w:bCs/>
          <w:sz w:val="32"/>
          <w:szCs w:val="32"/>
          <w:lang w:val="en-US" w:eastAsia="zh-CN"/>
        </w:rPr>
        <w:t>382.87</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94.64</w:t>
      </w:r>
      <w:r>
        <w:rPr>
          <w:rFonts w:hint="eastAsia" w:ascii="仿宋" w:hAnsi="仿宋" w:eastAsia="仿宋"/>
          <w:b w:val="0"/>
          <w:bCs/>
          <w:sz w:val="32"/>
          <w:szCs w:val="32"/>
        </w:rPr>
        <w:t>%；社会保障和就业支出</w:t>
      </w:r>
      <w:r>
        <w:rPr>
          <w:rFonts w:hint="eastAsia" w:ascii="仿宋" w:hAnsi="仿宋" w:eastAsia="仿宋"/>
          <w:b w:val="0"/>
          <w:bCs/>
          <w:sz w:val="32"/>
          <w:szCs w:val="32"/>
          <w:lang w:val="en-US" w:eastAsia="zh-CN"/>
        </w:rPr>
        <w:t>9.13</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2.26</w:t>
      </w:r>
      <w:r>
        <w:rPr>
          <w:rFonts w:ascii="仿宋" w:hAnsi="仿宋" w:eastAsia="仿宋"/>
          <w:b w:val="0"/>
          <w:bCs/>
          <w:sz w:val="32"/>
          <w:szCs w:val="32"/>
        </w:rPr>
        <w:t>%</w:t>
      </w:r>
      <w:r>
        <w:rPr>
          <w:rFonts w:hint="eastAsia" w:ascii="仿宋" w:hAnsi="仿宋" w:eastAsia="仿宋"/>
          <w:b w:val="0"/>
          <w:bCs/>
          <w:sz w:val="32"/>
          <w:szCs w:val="32"/>
        </w:rPr>
        <w:t>；卫生健康支出</w:t>
      </w:r>
      <w:r>
        <w:rPr>
          <w:rFonts w:hint="eastAsia" w:ascii="仿宋" w:hAnsi="仿宋" w:eastAsia="仿宋"/>
          <w:b w:val="0"/>
          <w:bCs/>
          <w:sz w:val="32"/>
          <w:szCs w:val="32"/>
          <w:lang w:val="en-US" w:eastAsia="zh-CN"/>
        </w:rPr>
        <w:t>4.39</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1.08</w:t>
      </w:r>
      <w:r>
        <w:rPr>
          <w:rFonts w:ascii="仿宋" w:hAnsi="仿宋" w:eastAsia="仿宋"/>
          <w:b w:val="0"/>
          <w:bCs/>
          <w:sz w:val="32"/>
          <w:szCs w:val="32"/>
        </w:rPr>
        <w:t>%</w:t>
      </w:r>
      <w:r>
        <w:rPr>
          <w:rFonts w:hint="eastAsia" w:ascii="仿宋" w:hAnsi="仿宋" w:eastAsia="仿宋"/>
          <w:b w:val="0"/>
          <w:bCs/>
          <w:sz w:val="32"/>
          <w:szCs w:val="32"/>
        </w:rPr>
        <w:t>；住房保障支出</w:t>
      </w:r>
      <w:r>
        <w:rPr>
          <w:rFonts w:hint="eastAsia" w:ascii="仿宋" w:hAnsi="仿宋" w:eastAsia="仿宋"/>
          <w:b w:val="0"/>
          <w:bCs/>
          <w:sz w:val="32"/>
          <w:szCs w:val="32"/>
          <w:lang w:val="en-US" w:eastAsia="zh-CN"/>
        </w:rPr>
        <w:t>8.17</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2.02</w:t>
      </w:r>
      <w:r>
        <w:rPr>
          <w:rFonts w:ascii="仿宋" w:hAnsi="仿宋" w:eastAsia="仿宋"/>
          <w:b w:val="0"/>
          <w:bCs/>
          <w:sz w:val="32"/>
          <w:szCs w:val="32"/>
        </w:rPr>
        <w:t>%</w:t>
      </w:r>
      <w:r>
        <w:rPr>
          <w:rFonts w:hint="eastAsia" w:ascii="仿宋" w:hAnsi="仿宋" w:eastAsia="仿宋"/>
          <w:b w:val="0"/>
          <w:bCs/>
          <w:sz w:val="32"/>
          <w:szCs w:val="32"/>
        </w:rPr>
        <w:t>。</w:t>
      </w:r>
    </w:p>
    <w:p w14:paraId="2FE43972">
      <w:pPr>
        <w:spacing w:line="240" w:lineRule="auto"/>
        <w:ind w:firstLine="0" w:firstLineChars="0"/>
        <w:jc w:val="center"/>
      </w:pPr>
      <w:r>
        <w:drawing>
          <wp:inline distT="0" distB="0" distL="114300" distR="114300">
            <wp:extent cx="3756660" cy="2743200"/>
            <wp:effectExtent l="4445" t="4445" r="18415" b="1079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0BED5B">
      <w:pPr>
        <w:spacing w:line="240" w:lineRule="auto"/>
        <w:ind w:firstLine="0" w:firstLineChars="0"/>
        <w:jc w:val="center"/>
      </w:pPr>
      <w:r>
        <w:rPr>
          <w:rFonts w:hint="eastAsia" w:ascii="仿宋" w:hAnsi="仿宋" w:eastAsia="仿宋"/>
          <w:sz w:val="32"/>
          <w:szCs w:val="32"/>
        </w:rPr>
        <w:t>（图6：一般公共预算财政拨款支出决算结构）</w:t>
      </w:r>
    </w:p>
    <w:p w14:paraId="720BD948">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32854331">
      <w:pPr>
        <w:spacing w:line="600" w:lineRule="exact"/>
        <w:ind w:firstLine="640" w:firstLineChars="200"/>
        <w:outlineLvl w:val="2"/>
        <w:rPr>
          <w:rFonts w:ascii="仿宋" w:hAnsi="仿宋" w:eastAsia="仿宋"/>
          <w:b w:val="0"/>
          <w:bCs/>
          <w:sz w:val="32"/>
          <w:szCs w:val="32"/>
        </w:rPr>
      </w:pPr>
      <w:bookmarkStart w:id="31" w:name="_Toc15377213"/>
      <w:bookmarkStart w:id="32" w:name="_Toc15378460"/>
      <w:bookmarkStart w:id="33" w:name="_Toc15377444"/>
      <w:r>
        <w:rPr>
          <w:rFonts w:hint="eastAsia" w:ascii="仿宋" w:hAnsi="仿宋" w:eastAsia="仿宋"/>
          <w:b w:val="0"/>
          <w:bCs/>
          <w:sz w:val="32"/>
          <w:szCs w:val="32"/>
        </w:rPr>
        <w:t>202</w:t>
      </w:r>
      <w:r>
        <w:rPr>
          <w:rFonts w:hint="eastAsia" w:ascii="仿宋" w:hAnsi="仿宋" w:eastAsia="仿宋"/>
          <w:b w:val="0"/>
          <w:bCs/>
          <w:sz w:val="32"/>
          <w:szCs w:val="32"/>
          <w:lang w:val="en-US" w:eastAsia="zh-CN"/>
        </w:rPr>
        <w:t>4</w:t>
      </w:r>
      <w:r>
        <w:rPr>
          <w:rFonts w:hint="eastAsia" w:ascii="仿宋" w:hAnsi="仿宋" w:eastAsia="仿宋"/>
          <w:b w:val="0"/>
          <w:bCs/>
          <w:sz w:val="32"/>
          <w:szCs w:val="32"/>
        </w:rPr>
        <w:t>年一般公共预算支出决算数为</w:t>
      </w:r>
      <w:r>
        <w:rPr>
          <w:rFonts w:hint="eastAsia" w:ascii="仿宋" w:hAnsi="仿宋" w:eastAsia="仿宋"/>
          <w:b w:val="0"/>
          <w:bCs/>
          <w:sz w:val="32"/>
          <w:szCs w:val="32"/>
          <w:lang w:val="en-US" w:eastAsia="zh-CN"/>
        </w:rPr>
        <w:t>404.56</w:t>
      </w:r>
      <w:r>
        <w:rPr>
          <w:rFonts w:hint="eastAsia" w:ascii="仿宋" w:hAnsi="仿宋" w:eastAsia="仿宋"/>
          <w:b w:val="0"/>
          <w:bCs/>
          <w:sz w:val="32"/>
          <w:szCs w:val="32"/>
        </w:rPr>
        <w:t>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。其中：</w:t>
      </w:r>
      <w:bookmarkEnd w:id="31"/>
      <w:bookmarkEnd w:id="32"/>
      <w:bookmarkEnd w:id="33"/>
    </w:p>
    <w:p w14:paraId="0361936C">
      <w:pPr>
        <w:spacing w:line="600" w:lineRule="exact"/>
        <w:ind w:firstLine="640" w:firstLineChars="200"/>
        <w:rPr>
          <w:b w:val="0"/>
          <w:bCs/>
        </w:rPr>
      </w:pPr>
      <w:r>
        <w:rPr>
          <w:rStyle w:val="17"/>
          <w:rFonts w:hint="eastAsia" w:ascii="仿宋" w:hAnsi="仿宋" w:eastAsia="仿宋"/>
          <w:b w:val="0"/>
          <w:bCs/>
          <w:sz w:val="32"/>
          <w:szCs w:val="32"/>
        </w:rPr>
        <w:t>1</w:t>
      </w:r>
      <w:r>
        <w:rPr>
          <w:rStyle w:val="17"/>
          <w:rFonts w:ascii="仿宋" w:hAnsi="仿宋" w:eastAsia="仿宋"/>
          <w:b w:val="0"/>
          <w:bCs/>
          <w:sz w:val="32"/>
          <w:szCs w:val="32"/>
        </w:rPr>
        <w:t>.</w:t>
      </w:r>
      <w:r>
        <w:rPr>
          <w:rStyle w:val="17"/>
          <w:rFonts w:hint="eastAsia" w:ascii="仿宋" w:hAnsi="仿宋" w:eastAsia="仿宋"/>
          <w:b w:val="0"/>
          <w:bCs/>
          <w:sz w:val="32"/>
          <w:szCs w:val="32"/>
        </w:rPr>
        <w:t>公共安全支出（204）公安（02）行政运行（01）</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88.98</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4ECDE995">
      <w:p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rPr>
        <w:t>2</w:t>
      </w:r>
      <w:r>
        <w:rPr>
          <w:rStyle w:val="17"/>
          <w:rFonts w:ascii="仿宋" w:hAnsi="仿宋" w:eastAsia="仿宋"/>
          <w:b w:val="0"/>
          <w:bCs/>
          <w:sz w:val="32"/>
          <w:szCs w:val="32"/>
        </w:rPr>
        <w:t>.</w:t>
      </w:r>
      <w:r>
        <w:rPr>
          <w:rStyle w:val="17"/>
          <w:rFonts w:hint="eastAsia" w:ascii="仿宋" w:hAnsi="仿宋" w:eastAsia="仿宋"/>
          <w:b w:val="0"/>
          <w:bCs/>
          <w:sz w:val="32"/>
          <w:szCs w:val="32"/>
        </w:rPr>
        <w:t>公共安全支出（204）公安（02）一般行政管理事务（02）</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293.89</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05D8BBF8">
      <w:p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lang w:val="en-US" w:eastAsia="zh-CN"/>
        </w:rPr>
        <w:t>3</w:t>
      </w:r>
      <w:r>
        <w:rPr>
          <w:rStyle w:val="17"/>
          <w:rFonts w:ascii="仿宋" w:hAnsi="仿宋" w:eastAsia="仿宋"/>
          <w:b w:val="0"/>
          <w:bCs/>
          <w:sz w:val="32"/>
          <w:szCs w:val="32"/>
        </w:rPr>
        <w:t>.</w:t>
      </w:r>
      <w:r>
        <w:rPr>
          <w:rStyle w:val="17"/>
          <w:rFonts w:hint="eastAsia" w:ascii="仿宋" w:hAnsi="仿宋" w:eastAsia="仿宋"/>
          <w:b w:val="0"/>
          <w:bCs/>
          <w:sz w:val="32"/>
          <w:szCs w:val="32"/>
        </w:rPr>
        <w:t>社会保障和就业</w:t>
      </w:r>
      <w:r>
        <w:rPr>
          <w:rStyle w:val="17"/>
          <w:rFonts w:hint="eastAsia" w:ascii="仿宋" w:hAnsi="仿宋" w:eastAsia="仿宋"/>
          <w:b w:val="0"/>
          <w:bCs/>
          <w:sz w:val="32"/>
          <w:szCs w:val="32"/>
          <w:lang w:val="en-US" w:eastAsia="zh-CN"/>
        </w:rPr>
        <w:t>支出</w:t>
      </w:r>
      <w:r>
        <w:rPr>
          <w:rStyle w:val="17"/>
          <w:rFonts w:hint="eastAsia" w:ascii="仿宋" w:hAnsi="仿宋" w:eastAsia="仿宋"/>
          <w:b w:val="0"/>
          <w:bCs/>
          <w:sz w:val="32"/>
          <w:szCs w:val="32"/>
        </w:rPr>
        <w:t>（208）行政事业单位养老支出（05）机关事业单位基本养老保险缴费支出（05）</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9.13</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07828E54">
      <w:pPr>
        <w:spacing w:line="600" w:lineRule="exact"/>
        <w:ind w:firstLine="640" w:firstLineChars="200"/>
        <w:rPr>
          <w:rFonts w:ascii="仿宋" w:hAnsi="仿宋" w:eastAsia="仿宋"/>
          <w:b w:val="0"/>
          <w:bCs/>
          <w:sz w:val="32"/>
          <w:szCs w:val="32"/>
        </w:rPr>
      </w:pPr>
      <w:r>
        <w:rPr>
          <w:rStyle w:val="17"/>
          <w:rFonts w:hint="eastAsia" w:ascii="仿宋" w:hAnsi="仿宋" w:eastAsia="仿宋"/>
          <w:b w:val="0"/>
          <w:bCs/>
          <w:sz w:val="32"/>
          <w:szCs w:val="32"/>
          <w:lang w:val="en-US" w:eastAsia="zh-CN"/>
        </w:rPr>
        <w:t>4</w:t>
      </w:r>
      <w:r>
        <w:rPr>
          <w:rStyle w:val="17"/>
          <w:rFonts w:ascii="仿宋" w:hAnsi="仿宋" w:eastAsia="仿宋"/>
          <w:b w:val="0"/>
          <w:bCs/>
          <w:sz w:val="32"/>
          <w:szCs w:val="32"/>
        </w:rPr>
        <w:t>.</w:t>
      </w:r>
      <w:r>
        <w:rPr>
          <w:rFonts w:hint="eastAsia" w:ascii="仿宋" w:hAnsi="仿宋" w:eastAsia="仿宋"/>
          <w:b w:val="0"/>
          <w:bCs/>
          <w:sz w:val="32"/>
          <w:szCs w:val="32"/>
        </w:rPr>
        <w:t>卫生健康</w:t>
      </w:r>
      <w:r>
        <w:rPr>
          <w:rStyle w:val="17"/>
          <w:rFonts w:hint="eastAsia" w:ascii="仿宋" w:hAnsi="仿宋" w:eastAsia="仿宋"/>
          <w:b w:val="0"/>
          <w:bCs/>
          <w:sz w:val="32"/>
          <w:szCs w:val="32"/>
        </w:rPr>
        <w:t>（210）行政事业单位医疗（11）行政单位医疗（01）</w:t>
      </w:r>
      <w:r>
        <w:rPr>
          <w:rStyle w:val="17"/>
          <w:rFonts w:ascii="仿宋" w:hAnsi="仿宋" w:eastAsia="仿宋"/>
          <w:b w:val="0"/>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4.39</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4C27EA0F">
      <w:pPr>
        <w:spacing w:line="600" w:lineRule="exact"/>
        <w:ind w:firstLine="640" w:firstLineChars="200"/>
        <w:rPr>
          <w:rFonts w:ascii="仿宋" w:hAnsi="仿宋" w:eastAsia="仿宋"/>
          <w:b w:val="0"/>
          <w:bCs/>
          <w:sz w:val="32"/>
          <w:szCs w:val="32"/>
        </w:rPr>
      </w:pPr>
      <w:r>
        <w:rPr>
          <w:rStyle w:val="17"/>
          <w:rFonts w:hint="eastAsia" w:ascii="仿宋" w:hAnsi="仿宋" w:eastAsia="仿宋"/>
          <w:b w:val="0"/>
          <w:bCs/>
          <w:sz w:val="32"/>
          <w:szCs w:val="32"/>
          <w:lang w:val="en-US" w:eastAsia="zh-CN"/>
        </w:rPr>
        <w:t>5</w:t>
      </w:r>
      <w:r>
        <w:rPr>
          <w:rStyle w:val="17"/>
          <w:rFonts w:ascii="仿宋" w:hAnsi="仿宋" w:eastAsia="仿宋"/>
          <w:b w:val="0"/>
          <w:bCs/>
          <w:sz w:val="32"/>
          <w:szCs w:val="32"/>
        </w:rPr>
        <w:t>.</w:t>
      </w:r>
      <w:r>
        <w:rPr>
          <w:rFonts w:hint="eastAsia" w:ascii="仿宋" w:hAnsi="仿宋" w:eastAsia="仿宋"/>
          <w:b w:val="0"/>
          <w:bCs/>
          <w:sz w:val="32"/>
          <w:szCs w:val="32"/>
        </w:rPr>
        <w:t>住房保障支出</w:t>
      </w:r>
      <w:r>
        <w:rPr>
          <w:rStyle w:val="17"/>
          <w:rFonts w:hint="eastAsia" w:ascii="仿宋" w:hAnsi="仿宋" w:eastAsia="仿宋"/>
          <w:b w:val="0"/>
          <w:bCs/>
          <w:sz w:val="32"/>
          <w:szCs w:val="32"/>
        </w:rPr>
        <w:t>（221）住房改革支出（02）住房公积金（01）</w:t>
      </w:r>
      <w:r>
        <w:rPr>
          <w:rStyle w:val="17"/>
          <w:rFonts w:ascii="仿宋" w:hAnsi="仿宋" w:eastAsia="仿宋"/>
          <w:b w:val="0"/>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8.17</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04CA1CE0">
      <w:pPr>
        <w:tabs>
          <w:tab w:val="right" w:pos="8306"/>
        </w:tabs>
        <w:spacing w:line="600" w:lineRule="exact"/>
        <w:ind w:firstLine="640"/>
        <w:outlineLvl w:val="1"/>
        <w:rPr>
          <w:rStyle w:val="29"/>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14:paraId="0A6F6761">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110.67</w:t>
      </w:r>
      <w:r>
        <w:rPr>
          <w:rFonts w:hint="eastAsia" w:ascii="仿宋" w:hAnsi="仿宋" w:eastAsia="仿宋"/>
          <w:sz w:val="32"/>
          <w:szCs w:val="32"/>
        </w:rPr>
        <w:t>万元，其中：</w:t>
      </w:r>
    </w:p>
    <w:p w14:paraId="57C53F0D">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94.01</w:t>
      </w:r>
      <w:r>
        <w:rPr>
          <w:rFonts w:hint="eastAsia" w:ascii="仿宋" w:hAnsi="仿宋" w:eastAsia="仿宋"/>
          <w:sz w:val="32"/>
          <w:szCs w:val="32"/>
        </w:rPr>
        <w:t>万元，主要包括：基本工资、津贴补贴、奖金、机关事业单位基本养老保险缴费、其他社会保障缴费、住房公积金等。</w:t>
      </w:r>
    </w:p>
    <w:p w14:paraId="3732CDFD">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公用经费</w:t>
      </w:r>
      <w:r>
        <w:rPr>
          <w:rFonts w:hint="eastAsia" w:ascii="仿宋" w:hAnsi="仿宋" w:eastAsia="仿宋"/>
          <w:sz w:val="32"/>
          <w:szCs w:val="32"/>
          <w:lang w:val="en-US" w:eastAsia="zh-CN"/>
        </w:rPr>
        <w:t>16.66</w:t>
      </w:r>
      <w:r>
        <w:rPr>
          <w:rFonts w:hint="eastAsia" w:ascii="仿宋" w:hAnsi="仿宋" w:eastAsia="仿宋"/>
          <w:sz w:val="32"/>
          <w:szCs w:val="32"/>
        </w:rPr>
        <w:t>万元，主要包括：办公费、咨询费、手续费、水费、电费、邮电费、物业管理费、差旅费、维修（护）费、租赁费、</w:t>
      </w:r>
      <w:r>
        <w:rPr>
          <w:rFonts w:hint="eastAsia" w:ascii="仿宋" w:hAnsi="仿宋" w:eastAsia="仿宋"/>
          <w:sz w:val="32"/>
          <w:szCs w:val="32"/>
          <w:lang w:val="en-US" w:eastAsia="zh-CN"/>
        </w:rPr>
        <w:t>被装购置费</w:t>
      </w:r>
      <w:r>
        <w:rPr>
          <w:rFonts w:hint="eastAsia" w:ascii="仿宋" w:hAnsi="仿宋" w:eastAsia="仿宋"/>
          <w:sz w:val="32"/>
          <w:szCs w:val="32"/>
        </w:rPr>
        <w:t>、劳务费、委托业务费、工会经费、福利费、其他交通费、其他商品和服务支出等。</w:t>
      </w:r>
      <w:bookmarkStart w:id="36" w:name="_Toc15396610"/>
      <w:bookmarkStart w:id="37" w:name="_Toc15377218"/>
    </w:p>
    <w:p w14:paraId="2FB27F59">
      <w:pPr>
        <w:spacing w:line="600" w:lineRule="exact"/>
        <w:ind w:firstLine="640"/>
        <w:outlineLvl w:val="1"/>
        <w:rPr>
          <w:rFonts w:hint="eastAsia" w:ascii="黑体" w:eastAsia="黑体"/>
          <w:sz w:val="32"/>
          <w:szCs w:val="32"/>
        </w:rPr>
      </w:pPr>
      <w:r>
        <w:rPr>
          <w:rFonts w:hint="eastAsia" w:ascii="黑体" w:eastAsia="黑体"/>
          <w:sz w:val="32"/>
          <w:szCs w:val="32"/>
        </w:rPr>
        <w:t>七、财政拨款“三公”经费支出决算情况说明</w:t>
      </w:r>
    </w:p>
    <w:p w14:paraId="724A5A53">
      <w:pPr>
        <w:pStyle w:val="13"/>
        <w:keepNext w:val="0"/>
        <w:keepLines w:val="0"/>
        <w:widowControl/>
        <w:suppressLineNumbers w:val="0"/>
        <w:spacing w:before="0" w:beforeAutospacing="0" w:after="0" w:afterAutospacing="0" w:line="600" w:lineRule="auto"/>
        <w:ind w:left="0" w:firstLine="640"/>
        <w:jc w:val="left"/>
      </w:pPr>
      <w:r>
        <w:rPr>
          <w:rFonts w:ascii="仿宋" w:hAnsi="仿宋" w:eastAsia="仿宋" w:cs="仿宋"/>
          <w:b/>
          <w:bCs/>
          <w:color w:val="000000"/>
          <w:sz w:val="32"/>
          <w:szCs w:val="32"/>
          <w:shd w:val="clear" w:fill="FFFFFF"/>
        </w:rPr>
        <w:t>（一）“三公”经费财政拨款支出决算总体情况说明</w:t>
      </w:r>
    </w:p>
    <w:p w14:paraId="4FF8F716">
      <w:pPr>
        <w:pStyle w:val="13"/>
        <w:keepNext w:val="0"/>
        <w:keepLines w:val="0"/>
        <w:widowControl/>
        <w:suppressLineNumbers w:val="0"/>
        <w:spacing w:before="0" w:beforeAutospacing="0" w:after="0" w:afterAutospacing="0" w:line="600" w:lineRule="auto"/>
        <w:ind w:left="0" w:firstLine="640"/>
        <w:jc w:val="left"/>
      </w:pPr>
      <w:r>
        <w:rPr>
          <w:rFonts w:hint="eastAsia" w:ascii="仿宋" w:hAnsi="仿宋" w:eastAsia="仿宋" w:cs="仿宋"/>
          <w:color w:val="000000"/>
          <w:sz w:val="32"/>
          <w:szCs w:val="32"/>
          <w:shd w:val="clear" w:fill="FFFFFF"/>
        </w:rPr>
        <w:t>202</w:t>
      </w:r>
      <w:r>
        <w:rPr>
          <w:rFonts w:hint="eastAsia" w:ascii="仿宋" w:hAnsi="仿宋" w:eastAsia="仿宋" w:cs="仿宋"/>
          <w:color w:val="000000"/>
          <w:sz w:val="32"/>
          <w:szCs w:val="32"/>
          <w:shd w:val="clear" w:fill="FFFFFF"/>
          <w:lang w:val="en-US" w:eastAsia="zh-CN"/>
        </w:rPr>
        <w:t>4</w:t>
      </w:r>
      <w:r>
        <w:rPr>
          <w:rFonts w:hint="eastAsia" w:ascii="仿宋" w:hAnsi="仿宋" w:eastAsia="仿宋" w:cs="仿宋"/>
          <w:color w:val="000000"/>
          <w:sz w:val="32"/>
          <w:szCs w:val="32"/>
          <w:shd w:val="clear" w:fill="FFFFFF"/>
        </w:rPr>
        <w:t>年“三公”经费财政拨款支出决算为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w:t>
      </w:r>
    </w:p>
    <w:p w14:paraId="1CD30112">
      <w:pPr>
        <w:pStyle w:val="13"/>
        <w:keepNext w:val="0"/>
        <w:keepLines w:val="0"/>
        <w:widowControl/>
        <w:numPr>
          <w:ilvl w:val="0"/>
          <w:numId w:val="3"/>
        </w:numPr>
        <w:suppressLineNumbers w:val="0"/>
        <w:spacing w:before="0" w:beforeAutospacing="0" w:after="0" w:afterAutospacing="0" w:line="600" w:lineRule="auto"/>
        <w:ind w:left="0" w:firstLine="640"/>
        <w:jc w:val="left"/>
        <w:rPr>
          <w:rFonts w:hint="eastAsia" w:ascii="仿宋" w:hAnsi="仿宋" w:eastAsia="仿宋" w:cs="仿宋"/>
          <w:b/>
          <w:bCs/>
          <w:color w:val="000000"/>
          <w:sz w:val="32"/>
          <w:szCs w:val="32"/>
          <w:shd w:val="clear" w:fill="FFFFFF"/>
        </w:rPr>
      </w:pPr>
      <w:r>
        <w:rPr>
          <w:rFonts w:hint="eastAsia" w:ascii="仿宋" w:hAnsi="仿宋" w:eastAsia="仿宋" w:cs="仿宋"/>
          <w:b/>
          <w:bCs/>
          <w:color w:val="000000"/>
          <w:sz w:val="32"/>
          <w:szCs w:val="32"/>
          <w:shd w:val="clear" w:fill="FFFFFF"/>
        </w:rPr>
        <w:t>“三公”经费财政拨款支出决算具体情况说明</w:t>
      </w:r>
    </w:p>
    <w:p w14:paraId="22DCD7BD">
      <w:pPr>
        <w:pStyle w:val="13"/>
        <w:keepNext w:val="0"/>
        <w:keepLines w:val="0"/>
        <w:widowControl/>
        <w:numPr>
          <w:ilvl w:val="0"/>
          <w:numId w:val="0"/>
        </w:numPr>
        <w:suppressLineNumbers w:val="0"/>
        <w:spacing w:before="0" w:beforeAutospacing="0" w:after="0" w:afterAutospacing="0" w:line="240" w:lineRule="auto"/>
        <w:ind w:left="0" w:leftChars="0" w:right="0" w:rightChars="0" w:firstLine="640" w:firstLineChars="200"/>
        <w:jc w:val="left"/>
        <w:rPr>
          <w:rFonts w:hint="eastAsia" w:ascii="仿宋" w:hAnsi="仿宋" w:eastAsia="仿宋" w:cs="仿宋"/>
        </w:rPr>
      </w:pPr>
      <w:r>
        <w:rPr>
          <w:rFonts w:hint="eastAsia" w:ascii="仿宋" w:hAnsi="仿宋" w:eastAsia="仿宋" w:cs="仿宋"/>
          <w:color w:val="000000"/>
          <w:sz w:val="32"/>
          <w:szCs w:val="32"/>
          <w:shd w:val="clear" w:fill="FFFFFF"/>
        </w:rPr>
        <w:t>202</w:t>
      </w:r>
      <w:r>
        <w:rPr>
          <w:rFonts w:hint="eastAsia" w:ascii="仿宋" w:hAnsi="仿宋" w:eastAsia="仿宋" w:cs="仿宋"/>
          <w:color w:val="000000"/>
          <w:sz w:val="32"/>
          <w:szCs w:val="32"/>
          <w:shd w:val="clear" w:fill="FFFFFF"/>
          <w:lang w:val="en-US" w:eastAsia="zh-CN"/>
        </w:rPr>
        <w:t>4</w:t>
      </w:r>
      <w:r>
        <w:rPr>
          <w:rFonts w:hint="eastAsia" w:ascii="仿宋" w:hAnsi="仿宋" w:eastAsia="仿宋" w:cs="仿宋"/>
          <w:color w:val="000000"/>
          <w:sz w:val="32"/>
          <w:szCs w:val="32"/>
          <w:shd w:val="clear" w:fill="FFFFFF"/>
        </w:rPr>
        <w:t>年“三公”经费财政拨款支出决算中，因公出国（境）费支出决算</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万元；公务用车购置及运行维护费支出决算</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万元；公务接待费支出决算</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万元。具体情况如下：</w:t>
      </w:r>
    </w:p>
    <w:p w14:paraId="2FB60B24">
      <w:pPr>
        <w:pStyle w:val="13"/>
        <w:keepNext w:val="0"/>
        <w:keepLines w:val="0"/>
        <w:widowControl/>
        <w:suppressLineNumbers w:val="0"/>
        <w:spacing w:before="0" w:beforeAutospacing="0" w:after="0" w:afterAutospacing="0" w:line="240" w:lineRule="auto"/>
        <w:ind w:left="0" w:firstLine="640"/>
        <w:jc w:val="left"/>
        <w:rPr>
          <w:rFonts w:hint="eastAsia" w:ascii="仿宋" w:hAnsi="仿宋" w:eastAsia="仿宋" w:cs="仿宋"/>
        </w:rPr>
      </w:pPr>
      <w:r>
        <w:rPr>
          <w:rFonts w:hint="eastAsia" w:ascii="仿宋" w:hAnsi="仿宋" w:eastAsia="仿宋" w:cs="仿宋"/>
          <w:b/>
          <w:bCs/>
          <w:color w:val="000000"/>
          <w:sz w:val="32"/>
          <w:szCs w:val="32"/>
          <w:shd w:val="clear" w:fill="FFFFFF"/>
        </w:rPr>
        <w:t>1.因公出国（境）经费支出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万元。全年安排因公出国（境）团组</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次，出国（境）</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人。</w:t>
      </w:r>
    </w:p>
    <w:p w14:paraId="3BA64225">
      <w:pPr>
        <w:pStyle w:val="13"/>
        <w:keepNext w:val="0"/>
        <w:keepLines w:val="0"/>
        <w:widowControl/>
        <w:suppressLineNumbers w:val="0"/>
        <w:spacing w:before="0" w:beforeAutospacing="0" w:after="0" w:afterAutospacing="0" w:line="240" w:lineRule="auto"/>
        <w:ind w:left="0" w:firstLine="640"/>
        <w:jc w:val="left"/>
        <w:rPr>
          <w:rFonts w:hint="eastAsia" w:ascii="仿宋" w:hAnsi="仿宋" w:eastAsia="仿宋" w:cs="仿宋"/>
          <w:color w:val="000000"/>
          <w:sz w:val="32"/>
          <w:szCs w:val="32"/>
          <w:shd w:val="clear" w:fill="FFFFFF"/>
        </w:rPr>
      </w:pPr>
      <w:r>
        <w:rPr>
          <w:rFonts w:hint="eastAsia" w:ascii="仿宋" w:hAnsi="仿宋" w:eastAsia="仿宋" w:cs="仿宋"/>
          <w:b/>
          <w:bCs/>
          <w:color w:val="000000"/>
          <w:sz w:val="32"/>
          <w:szCs w:val="32"/>
          <w:shd w:val="clear" w:fill="FFFFFF"/>
        </w:rPr>
        <w:t>2.公务用车购置及运行维护费支出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w:t>
      </w:r>
    </w:p>
    <w:p w14:paraId="1343586F">
      <w:pPr>
        <w:pStyle w:val="13"/>
        <w:keepNext w:val="0"/>
        <w:keepLines w:val="0"/>
        <w:widowControl/>
        <w:suppressLineNumbers w:val="0"/>
        <w:spacing w:before="0" w:beforeAutospacing="0" w:after="0" w:afterAutospacing="0" w:line="240" w:lineRule="auto"/>
        <w:ind w:left="0" w:firstLine="640"/>
        <w:jc w:val="left"/>
        <w:rPr>
          <w:rFonts w:hint="eastAsia" w:ascii="仿宋" w:hAnsi="仿宋" w:eastAsia="仿宋" w:cs="仿宋"/>
          <w:color w:val="000000"/>
          <w:sz w:val="32"/>
          <w:szCs w:val="32"/>
          <w:shd w:val="clear" w:fill="FFFFFF"/>
        </w:rPr>
      </w:pPr>
      <w:r>
        <w:rPr>
          <w:rFonts w:hint="eastAsia" w:ascii="仿宋" w:hAnsi="仿宋" w:eastAsia="仿宋" w:cs="仿宋"/>
          <w:color w:val="000000"/>
          <w:sz w:val="32"/>
          <w:szCs w:val="32"/>
          <w:shd w:val="clear" w:fill="FFFFFF"/>
        </w:rPr>
        <w:t>其中：</w:t>
      </w:r>
      <w:r>
        <w:rPr>
          <w:rFonts w:hint="eastAsia" w:ascii="仿宋" w:hAnsi="仿宋" w:eastAsia="仿宋" w:cs="仿宋"/>
          <w:b/>
          <w:bCs/>
          <w:color w:val="000000"/>
          <w:sz w:val="32"/>
          <w:szCs w:val="32"/>
          <w:shd w:val="clear" w:fill="FFFFFF"/>
        </w:rPr>
        <w:t>公务用车购置支出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万元。全年按规定更新购置公务用车</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辆，其中：轿车</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辆、金额</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万元，越野车</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辆、金额</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万元，载客汽车</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辆、金额</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万元。截至202</w:t>
      </w:r>
      <w:r>
        <w:rPr>
          <w:rFonts w:hint="eastAsia" w:ascii="仿宋" w:hAnsi="仿宋" w:eastAsia="仿宋" w:cs="仿宋"/>
          <w:color w:val="000000"/>
          <w:sz w:val="32"/>
          <w:szCs w:val="32"/>
          <w:shd w:val="clear" w:fill="FFFFFF"/>
          <w:lang w:val="en-US" w:eastAsia="zh-CN"/>
        </w:rPr>
        <w:t>4</w:t>
      </w:r>
      <w:r>
        <w:rPr>
          <w:rFonts w:hint="eastAsia" w:ascii="仿宋" w:hAnsi="仿宋" w:eastAsia="仿宋" w:cs="仿宋"/>
          <w:color w:val="000000"/>
          <w:sz w:val="32"/>
          <w:szCs w:val="32"/>
          <w:shd w:val="clear" w:fill="FFFFFF"/>
        </w:rPr>
        <w:t>年12月底，单位共有公务用车</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辆，其中：轿车</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辆、越野车</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辆、载客汽车</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辆。</w:t>
      </w:r>
    </w:p>
    <w:p w14:paraId="3ED486F4">
      <w:pPr>
        <w:pStyle w:val="13"/>
        <w:keepNext w:val="0"/>
        <w:keepLines w:val="0"/>
        <w:widowControl/>
        <w:suppressLineNumbers w:val="0"/>
        <w:spacing w:before="0" w:beforeAutospacing="0" w:after="0" w:afterAutospacing="0" w:line="240" w:lineRule="auto"/>
        <w:ind w:left="0" w:firstLine="640"/>
        <w:jc w:val="left"/>
        <w:rPr>
          <w:rFonts w:hint="eastAsia" w:ascii="仿宋" w:hAnsi="仿宋" w:eastAsia="仿宋" w:cs="仿宋"/>
        </w:rPr>
      </w:pPr>
      <w:r>
        <w:rPr>
          <w:rFonts w:hint="eastAsia" w:ascii="仿宋" w:hAnsi="仿宋" w:eastAsia="仿宋" w:cs="仿宋"/>
          <w:b/>
          <w:bCs/>
          <w:color w:val="000000"/>
          <w:sz w:val="32"/>
          <w:szCs w:val="32"/>
          <w:shd w:val="clear" w:fill="FFFFFF"/>
        </w:rPr>
        <w:t>公务用车运行维护费支出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w:t>
      </w:r>
    </w:p>
    <w:p w14:paraId="6A63795A">
      <w:pPr>
        <w:pStyle w:val="13"/>
        <w:keepNext w:val="0"/>
        <w:keepLines w:val="0"/>
        <w:widowControl/>
        <w:suppressLineNumbers w:val="0"/>
        <w:spacing w:before="0" w:beforeAutospacing="0" w:after="0" w:afterAutospacing="0" w:line="240" w:lineRule="auto"/>
        <w:ind w:left="0" w:firstLine="640"/>
        <w:jc w:val="left"/>
        <w:rPr>
          <w:rFonts w:hint="eastAsia" w:ascii="仿宋" w:hAnsi="仿宋" w:eastAsia="仿宋" w:cs="仿宋"/>
          <w:color w:val="000000"/>
          <w:sz w:val="32"/>
          <w:szCs w:val="32"/>
          <w:shd w:val="clear" w:fill="FFFFFF"/>
        </w:rPr>
      </w:pPr>
      <w:r>
        <w:rPr>
          <w:rFonts w:hint="eastAsia" w:ascii="仿宋" w:hAnsi="仿宋" w:eastAsia="仿宋" w:cs="仿宋"/>
          <w:b/>
          <w:bCs/>
          <w:color w:val="000000"/>
          <w:sz w:val="32"/>
          <w:szCs w:val="32"/>
          <w:shd w:val="clear" w:fill="FFFFFF"/>
        </w:rPr>
        <w:t>3.公务接待费支出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w:t>
      </w:r>
    </w:p>
    <w:p w14:paraId="4BBD08A7">
      <w:pPr>
        <w:pStyle w:val="13"/>
        <w:keepNext w:val="0"/>
        <w:keepLines w:val="0"/>
        <w:widowControl/>
        <w:suppressLineNumbers w:val="0"/>
        <w:spacing w:before="0" w:beforeAutospacing="0" w:after="0" w:afterAutospacing="0" w:line="240" w:lineRule="auto"/>
        <w:ind w:left="0" w:firstLine="640"/>
        <w:jc w:val="left"/>
        <w:rPr>
          <w:rFonts w:hint="eastAsia" w:ascii="仿宋" w:hAnsi="仿宋" w:eastAsia="仿宋" w:cs="仿宋"/>
        </w:rPr>
      </w:pPr>
      <w:r>
        <w:rPr>
          <w:rFonts w:hint="eastAsia" w:ascii="仿宋" w:hAnsi="仿宋" w:eastAsia="仿宋" w:cs="仿宋"/>
          <w:color w:val="000000"/>
          <w:sz w:val="32"/>
          <w:szCs w:val="32"/>
          <w:shd w:val="clear" w:fill="FFFFFF"/>
        </w:rPr>
        <w:t>其中：</w:t>
      </w:r>
      <w:r>
        <w:rPr>
          <w:rFonts w:hint="eastAsia" w:ascii="仿宋" w:hAnsi="仿宋" w:eastAsia="仿宋" w:cs="仿宋"/>
          <w:b/>
          <w:bCs/>
          <w:color w:val="000000"/>
          <w:sz w:val="32"/>
          <w:szCs w:val="32"/>
          <w:shd w:val="clear" w:fill="FFFFFF"/>
        </w:rPr>
        <w:t>国内公务接待支出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万元。国内公务接待</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批次，</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人次（不包括陪同人员），共计支出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w:t>
      </w:r>
    </w:p>
    <w:p w14:paraId="6FD7E63F">
      <w:pPr>
        <w:pStyle w:val="13"/>
        <w:keepNext w:val="0"/>
        <w:keepLines w:val="0"/>
        <w:widowControl/>
        <w:suppressLineNumbers w:val="0"/>
        <w:spacing w:before="0" w:beforeAutospacing="0" w:after="0" w:afterAutospacing="0" w:line="240" w:lineRule="auto"/>
        <w:ind w:left="0" w:firstLine="642"/>
        <w:jc w:val="left"/>
        <w:rPr>
          <w:rFonts w:hint="eastAsia" w:ascii="仿宋_GB2312" w:eastAsia="仿宋_GB2312" w:cs="仿宋_GB2312"/>
          <w:color w:val="000000"/>
          <w:sz w:val="32"/>
          <w:szCs w:val="32"/>
          <w:shd w:val="clear" w:fill="FFFFFF"/>
        </w:rPr>
      </w:pPr>
      <w:r>
        <w:rPr>
          <w:rFonts w:hint="eastAsia" w:ascii="仿宋" w:hAnsi="仿宋" w:eastAsia="仿宋" w:cs="仿宋"/>
          <w:b/>
          <w:bCs/>
          <w:color w:val="000000"/>
          <w:sz w:val="32"/>
          <w:szCs w:val="32"/>
          <w:shd w:val="clear" w:fill="FFFFFF"/>
        </w:rPr>
        <w:t>外事接待支出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万元。外事接待</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批次，</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人次（不包括陪同人员），共计支出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w:t>
      </w:r>
    </w:p>
    <w:p w14:paraId="0DD2FF31">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36"/>
      <w:bookmarkEnd w:id="37"/>
    </w:p>
    <w:p w14:paraId="76B4F760">
      <w:pPr>
        <w:spacing w:line="600" w:lineRule="exact"/>
        <w:ind w:firstLine="640"/>
        <w:rPr>
          <w:rFonts w:ascii="仿宋_GB2312" w:eastAsia="仿宋_GB2312"/>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年政府性基金预算财政拨款支出0万元。</w:t>
      </w:r>
    </w:p>
    <w:p w14:paraId="144BCF2F">
      <w:pPr>
        <w:numPr>
          <w:ilvl w:val="0"/>
          <w:numId w:val="4"/>
        </w:numPr>
        <w:spacing w:line="600" w:lineRule="exact"/>
        <w:ind w:firstLine="640"/>
        <w:outlineLvl w:val="1"/>
        <w:rPr>
          <w:rStyle w:val="29"/>
          <w:rFonts w:ascii="黑体" w:hAnsi="黑体" w:eastAsia="黑体"/>
          <w:b w:val="0"/>
        </w:rPr>
      </w:pPr>
      <w:bookmarkStart w:id="38" w:name="_Toc15377219"/>
      <w:bookmarkStart w:id="39" w:name="_Toc15396611"/>
      <w:r>
        <w:rPr>
          <w:rStyle w:val="29"/>
          <w:rFonts w:hint="eastAsia" w:ascii="黑体" w:hAnsi="黑体" w:eastAsia="黑体"/>
          <w:b w:val="0"/>
        </w:rPr>
        <w:t>国有资本经营预算支出决算情况说明</w:t>
      </w:r>
      <w:bookmarkEnd w:id="38"/>
      <w:bookmarkEnd w:id="39"/>
    </w:p>
    <w:p w14:paraId="1903B0E6">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年国有资本经营预算财政拨款支出0万元。</w:t>
      </w:r>
    </w:p>
    <w:p w14:paraId="7423CCF3">
      <w:pPr>
        <w:spacing w:line="580" w:lineRule="exact"/>
        <w:jc w:val="center"/>
        <w:rPr>
          <w:rFonts w:ascii="方正小标宋简体" w:hAnsi="方正小标宋简体" w:eastAsia="方正小标宋简体" w:cs="方正小标宋简体"/>
          <w:sz w:val="44"/>
          <w:szCs w:val="44"/>
        </w:rPr>
      </w:pPr>
    </w:p>
    <w:p w14:paraId="12092193">
      <w:pPr>
        <w:numPr>
          <w:ilvl w:val="0"/>
          <w:numId w:val="4"/>
        </w:numPr>
        <w:spacing w:line="600" w:lineRule="exact"/>
        <w:ind w:firstLine="640"/>
        <w:outlineLvl w:val="1"/>
        <w:rPr>
          <w:rStyle w:val="29"/>
          <w:rFonts w:ascii="黑体" w:hAnsi="黑体" w:eastAsia="黑体"/>
          <w:b w:val="0"/>
        </w:rPr>
      </w:pPr>
      <w:bookmarkStart w:id="40" w:name="_Toc15377221"/>
      <w:bookmarkStart w:id="41" w:name="_Toc15396612"/>
      <w:r>
        <w:rPr>
          <w:rStyle w:val="29"/>
          <w:rFonts w:hint="eastAsia" w:ascii="黑体" w:hAnsi="黑体" w:eastAsia="黑体"/>
          <w:b w:val="0"/>
        </w:rPr>
        <w:t>其他重要事项的情况说明</w:t>
      </w:r>
      <w:bookmarkEnd w:id="40"/>
      <w:bookmarkEnd w:id="41"/>
    </w:p>
    <w:p w14:paraId="5ECAC182">
      <w:pPr>
        <w:spacing w:line="600" w:lineRule="exact"/>
        <w:ind w:firstLine="643" w:firstLineChars="200"/>
        <w:outlineLvl w:val="2"/>
        <w:rPr>
          <w:rFonts w:ascii="仿宋" w:hAnsi="仿宋" w:eastAsia="仿宋"/>
          <w:sz w:val="32"/>
          <w:szCs w:val="32"/>
        </w:rPr>
      </w:pPr>
      <w:bookmarkStart w:id="42" w:name="_Toc15377222"/>
      <w:r>
        <w:rPr>
          <w:rFonts w:hint="eastAsia" w:ascii="仿宋" w:hAnsi="仿宋" w:eastAsia="仿宋"/>
          <w:b/>
          <w:sz w:val="32"/>
          <w:szCs w:val="32"/>
        </w:rPr>
        <w:t>（一）机关运行经费支出情况</w:t>
      </w:r>
      <w:bookmarkEnd w:id="42"/>
    </w:p>
    <w:p w14:paraId="7F846191">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年，机关运行经费支出</w:t>
      </w:r>
      <w:r>
        <w:rPr>
          <w:rFonts w:hint="eastAsia" w:ascii="仿宋" w:hAnsi="仿宋" w:eastAsia="仿宋" w:cs="仿宋"/>
          <w:sz w:val="32"/>
          <w:szCs w:val="32"/>
          <w:lang w:val="en-US" w:eastAsia="zh-CN"/>
        </w:rPr>
        <w:t>16.66</w:t>
      </w:r>
      <w:r>
        <w:rPr>
          <w:rFonts w:hint="eastAsia" w:ascii="仿宋" w:hAnsi="仿宋" w:eastAsia="仿宋" w:cs="仿宋"/>
          <w:sz w:val="32"/>
          <w:szCs w:val="32"/>
        </w:rPr>
        <w:t>万元，较</w:t>
      </w:r>
      <w:r>
        <w:rPr>
          <w:rFonts w:hint="eastAsia" w:ascii="仿宋" w:hAnsi="仿宋" w:eastAsia="仿宋" w:cs="仿宋"/>
          <w:sz w:val="32"/>
          <w:szCs w:val="32"/>
          <w:lang w:val="en-US" w:eastAsia="zh-CN"/>
        </w:rPr>
        <w:t>2023</w:t>
      </w:r>
      <w:r>
        <w:rPr>
          <w:rFonts w:hint="eastAsia" w:ascii="仿宋" w:hAnsi="仿宋" w:eastAsia="仿宋" w:cs="仿宋"/>
          <w:sz w:val="32"/>
          <w:szCs w:val="32"/>
        </w:rPr>
        <w:t>年</w:t>
      </w:r>
      <w:r>
        <w:rPr>
          <w:rFonts w:hint="eastAsia" w:ascii="仿宋" w:hAnsi="仿宋" w:eastAsia="仿宋" w:cs="仿宋"/>
          <w:sz w:val="32"/>
          <w:szCs w:val="32"/>
          <w:lang w:val="en-US" w:eastAsia="zh-CN"/>
        </w:rPr>
        <w:t>39.39万元</w:t>
      </w:r>
      <w:r>
        <w:rPr>
          <w:rFonts w:hint="eastAsia" w:ascii="仿宋" w:hAnsi="仿宋" w:eastAsia="仿宋" w:cs="仿宋"/>
          <w:sz w:val="32"/>
          <w:szCs w:val="32"/>
        </w:rPr>
        <w:t>减少</w:t>
      </w:r>
      <w:r>
        <w:rPr>
          <w:rFonts w:hint="eastAsia" w:ascii="仿宋" w:hAnsi="仿宋" w:eastAsia="仿宋" w:cs="仿宋"/>
          <w:sz w:val="32"/>
          <w:szCs w:val="32"/>
          <w:lang w:val="en-US" w:eastAsia="zh-CN"/>
        </w:rPr>
        <w:t>22.73</w:t>
      </w:r>
      <w:r>
        <w:rPr>
          <w:rFonts w:hint="eastAsia" w:ascii="仿宋" w:hAnsi="仿宋" w:eastAsia="仿宋" w:cs="仿宋"/>
          <w:sz w:val="32"/>
          <w:szCs w:val="32"/>
        </w:rPr>
        <w:t>万元，下降</w:t>
      </w:r>
      <w:r>
        <w:rPr>
          <w:rFonts w:hint="eastAsia" w:ascii="仿宋" w:hAnsi="仿宋" w:eastAsia="仿宋" w:cs="仿宋"/>
          <w:sz w:val="32"/>
          <w:szCs w:val="32"/>
          <w:lang w:val="en-US" w:eastAsia="zh-CN"/>
        </w:rPr>
        <w:t>57.71</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olor w:val="auto"/>
          <w:sz w:val="32"/>
          <w:szCs w:val="32"/>
        </w:rPr>
        <w:t>主要原因是</w:t>
      </w:r>
      <w:r>
        <w:rPr>
          <w:rFonts w:hint="eastAsia" w:ascii="仿宋" w:hAnsi="仿宋" w:eastAsia="仿宋"/>
          <w:color w:val="auto"/>
          <w:sz w:val="32"/>
          <w:szCs w:val="32"/>
          <w:lang w:val="en-US" w:eastAsia="zh-CN"/>
        </w:rPr>
        <w:t>非定额公用经费纳入项目经费核算。</w:t>
      </w:r>
    </w:p>
    <w:p w14:paraId="306CC511">
      <w:pPr>
        <w:autoSpaceDE w:val="0"/>
        <w:autoSpaceDN w:val="0"/>
        <w:adjustRightInd w:val="0"/>
        <w:spacing w:line="600" w:lineRule="exact"/>
        <w:ind w:firstLine="643" w:firstLineChars="200"/>
        <w:jc w:val="left"/>
        <w:outlineLvl w:val="2"/>
        <w:rPr>
          <w:rFonts w:ascii="仿宋" w:hAnsi="仿宋" w:eastAsia="仿宋"/>
          <w:b/>
          <w:sz w:val="32"/>
          <w:szCs w:val="32"/>
        </w:rPr>
      </w:pPr>
      <w:bookmarkStart w:id="43" w:name="_Toc15377223"/>
      <w:r>
        <w:rPr>
          <w:rFonts w:hint="eastAsia" w:ascii="仿宋" w:hAnsi="仿宋" w:eastAsia="仿宋"/>
          <w:b/>
          <w:sz w:val="32"/>
          <w:szCs w:val="32"/>
        </w:rPr>
        <w:t>（二）政府采购支出情况</w:t>
      </w:r>
      <w:bookmarkEnd w:id="43"/>
    </w:p>
    <w:p w14:paraId="3D3F8A07">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政府采购支出总额0万元，其中：政府采购货物支出0万元、政府采购工程支出0万元、政府采购服务支出0万元。0。授予中小企业合同金额0万元，占政府采购支出总额的0%，其中：授予小微企业合同金额0万元，占政府采购支出总额的0%。</w:t>
      </w:r>
    </w:p>
    <w:p w14:paraId="1D3DC9AC">
      <w:pPr>
        <w:autoSpaceDE w:val="0"/>
        <w:autoSpaceDN w:val="0"/>
        <w:adjustRightInd w:val="0"/>
        <w:spacing w:line="600" w:lineRule="exact"/>
        <w:ind w:firstLine="643" w:firstLineChars="200"/>
        <w:jc w:val="left"/>
        <w:outlineLvl w:val="2"/>
        <w:rPr>
          <w:rFonts w:ascii="仿宋" w:hAnsi="仿宋" w:eastAsia="仿宋"/>
          <w:b/>
          <w:sz w:val="32"/>
          <w:szCs w:val="32"/>
        </w:rPr>
      </w:pPr>
      <w:bookmarkStart w:id="44" w:name="_Toc15377224"/>
      <w:r>
        <w:rPr>
          <w:rFonts w:hint="eastAsia" w:ascii="仿宋" w:hAnsi="仿宋" w:eastAsia="仿宋"/>
          <w:b/>
          <w:sz w:val="32"/>
          <w:szCs w:val="32"/>
        </w:rPr>
        <w:t>（三）国有资产占有使用情况</w:t>
      </w:r>
      <w:bookmarkEnd w:id="44"/>
    </w:p>
    <w:p w14:paraId="09B36421">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年12月31日，共有车辆</w:t>
      </w:r>
      <w:r>
        <w:rPr>
          <w:rFonts w:hint="eastAsia" w:ascii="仿宋" w:hAnsi="仿宋" w:eastAsia="仿宋" w:cs="仿宋"/>
          <w:sz w:val="32"/>
          <w:szCs w:val="32"/>
          <w:lang w:val="en-US" w:eastAsia="zh-CN"/>
        </w:rPr>
        <w:t>0</w:t>
      </w:r>
      <w:r>
        <w:rPr>
          <w:rFonts w:hint="eastAsia" w:ascii="仿宋" w:hAnsi="仿宋" w:eastAsia="仿宋" w:cs="仿宋"/>
          <w:sz w:val="32"/>
          <w:szCs w:val="32"/>
        </w:rPr>
        <w:t>辆，单价100万元以上专用设备0台（套）。</w:t>
      </w:r>
    </w:p>
    <w:p w14:paraId="65D0497C">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144BBB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根据预算绩效管理要求，本单位在202</w:t>
      </w:r>
      <w:r>
        <w:rPr>
          <w:rFonts w:hint="eastAsia" w:ascii="仿宋" w:hAnsi="仿宋" w:eastAsia="仿宋" w:cs="仿宋"/>
          <w:sz w:val="32"/>
          <w:szCs w:val="32"/>
          <w:lang w:val="en-US" w:eastAsia="zh-CN"/>
        </w:rPr>
        <w:t>4</w:t>
      </w:r>
      <w:r>
        <w:rPr>
          <w:rFonts w:hint="eastAsia" w:ascii="仿宋" w:hAnsi="仿宋" w:eastAsia="仿宋" w:cs="仿宋"/>
          <w:sz w:val="32"/>
          <w:szCs w:val="32"/>
        </w:rPr>
        <w:t>年度预算编制阶段，组织对艾滋病（HIV）筛查费</w:t>
      </w:r>
      <w:r>
        <w:rPr>
          <w:rFonts w:hint="eastAsia" w:ascii="仿宋" w:hAnsi="仿宋" w:eastAsia="仿宋" w:cs="仿宋"/>
          <w:sz w:val="32"/>
          <w:szCs w:val="32"/>
          <w:lang w:eastAsia="zh-CN"/>
        </w:rPr>
        <w:t>、被强制医疗人员生活医疗被装费、监所门诊部运行维护费、监所医疗服务费、警务辅助人员专项支出、医疗卫生防疫费</w:t>
      </w:r>
      <w:r>
        <w:rPr>
          <w:rFonts w:hint="eastAsia" w:ascii="仿宋" w:hAnsi="仿宋" w:eastAsia="仿宋" w:cs="仿宋"/>
          <w:sz w:val="32"/>
          <w:szCs w:val="32"/>
        </w:rPr>
        <w:t>等</w:t>
      </w:r>
      <w:r>
        <w:rPr>
          <w:rFonts w:hint="eastAsia" w:ascii="仿宋" w:hAnsi="仿宋" w:eastAsia="仿宋" w:cs="仿宋"/>
          <w:sz w:val="32"/>
          <w:szCs w:val="32"/>
          <w:lang w:val="en-US" w:eastAsia="zh-CN"/>
        </w:rPr>
        <w:t>6</w:t>
      </w:r>
      <w:r>
        <w:rPr>
          <w:rFonts w:hint="eastAsia" w:ascii="仿宋" w:hAnsi="仿宋" w:eastAsia="仿宋" w:cs="仿宋"/>
          <w:sz w:val="32"/>
          <w:szCs w:val="32"/>
        </w:rPr>
        <w:t>个项目开展了预算事前绩效评估，对</w:t>
      </w:r>
      <w:r>
        <w:rPr>
          <w:rFonts w:hint="eastAsia" w:ascii="仿宋" w:hAnsi="仿宋" w:eastAsia="仿宋" w:cs="仿宋"/>
          <w:sz w:val="32"/>
          <w:szCs w:val="32"/>
          <w:lang w:val="en-US" w:eastAsia="zh-CN"/>
        </w:rPr>
        <w:t>6</w:t>
      </w:r>
      <w:r>
        <w:rPr>
          <w:rFonts w:hint="eastAsia" w:ascii="仿宋" w:hAnsi="仿宋" w:eastAsia="仿宋" w:cs="仿宋"/>
          <w:sz w:val="32"/>
          <w:szCs w:val="32"/>
        </w:rPr>
        <w:t>个项目编制了绩效目标，预算执行过程中，选取</w:t>
      </w:r>
      <w:r>
        <w:rPr>
          <w:rFonts w:hint="eastAsia" w:ascii="仿宋" w:hAnsi="仿宋" w:eastAsia="仿宋" w:cs="仿宋"/>
          <w:sz w:val="32"/>
          <w:szCs w:val="32"/>
          <w:lang w:val="en-US" w:eastAsia="zh-CN"/>
        </w:rPr>
        <w:t>6</w:t>
      </w:r>
      <w:r>
        <w:rPr>
          <w:rFonts w:hint="eastAsia" w:ascii="仿宋" w:hAnsi="仿宋" w:eastAsia="仿宋" w:cs="仿宋"/>
          <w:sz w:val="32"/>
          <w:szCs w:val="32"/>
        </w:rPr>
        <w:t>个项目开展绩效监控，组织对</w:t>
      </w:r>
      <w:r>
        <w:rPr>
          <w:rFonts w:hint="eastAsia" w:ascii="仿宋" w:hAnsi="仿宋" w:eastAsia="仿宋" w:cs="仿宋"/>
          <w:sz w:val="32"/>
          <w:szCs w:val="32"/>
          <w:lang w:val="en-US" w:eastAsia="zh-CN"/>
        </w:rPr>
        <w:t>6</w:t>
      </w:r>
      <w:r>
        <w:rPr>
          <w:rFonts w:hint="eastAsia" w:ascii="仿宋" w:hAnsi="仿宋" w:eastAsia="仿宋" w:cs="仿宋"/>
          <w:sz w:val="32"/>
          <w:szCs w:val="32"/>
        </w:rPr>
        <w:t>个项目开展绩效自评。绩效自评表详见第四部分附件。</w:t>
      </w:r>
    </w:p>
    <w:p w14:paraId="2CC96843">
      <w:pPr>
        <w:pStyle w:val="2"/>
        <w:spacing w:before="93"/>
      </w:pPr>
    </w:p>
    <w:p w14:paraId="5CC3D8CB">
      <w:pPr>
        <w:numPr>
          <w:ilvl w:val="0"/>
          <w:numId w:val="5"/>
        </w:numPr>
        <w:spacing w:line="600" w:lineRule="exact"/>
        <w:ind w:firstLine="660" w:firstLineChars="150"/>
        <w:jc w:val="center"/>
        <w:outlineLvl w:val="0"/>
        <w:rPr>
          <w:rStyle w:val="28"/>
          <w:rFonts w:ascii="黑体" w:hAnsi="黑体" w:eastAsia="黑体"/>
          <w:b w:val="0"/>
        </w:rPr>
      </w:pPr>
      <w:bookmarkStart w:id="45" w:name="_Toc15377225"/>
      <w:bookmarkStart w:id="46" w:name="_Toc15396613"/>
      <w:r>
        <w:rPr>
          <w:rFonts w:hint="eastAsia" w:ascii="黑体" w:hAnsi="黑体" w:eastAsia="黑体"/>
          <w:sz w:val="44"/>
          <w:szCs w:val="44"/>
        </w:rPr>
        <w:t>名</w:t>
      </w:r>
      <w:r>
        <w:rPr>
          <w:rStyle w:val="28"/>
          <w:rFonts w:hint="eastAsia" w:ascii="黑体" w:hAnsi="黑体" w:eastAsia="黑体"/>
          <w:b w:val="0"/>
        </w:rPr>
        <w:t>词解释</w:t>
      </w:r>
      <w:bookmarkEnd w:id="45"/>
      <w:bookmarkEnd w:id="46"/>
    </w:p>
    <w:p w14:paraId="30F09DAA">
      <w:pPr>
        <w:spacing w:line="600" w:lineRule="exact"/>
        <w:jc w:val="left"/>
        <w:rPr>
          <w:rFonts w:ascii="宋体"/>
          <w:b/>
          <w:sz w:val="44"/>
          <w:szCs w:val="44"/>
        </w:rPr>
      </w:pPr>
    </w:p>
    <w:p w14:paraId="6F4755F8">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1.财政拨款收入：指单位从同级财政部门取得的财政预算资金。</w:t>
      </w:r>
    </w:p>
    <w:p w14:paraId="14542FC0">
      <w:pPr>
        <w:pStyle w:val="26"/>
        <w:spacing w:before="156" w:beforeLines="5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.公共安全支出（类）公安（款）行政运行（项），主要用于：人员基本工资、津贴补贴、绩效目标、福利费、办公费、手续费、差旅费、电费、邮电费等。</w:t>
      </w:r>
    </w:p>
    <w:p w14:paraId="4A83787C">
      <w:pPr>
        <w:pStyle w:val="26"/>
        <w:spacing w:before="156" w:beforeLines="5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.公共安全支出（类）公安（款）一般行政管理事务（项），主要用于：</w:t>
      </w:r>
      <w:r>
        <w:rPr>
          <w:rFonts w:hint="eastAsia" w:ascii="仿宋" w:hAnsi="仿宋" w:eastAsia="仿宋" w:cs="仿宋"/>
          <w:sz w:val="32"/>
          <w:szCs w:val="32"/>
          <w:lang w:val="en-US" w:eastAsia="zh-CN"/>
        </w:rPr>
        <w:t>市级公安监所医疗、被强制医疗人员医疗生活被装、警务辅助人员专项经费等</w:t>
      </w:r>
      <w:r>
        <w:rPr>
          <w:rFonts w:hint="eastAsia" w:ascii="仿宋" w:hAnsi="仿宋" w:eastAsia="仿宋" w:cs="仿宋"/>
          <w:sz w:val="32"/>
          <w:szCs w:val="32"/>
        </w:rPr>
        <w:t>。</w:t>
      </w:r>
    </w:p>
    <w:p w14:paraId="1A318056">
      <w:pPr>
        <w:spacing w:before="156" w:beforeLines="50" w:line="576"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.社会保障和就业支出（类）</w:t>
      </w:r>
      <w:r>
        <w:rPr>
          <w:rStyle w:val="17"/>
          <w:rFonts w:hint="eastAsia" w:ascii="仿宋" w:hAnsi="仿宋" w:eastAsia="仿宋" w:cs="仿宋"/>
          <w:b w:val="0"/>
          <w:color w:val="000000"/>
          <w:sz w:val="32"/>
          <w:szCs w:val="32"/>
        </w:rPr>
        <w:t>行政事业单位养老支出</w:t>
      </w:r>
      <w:r>
        <w:rPr>
          <w:rFonts w:hint="eastAsia" w:ascii="仿宋" w:hAnsi="仿宋" w:eastAsia="仿宋" w:cs="仿宋"/>
          <w:color w:val="000000"/>
          <w:kern w:val="0"/>
          <w:sz w:val="32"/>
          <w:szCs w:val="32"/>
        </w:rPr>
        <w:t>（款）机关事业单位基本养老保险缴费支出（项），主要用于：机关事业单位人员基本养老保险缴费。</w:t>
      </w:r>
    </w:p>
    <w:p w14:paraId="2A727BD6">
      <w:pPr>
        <w:spacing w:before="156" w:beforeLines="50" w:line="576"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.卫生健康支出（类）行政事业单位医疗（款）行政单位医疗（项），主要用于：基本医疗保险缴费、其他社会保障缴费。</w:t>
      </w:r>
    </w:p>
    <w:p w14:paraId="0D6A8707">
      <w:pPr>
        <w:spacing w:before="156" w:beforeLines="50" w:line="576" w:lineRule="exact"/>
        <w:ind w:firstLine="640" w:firstLineChars="200"/>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.住房改革支出（款）住房公积金（项），主要用于：缴纳住房公积金。</w:t>
      </w:r>
    </w:p>
    <w:p w14:paraId="47575E0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.基本支出：指为保障机构正常运转、完成日常工作任务而发生的人员支出和公用支出。</w:t>
      </w:r>
    </w:p>
    <w:p w14:paraId="064E35B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.项目支出：指在基本支出之外为完成特定行政任务和事业发展目标所发生的支出。 </w:t>
      </w:r>
    </w:p>
    <w:p w14:paraId="60BB7B28">
      <w:pPr>
        <w:pStyle w:val="26"/>
        <w:spacing w:line="560" w:lineRule="exact"/>
        <w:ind w:firstLine="640" w:firstLineChars="200"/>
        <w:rPr>
          <w:rFonts w:hint="eastAsia" w:ascii="仿宋" w:hAnsi="仿宋" w:eastAsia="仿宋" w:cs="仿宋"/>
          <w:color w:val="auto"/>
          <w:sz w:val="32"/>
          <w:szCs w:val="32"/>
        </w:rPr>
      </w:pPr>
      <w:r>
        <w:rPr>
          <w:rFonts w:hint="eastAsia" w:hAnsi="仿宋" w:cs="仿宋"/>
          <w:color w:val="auto"/>
          <w:sz w:val="32"/>
          <w:szCs w:val="32"/>
          <w:lang w:val="en-US" w:eastAsia="zh-CN"/>
        </w:rPr>
        <w:t>9</w:t>
      </w:r>
      <w:r>
        <w:rPr>
          <w:rFonts w:hint="eastAsia" w:ascii="仿宋" w:hAnsi="仿宋" w:eastAsia="仿宋" w:cs="仿宋"/>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C4D8843">
      <w:pPr>
        <w:pStyle w:val="26"/>
        <w:spacing w:line="560" w:lineRule="exact"/>
        <w:ind w:firstLine="640" w:firstLineChars="200"/>
        <w:rPr>
          <w:rFonts w:ascii="仿宋" w:hAnsi="仿宋" w:eastAsia="仿宋"/>
          <w:b/>
          <w:sz w:val="32"/>
          <w:szCs w:val="32"/>
        </w:rPr>
      </w:pPr>
      <w:r>
        <w:rPr>
          <w:rFonts w:hint="eastAsia" w:ascii="仿宋" w:hAnsi="仿宋" w:eastAsia="仿宋" w:cs="仿宋"/>
          <w:color w:val="auto"/>
          <w:sz w:val="32"/>
          <w:szCs w:val="32"/>
          <w:lang w:val="en-US" w:eastAsia="zh-CN"/>
        </w:rPr>
        <w:t>1</w:t>
      </w:r>
      <w:r>
        <w:rPr>
          <w:rFonts w:hint="eastAsia" w:hAnsi="仿宋" w:cs="仿宋"/>
          <w:color w:val="auto"/>
          <w:sz w:val="32"/>
          <w:szCs w:val="32"/>
          <w:lang w:val="en-US" w:eastAsia="zh-CN"/>
        </w:rPr>
        <w:t>0</w:t>
      </w:r>
      <w:r>
        <w:rPr>
          <w:rFonts w:hint="eastAsia" w:ascii="仿宋" w:hAnsi="仿宋" w:eastAsia="仿宋" w:cs="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47" w:name="_Toc15396614"/>
      <w:bookmarkStart w:id="48" w:name="_Toc15377226"/>
    </w:p>
    <w:p w14:paraId="192B327F">
      <w:pPr>
        <w:spacing w:line="600" w:lineRule="exact"/>
        <w:jc w:val="center"/>
        <w:outlineLvl w:val="0"/>
        <w:rPr>
          <w:rFonts w:ascii="仿宋" w:hAnsi="仿宋" w:eastAsia="仿宋"/>
          <w:b/>
          <w:sz w:val="32"/>
          <w:szCs w:val="32"/>
        </w:rPr>
      </w:pPr>
    </w:p>
    <w:p w14:paraId="1C3BA68C">
      <w:pPr>
        <w:spacing w:line="600" w:lineRule="exact"/>
        <w:jc w:val="center"/>
        <w:outlineLvl w:val="0"/>
        <w:rPr>
          <w:rFonts w:ascii="仿宋" w:hAnsi="仿宋" w:eastAsia="仿宋"/>
          <w:b/>
          <w:sz w:val="32"/>
          <w:szCs w:val="32"/>
        </w:rPr>
      </w:pPr>
    </w:p>
    <w:p w14:paraId="380F7578">
      <w:pPr>
        <w:spacing w:line="600" w:lineRule="exact"/>
        <w:jc w:val="center"/>
        <w:outlineLvl w:val="0"/>
        <w:rPr>
          <w:rFonts w:ascii="仿宋" w:hAnsi="仿宋" w:eastAsia="仿宋"/>
          <w:b/>
          <w:sz w:val="32"/>
          <w:szCs w:val="32"/>
        </w:rPr>
      </w:pPr>
    </w:p>
    <w:p w14:paraId="370F7098">
      <w:pPr>
        <w:spacing w:line="600" w:lineRule="exact"/>
        <w:jc w:val="center"/>
        <w:outlineLvl w:val="0"/>
        <w:rPr>
          <w:rFonts w:ascii="仿宋" w:hAnsi="仿宋" w:eastAsia="仿宋"/>
          <w:b/>
          <w:sz w:val="32"/>
          <w:szCs w:val="32"/>
        </w:rPr>
      </w:pPr>
    </w:p>
    <w:p w14:paraId="41112553">
      <w:pPr>
        <w:pStyle w:val="2"/>
        <w:spacing w:before="93"/>
      </w:pPr>
    </w:p>
    <w:p w14:paraId="33B1F887">
      <w:pPr>
        <w:pStyle w:val="2"/>
        <w:spacing w:before="93"/>
      </w:pPr>
    </w:p>
    <w:p w14:paraId="42199332">
      <w:pPr>
        <w:pStyle w:val="2"/>
        <w:spacing w:before="93"/>
      </w:pPr>
    </w:p>
    <w:p w14:paraId="17726672">
      <w:pPr>
        <w:pStyle w:val="2"/>
        <w:spacing w:before="93"/>
        <w:rPr>
          <w:rFonts w:hint="eastAsia"/>
        </w:rPr>
      </w:pPr>
    </w:p>
    <w:p w14:paraId="500B3AF4">
      <w:pPr>
        <w:pStyle w:val="2"/>
        <w:spacing w:before="93"/>
        <w:rPr>
          <w:rFonts w:hint="eastAsia"/>
        </w:rPr>
      </w:pPr>
    </w:p>
    <w:p w14:paraId="75957808">
      <w:pPr>
        <w:spacing w:line="600" w:lineRule="exact"/>
        <w:jc w:val="center"/>
        <w:outlineLvl w:val="0"/>
        <w:rPr>
          <w:rFonts w:ascii="黑体" w:hAnsi="黑体" w:eastAsia="黑体"/>
          <w:bCs/>
          <w:kern w:val="44"/>
          <w:sz w:val="44"/>
          <w:szCs w:val="44"/>
        </w:rPr>
      </w:pPr>
      <w:r>
        <w:rPr>
          <w:rFonts w:hint="eastAsia" w:ascii="黑体" w:hAnsi="黑体" w:eastAsia="黑体"/>
          <w:sz w:val="44"/>
          <w:szCs w:val="44"/>
        </w:rPr>
        <w:t>第</w:t>
      </w:r>
      <w:r>
        <w:rPr>
          <w:rFonts w:hint="eastAsia" w:ascii="黑体" w:hAnsi="黑体" w:eastAsia="黑体"/>
          <w:bCs/>
          <w:kern w:val="44"/>
          <w:sz w:val="44"/>
          <w:szCs w:val="44"/>
        </w:rPr>
        <w:t>四部分 附件</w:t>
      </w:r>
    </w:p>
    <w:p w14:paraId="267E3A69">
      <w:pPr>
        <w:spacing w:line="572" w:lineRule="exact"/>
        <w:jc w:val="left"/>
        <w:outlineLvl w:val="0"/>
        <w:rPr>
          <w:rFonts w:ascii="仿宋_GB2312" w:hAnsi="仿宋_GB2312" w:eastAsia="仿宋_GB2312" w:cs="仿宋_GB2312"/>
          <w:sz w:val="32"/>
          <w:szCs w:val="32"/>
        </w:rPr>
      </w:pPr>
    </w:p>
    <w:p w14:paraId="2A4A62BD">
      <w:pPr>
        <w:spacing w:line="600" w:lineRule="exact"/>
        <w:jc w:val="center"/>
        <w:outlineLvl w:val="0"/>
        <w:rPr>
          <w:rFonts w:ascii="宋体" w:hAnsi="宋体" w:cs="宋体"/>
          <w:kern w:val="0"/>
          <w:sz w:val="32"/>
          <w:szCs w:val="32"/>
        </w:rPr>
      </w:pPr>
      <w:r>
        <w:rPr>
          <w:rFonts w:hint="eastAsia" w:ascii="宋体" w:hAnsi="宋体" w:cs="宋体"/>
          <w:kern w:val="0"/>
          <w:sz w:val="32"/>
          <w:szCs w:val="32"/>
        </w:rPr>
        <w:t>部门预算项目支出绩效自评表（202</w:t>
      </w:r>
      <w:r>
        <w:rPr>
          <w:rFonts w:hint="eastAsia" w:ascii="宋体" w:hAnsi="宋体" w:cs="宋体"/>
          <w:kern w:val="0"/>
          <w:sz w:val="32"/>
          <w:szCs w:val="32"/>
          <w:lang w:val="en-US" w:eastAsia="zh-CN"/>
        </w:rPr>
        <w:t>4</w:t>
      </w:r>
      <w:r>
        <w:rPr>
          <w:rFonts w:hint="eastAsia" w:ascii="宋体" w:hAnsi="宋体" w:cs="宋体"/>
          <w:kern w:val="0"/>
          <w:sz w:val="32"/>
          <w:szCs w:val="32"/>
        </w:rPr>
        <w:t>年度）</w:t>
      </w:r>
    </w:p>
    <w:p w14:paraId="1FF9CB39">
      <w:pPr>
        <w:spacing w:line="600" w:lineRule="exact"/>
        <w:jc w:val="left"/>
        <w:outlineLvl w:val="0"/>
        <w:rPr>
          <w:rFonts w:ascii="仿宋_GB2312" w:hAnsi="Calibri" w:eastAsia="仿宋_GB2312" w:cs="仿宋"/>
          <w:kern w:val="0"/>
          <w:sz w:val="32"/>
          <w:szCs w:val="32"/>
        </w:rPr>
      </w:pPr>
    </w:p>
    <w:p w14:paraId="18CE2A35">
      <w:pPr>
        <w:spacing w:line="600" w:lineRule="exact"/>
        <w:jc w:val="center"/>
        <w:outlineLvl w:val="0"/>
        <w:rPr>
          <w:rFonts w:ascii="仿宋" w:hAnsi="仿宋" w:eastAsia="仿宋"/>
          <w:b/>
          <w:sz w:val="32"/>
          <w:szCs w:val="32"/>
        </w:rPr>
      </w:pPr>
    </w:p>
    <w:p w14:paraId="4702C7AA">
      <w:pPr>
        <w:pStyle w:val="2"/>
        <w:spacing w:before="93"/>
      </w:pPr>
    </w:p>
    <w:p w14:paraId="5EFFF292">
      <w:pPr>
        <w:pStyle w:val="2"/>
        <w:spacing w:before="93"/>
      </w:pPr>
    </w:p>
    <w:p w14:paraId="16F5D90E">
      <w:pPr>
        <w:pStyle w:val="2"/>
        <w:spacing w:before="93"/>
      </w:pPr>
    </w:p>
    <w:p w14:paraId="4917503C">
      <w:pPr>
        <w:pStyle w:val="2"/>
        <w:spacing w:before="93"/>
      </w:pPr>
    </w:p>
    <w:p w14:paraId="5860385F">
      <w:pPr>
        <w:pStyle w:val="2"/>
        <w:spacing w:before="93"/>
      </w:pPr>
    </w:p>
    <w:p w14:paraId="7DA0AB11">
      <w:pPr>
        <w:pStyle w:val="2"/>
        <w:spacing w:before="93"/>
      </w:pPr>
    </w:p>
    <w:p w14:paraId="2356E082">
      <w:pPr>
        <w:pStyle w:val="2"/>
        <w:spacing w:before="93"/>
      </w:pPr>
    </w:p>
    <w:p w14:paraId="58A26968">
      <w:pPr>
        <w:pStyle w:val="2"/>
        <w:spacing w:before="93"/>
      </w:pPr>
    </w:p>
    <w:p w14:paraId="0B7DEC74">
      <w:pPr>
        <w:pStyle w:val="2"/>
        <w:spacing w:before="93"/>
      </w:pPr>
    </w:p>
    <w:p w14:paraId="7C971DB5">
      <w:pPr>
        <w:pStyle w:val="2"/>
        <w:spacing w:before="93"/>
      </w:pPr>
    </w:p>
    <w:p w14:paraId="330BC1D0">
      <w:pPr>
        <w:pStyle w:val="2"/>
        <w:spacing w:before="93"/>
      </w:pPr>
    </w:p>
    <w:p w14:paraId="02084CB7">
      <w:pPr>
        <w:pStyle w:val="2"/>
        <w:spacing w:before="93"/>
      </w:pPr>
    </w:p>
    <w:p w14:paraId="41C472AC">
      <w:pPr>
        <w:pStyle w:val="2"/>
        <w:spacing w:before="93"/>
      </w:pPr>
    </w:p>
    <w:p w14:paraId="7418DBC1">
      <w:pPr>
        <w:pStyle w:val="2"/>
        <w:spacing w:before="93"/>
        <w:rPr>
          <w:rFonts w:hint="eastAsia"/>
        </w:rPr>
      </w:pPr>
    </w:p>
    <w:p w14:paraId="04D5DEFA">
      <w:pPr>
        <w:pStyle w:val="2"/>
        <w:spacing w:before="93"/>
        <w:rPr>
          <w:rFonts w:hint="eastAsia"/>
        </w:rPr>
      </w:pPr>
    </w:p>
    <w:bookmarkEnd w:id="47"/>
    <w:p w14:paraId="23EEA3A4">
      <w:pPr>
        <w:spacing w:line="600" w:lineRule="exact"/>
        <w:jc w:val="center"/>
        <w:outlineLvl w:val="0"/>
        <w:rPr>
          <w:rFonts w:ascii="仿宋" w:hAnsi="仿宋" w:eastAsia="仿宋"/>
        </w:rPr>
      </w:pPr>
      <w:bookmarkStart w:id="49" w:name="_Toc15396618"/>
      <w:r>
        <w:rPr>
          <w:rFonts w:hint="eastAsia" w:ascii="黑体" w:hAnsi="黑体" w:eastAsia="黑体"/>
          <w:sz w:val="44"/>
          <w:szCs w:val="44"/>
        </w:rPr>
        <w:t>第</w:t>
      </w:r>
      <w:r>
        <w:rPr>
          <w:rStyle w:val="28"/>
          <w:rFonts w:hint="eastAsia" w:ascii="黑体" w:hAnsi="黑体" w:eastAsia="黑体"/>
          <w:b w:val="0"/>
        </w:rPr>
        <w:t>五部分 附表</w:t>
      </w:r>
      <w:bookmarkEnd w:id="48"/>
      <w:bookmarkEnd w:id="49"/>
      <w:bookmarkStart w:id="50" w:name="_Toc15396619"/>
    </w:p>
    <w:bookmarkEnd w:id="50"/>
    <w:p w14:paraId="55FB1D93">
      <w:pPr>
        <w:pStyle w:val="4"/>
        <w:rPr>
          <w:rFonts w:ascii="仿宋" w:hAnsi="仿宋" w:eastAsia="仿宋"/>
          <w:color w:val="auto"/>
          <w:highlight w:val="none"/>
        </w:rPr>
      </w:pPr>
      <w:r>
        <w:rPr>
          <w:rFonts w:hint="eastAsia" w:ascii="仿宋" w:hAnsi="仿宋" w:eastAsia="仿宋"/>
          <w:b w:val="0"/>
          <w:color w:val="auto"/>
          <w:highlight w:val="none"/>
        </w:rPr>
        <w:t>一、收</w:t>
      </w:r>
      <w:r>
        <w:rPr>
          <w:rStyle w:val="36"/>
          <w:rFonts w:hint="eastAsia" w:ascii="仿宋" w:hAnsi="仿宋" w:eastAsia="仿宋"/>
          <w:b w:val="0"/>
          <w:bCs w:val="0"/>
          <w:color w:val="auto"/>
          <w:highlight w:val="none"/>
        </w:rPr>
        <w:t>入支出决算总表</w:t>
      </w:r>
    </w:p>
    <w:p w14:paraId="2629BBBC">
      <w:pPr>
        <w:pStyle w:val="4"/>
        <w:rPr>
          <w:rFonts w:ascii="仿宋" w:hAnsi="仿宋" w:eastAsia="仿宋"/>
          <w:color w:val="auto"/>
          <w:highlight w:val="none"/>
        </w:rPr>
      </w:pPr>
      <w:bookmarkStart w:id="51" w:name="_Toc15396620"/>
      <w:r>
        <w:rPr>
          <w:rFonts w:hint="eastAsia" w:ascii="仿宋" w:hAnsi="仿宋" w:eastAsia="仿宋"/>
          <w:b w:val="0"/>
          <w:color w:val="auto"/>
          <w:highlight w:val="none"/>
        </w:rPr>
        <w:t>二、收</w:t>
      </w:r>
      <w:r>
        <w:rPr>
          <w:rStyle w:val="36"/>
          <w:rFonts w:hint="eastAsia" w:ascii="仿宋" w:hAnsi="仿宋" w:eastAsia="仿宋"/>
          <w:b w:val="0"/>
          <w:bCs w:val="0"/>
          <w:color w:val="auto"/>
          <w:highlight w:val="none"/>
        </w:rPr>
        <w:t>入决算表</w:t>
      </w:r>
      <w:bookmarkEnd w:id="51"/>
    </w:p>
    <w:p w14:paraId="4536F3A1">
      <w:pPr>
        <w:pStyle w:val="4"/>
        <w:rPr>
          <w:rFonts w:ascii="仿宋" w:hAnsi="仿宋" w:eastAsia="仿宋"/>
          <w:color w:val="auto"/>
          <w:highlight w:val="none"/>
        </w:rPr>
      </w:pPr>
      <w:bookmarkStart w:id="52" w:name="_Toc15396621"/>
      <w:r>
        <w:rPr>
          <w:rStyle w:val="3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6"/>
          <w:rFonts w:hint="eastAsia" w:ascii="仿宋" w:hAnsi="仿宋" w:eastAsia="仿宋"/>
          <w:b w:val="0"/>
          <w:bCs w:val="0"/>
          <w:color w:val="auto"/>
          <w:highlight w:val="none"/>
        </w:rPr>
        <w:t>出决算表</w:t>
      </w:r>
      <w:bookmarkEnd w:id="52"/>
    </w:p>
    <w:p w14:paraId="2325F565">
      <w:pPr>
        <w:pStyle w:val="4"/>
        <w:rPr>
          <w:rFonts w:ascii="仿宋" w:hAnsi="仿宋" w:eastAsia="仿宋"/>
          <w:b w:val="0"/>
          <w:color w:val="auto"/>
          <w:highlight w:val="none"/>
        </w:rPr>
      </w:pPr>
      <w:bookmarkStart w:id="53" w:name="_Toc15396622"/>
      <w:r>
        <w:rPr>
          <w:rStyle w:val="3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6"/>
          <w:rFonts w:hint="eastAsia" w:ascii="仿宋" w:hAnsi="仿宋" w:eastAsia="仿宋"/>
          <w:b w:val="0"/>
          <w:bCs w:val="0"/>
          <w:color w:val="auto"/>
          <w:highlight w:val="none"/>
        </w:rPr>
        <w:t>政拨款收入支出决算总表</w:t>
      </w:r>
      <w:bookmarkEnd w:id="53"/>
    </w:p>
    <w:p w14:paraId="38B9C220">
      <w:pPr>
        <w:pStyle w:val="4"/>
        <w:rPr>
          <w:rStyle w:val="36"/>
          <w:rFonts w:ascii="仿宋" w:hAnsi="仿宋" w:eastAsia="仿宋"/>
          <w:b w:val="0"/>
          <w:bCs w:val="0"/>
          <w:color w:val="auto"/>
          <w:highlight w:val="none"/>
        </w:rPr>
      </w:pPr>
      <w:bookmarkStart w:id="54" w:name="_Toc15396623"/>
      <w:r>
        <w:rPr>
          <w:rStyle w:val="3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6"/>
          <w:rFonts w:hint="eastAsia" w:ascii="仿宋" w:hAnsi="仿宋" w:eastAsia="仿宋"/>
          <w:b w:val="0"/>
          <w:bCs w:val="0"/>
          <w:color w:val="auto"/>
          <w:highlight w:val="none"/>
        </w:rPr>
        <w:t>政拨款支出决算明细表</w:t>
      </w:r>
      <w:bookmarkEnd w:id="54"/>
      <w:bookmarkStart w:id="55" w:name="_Toc15396624"/>
    </w:p>
    <w:p w14:paraId="2E624B68">
      <w:pPr>
        <w:pStyle w:val="4"/>
        <w:rPr>
          <w:rFonts w:ascii="仿宋" w:hAnsi="仿宋" w:eastAsia="仿宋"/>
          <w:color w:val="auto"/>
          <w:highlight w:val="none"/>
        </w:rPr>
      </w:pPr>
      <w:r>
        <w:rPr>
          <w:rStyle w:val="3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6"/>
          <w:rFonts w:hint="eastAsia" w:ascii="仿宋" w:hAnsi="仿宋" w:eastAsia="仿宋"/>
          <w:b w:val="0"/>
          <w:bCs w:val="0"/>
          <w:color w:val="auto"/>
          <w:highlight w:val="none"/>
        </w:rPr>
        <w:t>般公共预算财政拨款支出决算表</w:t>
      </w:r>
      <w:bookmarkEnd w:id="55"/>
    </w:p>
    <w:p w14:paraId="009D8E7D">
      <w:pPr>
        <w:pStyle w:val="4"/>
        <w:rPr>
          <w:rFonts w:ascii="仿宋" w:hAnsi="仿宋" w:eastAsia="仿宋"/>
          <w:color w:val="auto"/>
          <w:highlight w:val="none"/>
        </w:rPr>
      </w:pPr>
      <w:bookmarkStart w:id="56" w:name="_Toc15396625"/>
      <w:r>
        <w:rPr>
          <w:rStyle w:val="3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6"/>
          <w:rFonts w:hint="eastAsia" w:ascii="仿宋" w:hAnsi="仿宋" w:eastAsia="仿宋"/>
          <w:b w:val="0"/>
          <w:bCs w:val="0"/>
          <w:color w:val="auto"/>
          <w:highlight w:val="none"/>
        </w:rPr>
        <w:t>般公共预算财政拨款支出决算明细表</w:t>
      </w:r>
      <w:bookmarkEnd w:id="56"/>
    </w:p>
    <w:p w14:paraId="5ABF9B22">
      <w:pPr>
        <w:pStyle w:val="4"/>
        <w:rPr>
          <w:rFonts w:ascii="仿宋" w:hAnsi="仿宋" w:eastAsia="仿宋"/>
          <w:color w:val="auto"/>
          <w:highlight w:val="none"/>
        </w:rPr>
      </w:pPr>
      <w:bookmarkStart w:id="57" w:name="_Toc15396626"/>
      <w:r>
        <w:rPr>
          <w:rStyle w:val="3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6"/>
          <w:rFonts w:hint="eastAsia" w:ascii="仿宋" w:hAnsi="仿宋" w:eastAsia="仿宋"/>
          <w:b w:val="0"/>
          <w:bCs w:val="0"/>
          <w:color w:val="auto"/>
          <w:highlight w:val="none"/>
        </w:rPr>
        <w:t>般公共预算财政拨款基本支出决算表</w:t>
      </w:r>
      <w:bookmarkEnd w:id="57"/>
    </w:p>
    <w:p w14:paraId="38765299">
      <w:pPr>
        <w:pStyle w:val="4"/>
        <w:rPr>
          <w:rFonts w:ascii="仿宋" w:hAnsi="仿宋" w:eastAsia="仿宋"/>
          <w:color w:val="auto"/>
          <w:highlight w:val="none"/>
        </w:rPr>
      </w:pPr>
      <w:bookmarkStart w:id="58" w:name="_Toc15396627"/>
      <w:r>
        <w:rPr>
          <w:rStyle w:val="3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6"/>
          <w:rFonts w:hint="eastAsia" w:ascii="仿宋" w:hAnsi="仿宋" w:eastAsia="仿宋"/>
          <w:b w:val="0"/>
          <w:bCs w:val="0"/>
          <w:color w:val="auto"/>
          <w:highlight w:val="none"/>
        </w:rPr>
        <w:t>般公共预算财政拨款项目支出决算表</w:t>
      </w:r>
      <w:bookmarkEnd w:id="58"/>
    </w:p>
    <w:p w14:paraId="1409B3F7">
      <w:pPr>
        <w:pStyle w:val="4"/>
        <w:rPr>
          <w:rFonts w:ascii="仿宋" w:hAnsi="仿宋" w:eastAsia="仿宋"/>
          <w:color w:val="auto"/>
          <w:highlight w:val="none"/>
        </w:rPr>
      </w:pPr>
      <w:bookmarkStart w:id="59" w:name="_Toc15396628"/>
      <w:r>
        <w:rPr>
          <w:rStyle w:val="36"/>
          <w:rFonts w:hint="eastAsia" w:ascii="仿宋" w:hAnsi="仿宋" w:eastAsia="仿宋"/>
          <w:b w:val="0"/>
          <w:bCs w:val="0"/>
          <w:color w:val="auto"/>
          <w:highlight w:val="none"/>
        </w:rPr>
        <w:t>十、</w:t>
      </w:r>
      <w:bookmarkEnd w:id="59"/>
      <w:r>
        <w:rPr>
          <w:rFonts w:hint="eastAsia" w:ascii="仿宋" w:hAnsi="仿宋" w:eastAsia="仿宋"/>
          <w:b w:val="0"/>
          <w:color w:val="auto"/>
          <w:highlight w:val="none"/>
        </w:rPr>
        <w:t>政</w:t>
      </w:r>
      <w:r>
        <w:rPr>
          <w:rStyle w:val="36"/>
          <w:rFonts w:hint="eastAsia" w:ascii="仿宋" w:hAnsi="仿宋" w:eastAsia="仿宋"/>
          <w:b w:val="0"/>
          <w:bCs w:val="0"/>
          <w:color w:val="auto"/>
          <w:highlight w:val="none"/>
        </w:rPr>
        <w:t>府性基金预算财政拨款收入支出决算表</w:t>
      </w:r>
    </w:p>
    <w:p w14:paraId="088C228A">
      <w:pPr>
        <w:pStyle w:val="4"/>
        <w:rPr>
          <w:rFonts w:ascii="仿宋" w:hAnsi="仿宋" w:eastAsia="仿宋"/>
          <w:color w:val="auto"/>
          <w:highlight w:val="none"/>
        </w:rPr>
      </w:pPr>
      <w:bookmarkStart w:id="60" w:name="_Toc15396629"/>
      <w:r>
        <w:rPr>
          <w:rStyle w:val="36"/>
          <w:rFonts w:hint="eastAsia" w:ascii="仿宋" w:hAnsi="仿宋" w:eastAsia="仿宋"/>
          <w:b w:val="0"/>
          <w:bCs w:val="0"/>
          <w:color w:val="auto"/>
          <w:highlight w:val="none"/>
        </w:rPr>
        <w:t>十一、</w:t>
      </w:r>
      <w:bookmarkEnd w:id="60"/>
      <w:r>
        <w:rPr>
          <w:rFonts w:hint="eastAsia" w:ascii="仿宋" w:hAnsi="仿宋" w:eastAsia="仿宋"/>
          <w:b w:val="0"/>
          <w:color w:val="auto"/>
          <w:highlight w:val="none"/>
        </w:rPr>
        <w:t>国</w:t>
      </w:r>
      <w:r>
        <w:rPr>
          <w:rStyle w:val="36"/>
          <w:rFonts w:hint="eastAsia" w:ascii="仿宋" w:hAnsi="仿宋" w:eastAsia="仿宋"/>
          <w:b w:val="0"/>
          <w:bCs w:val="0"/>
          <w:color w:val="auto"/>
          <w:highlight w:val="none"/>
        </w:rPr>
        <w:t>有资本经营预算</w:t>
      </w:r>
      <w:r>
        <w:rPr>
          <w:rStyle w:val="36"/>
          <w:rFonts w:hint="eastAsia" w:ascii="仿宋" w:hAnsi="仿宋" w:eastAsia="仿宋"/>
          <w:b w:val="0"/>
          <w:bCs w:val="0"/>
          <w:color w:val="auto"/>
          <w:highlight w:val="none"/>
          <w:lang w:eastAsia="zh-CN"/>
        </w:rPr>
        <w:t>财政拨款收入</w:t>
      </w:r>
      <w:r>
        <w:rPr>
          <w:rStyle w:val="36"/>
          <w:rFonts w:hint="eastAsia" w:ascii="仿宋" w:hAnsi="仿宋" w:eastAsia="仿宋"/>
          <w:b w:val="0"/>
          <w:bCs w:val="0"/>
          <w:color w:val="auto"/>
          <w:highlight w:val="none"/>
        </w:rPr>
        <w:t>支出决算表</w:t>
      </w:r>
    </w:p>
    <w:p w14:paraId="7CF7AC1D">
      <w:pPr>
        <w:pStyle w:val="4"/>
        <w:rPr>
          <w:rStyle w:val="36"/>
          <w:rFonts w:hint="eastAsia" w:ascii="仿宋" w:hAnsi="仿宋" w:eastAsia="仿宋"/>
          <w:b w:val="0"/>
          <w:bCs w:val="0"/>
          <w:color w:val="auto"/>
          <w:highlight w:val="none"/>
          <w:lang w:eastAsia="zh-CN"/>
        </w:rPr>
      </w:pPr>
      <w:bookmarkStart w:id="61" w:name="_Toc15396630"/>
      <w:r>
        <w:rPr>
          <w:rStyle w:val="36"/>
          <w:rFonts w:hint="eastAsia" w:ascii="仿宋" w:hAnsi="仿宋" w:eastAsia="仿宋"/>
          <w:b w:val="0"/>
          <w:bCs w:val="0"/>
          <w:color w:val="auto"/>
          <w:highlight w:val="none"/>
        </w:rPr>
        <w:t>十二</w:t>
      </w:r>
      <w:bookmarkEnd w:id="61"/>
      <w:bookmarkStart w:id="62" w:name="_Toc15396631"/>
      <w:r>
        <w:rPr>
          <w:rStyle w:val="36"/>
          <w:rFonts w:hint="eastAsia" w:ascii="仿宋" w:hAnsi="仿宋" w:eastAsia="仿宋"/>
          <w:b w:val="0"/>
          <w:bCs w:val="0"/>
          <w:color w:val="auto"/>
          <w:highlight w:val="none"/>
          <w:lang w:eastAsia="zh-CN"/>
        </w:rPr>
        <w:t>、国有资本经营预算财政拨款支出决算表</w:t>
      </w:r>
    </w:p>
    <w:p w14:paraId="5B33A0F2">
      <w:pPr>
        <w:pStyle w:val="4"/>
        <w:spacing w:before="0" w:after="0" w:line="240" w:lineRule="auto"/>
        <w:rPr>
          <w:rFonts w:eastAsia="仿宋"/>
        </w:rPr>
      </w:pPr>
      <w:r>
        <w:rPr>
          <w:rStyle w:val="36"/>
          <w:rFonts w:hint="eastAsia" w:ascii="仿宋" w:hAnsi="仿宋" w:eastAsia="仿宋"/>
          <w:b w:val="0"/>
          <w:bCs w:val="0"/>
          <w:color w:val="auto"/>
          <w:highlight w:val="none"/>
        </w:rPr>
        <w:t>十三、</w:t>
      </w:r>
      <w:bookmarkEnd w:id="62"/>
      <w:r>
        <w:rPr>
          <w:rStyle w:val="36"/>
          <w:rFonts w:hint="eastAsia" w:ascii="仿宋" w:hAnsi="仿宋" w:eastAsia="仿宋"/>
          <w:b w:val="0"/>
          <w:bCs w:val="0"/>
          <w:color w:val="auto"/>
          <w:highlight w:val="none"/>
        </w:rPr>
        <w:t>财政拨款“三公”经费支出决算表</w:t>
      </w:r>
    </w:p>
    <w:sectPr>
      <w:footerReference r:id="rId7" w:type="first"/>
      <w:headerReference r:id="rId5" w:type="defaul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7502AAA-0C3F-4270-B190-FD2AB14C45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1BA549C-9492-46F7-BE1C-62E9E42CB286}"/>
  </w:font>
  <w:font w:name="Cambria">
    <w:panose1 w:val="02040503050406030204"/>
    <w:charset w:val="00"/>
    <w:family w:val="roman"/>
    <w:pitch w:val="default"/>
    <w:sig w:usb0="E00006FF" w:usb1="420024FF" w:usb2="02000000" w:usb3="00000000" w:csb0="2000019F" w:csb1="00000000"/>
    <w:embedRegular r:id="rId3" w:fontKey="{F5296DB8-4E5A-4463-B51B-6CC381D511AE}"/>
  </w:font>
  <w:font w:name="仿宋_GB2312">
    <w:panose1 w:val="02010609030101010101"/>
    <w:charset w:val="86"/>
    <w:family w:val="modern"/>
    <w:pitch w:val="default"/>
    <w:sig w:usb0="00000001" w:usb1="080E0000" w:usb2="00000000" w:usb3="00000000" w:csb0="00040000" w:csb1="00000000"/>
    <w:embedRegular r:id="rId4" w:fontKey="{84C9B9DC-057D-47F9-9F04-4A6AB8C91498}"/>
  </w:font>
  <w:font w:name="仿宋">
    <w:panose1 w:val="02010609060101010101"/>
    <w:charset w:val="86"/>
    <w:family w:val="modern"/>
    <w:pitch w:val="default"/>
    <w:sig w:usb0="800002BF" w:usb1="38CF7CFA" w:usb2="00000016" w:usb3="00000000" w:csb0="00040001" w:csb1="00000000"/>
    <w:embedRegular r:id="rId5" w:fontKey="{7F275B69-FF3C-4657-91AB-5AC35F17F8C1}"/>
  </w:font>
  <w:font w:name="??">
    <w:altName w:val="Times New Roman"/>
    <w:panose1 w:val="00000000000000000000"/>
    <w:charset w:val="00"/>
    <w:family w:val="roman"/>
    <w:pitch w:val="default"/>
    <w:sig w:usb0="00000000" w:usb1="00000000" w:usb2="00000000" w:usb3="00000000" w:csb0="0000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00000" w:usb2="00000000" w:usb3="00000000" w:csb0="00040000" w:csb1="00000000"/>
    <w:embedRegular r:id="rId6" w:fontKey="{50AF4948-D5C8-4B75-B096-6EEFAEEC5C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4C2B">
    <w:pPr>
      <w:pStyle w:val="9"/>
      <w:jc w:val="center"/>
    </w:pPr>
  </w:p>
  <w:p w14:paraId="77BA576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A897">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BB7CE">
                          <w:pPr>
                            <w:pStyle w:val="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DBB7CE">
                    <w:pPr>
                      <w:pStyle w:val="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58B1A88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A98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A1242">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FA1242">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5870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FE4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FF5DA"/>
    <w:multiLevelType w:val="singleLevel"/>
    <w:tmpl w:val="BC8FF5DA"/>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74F1A9D"/>
    <w:multiLevelType w:val="singleLevel"/>
    <w:tmpl w:val="674F1A9D"/>
    <w:lvl w:ilvl="0" w:tentative="0">
      <w:start w:val="2"/>
      <w:numFmt w:val="decimal"/>
      <w:lvlText w:val="%1."/>
      <w:lvlJc w:val="left"/>
      <w:pPr>
        <w:tabs>
          <w:tab w:val="left" w:pos="312"/>
        </w:tabs>
        <w:ind w:left="1577" w:firstLine="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2ZWNkYjI2YTA0OGFiNjRlNjE3NTkwOWU3NmYxYzMifQ=="/>
  </w:docVars>
  <w:rsids>
    <w:rsidRoot w:val="00F1361C"/>
    <w:rsid w:val="000222C6"/>
    <w:rsid w:val="0002549F"/>
    <w:rsid w:val="000468DB"/>
    <w:rsid w:val="0006487A"/>
    <w:rsid w:val="00065F8F"/>
    <w:rsid w:val="00070A43"/>
    <w:rsid w:val="000768F2"/>
    <w:rsid w:val="0009184B"/>
    <w:rsid w:val="00094236"/>
    <w:rsid w:val="0009593C"/>
    <w:rsid w:val="00097322"/>
    <w:rsid w:val="000A3EC7"/>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9126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1DDA"/>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7F5DA1"/>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62B3"/>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12A8"/>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5716"/>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34B2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5449"/>
    <w:rsid w:val="00F754A1"/>
    <w:rsid w:val="00F81FD9"/>
    <w:rsid w:val="00F841AA"/>
    <w:rsid w:val="00F84A94"/>
    <w:rsid w:val="00F87E96"/>
    <w:rsid w:val="00FA23E8"/>
    <w:rsid w:val="00FB397B"/>
    <w:rsid w:val="00FD3CC1"/>
    <w:rsid w:val="00FF1E02"/>
    <w:rsid w:val="00FF30B4"/>
    <w:rsid w:val="015975B8"/>
    <w:rsid w:val="01B14C06"/>
    <w:rsid w:val="02143E91"/>
    <w:rsid w:val="05E31943"/>
    <w:rsid w:val="066E0107"/>
    <w:rsid w:val="06917597"/>
    <w:rsid w:val="07996F6E"/>
    <w:rsid w:val="0A2032A3"/>
    <w:rsid w:val="0CBD02C7"/>
    <w:rsid w:val="0E715E49"/>
    <w:rsid w:val="0F98263C"/>
    <w:rsid w:val="101860EC"/>
    <w:rsid w:val="10C055FF"/>
    <w:rsid w:val="118107EC"/>
    <w:rsid w:val="13D50BC4"/>
    <w:rsid w:val="16BB723D"/>
    <w:rsid w:val="18D671D6"/>
    <w:rsid w:val="18F30DAA"/>
    <w:rsid w:val="1B3E5305"/>
    <w:rsid w:val="1BE8440E"/>
    <w:rsid w:val="1D155CEE"/>
    <w:rsid w:val="1E0345E3"/>
    <w:rsid w:val="1EF522C5"/>
    <w:rsid w:val="1FF35744"/>
    <w:rsid w:val="20532956"/>
    <w:rsid w:val="23860B96"/>
    <w:rsid w:val="240371BF"/>
    <w:rsid w:val="24B228BF"/>
    <w:rsid w:val="24EA3888"/>
    <w:rsid w:val="26321F0A"/>
    <w:rsid w:val="29FD04D3"/>
    <w:rsid w:val="2BD85CFB"/>
    <w:rsid w:val="2C8A61B5"/>
    <w:rsid w:val="2DF04E50"/>
    <w:rsid w:val="2F040D46"/>
    <w:rsid w:val="2F326268"/>
    <w:rsid w:val="2FC8684D"/>
    <w:rsid w:val="31087465"/>
    <w:rsid w:val="319F7F4E"/>
    <w:rsid w:val="3304709D"/>
    <w:rsid w:val="36AA5135"/>
    <w:rsid w:val="376D39B2"/>
    <w:rsid w:val="37AD7A4B"/>
    <w:rsid w:val="37E16F03"/>
    <w:rsid w:val="38C271E3"/>
    <w:rsid w:val="38D469F0"/>
    <w:rsid w:val="3D6C1442"/>
    <w:rsid w:val="3D98207C"/>
    <w:rsid w:val="3E78745D"/>
    <w:rsid w:val="3F88629F"/>
    <w:rsid w:val="43136730"/>
    <w:rsid w:val="44606530"/>
    <w:rsid w:val="44E268DA"/>
    <w:rsid w:val="4A627F82"/>
    <w:rsid w:val="4B0E749A"/>
    <w:rsid w:val="4B4F25DA"/>
    <w:rsid w:val="4B616322"/>
    <w:rsid w:val="4BE068DB"/>
    <w:rsid w:val="4D577224"/>
    <w:rsid w:val="4DA17046"/>
    <w:rsid w:val="4EAB630A"/>
    <w:rsid w:val="4ECE2238"/>
    <w:rsid w:val="53641F20"/>
    <w:rsid w:val="537E6D0A"/>
    <w:rsid w:val="551E5284"/>
    <w:rsid w:val="55441BD7"/>
    <w:rsid w:val="55C26090"/>
    <w:rsid w:val="5AF92295"/>
    <w:rsid w:val="5CD71FC4"/>
    <w:rsid w:val="612105D5"/>
    <w:rsid w:val="650458C9"/>
    <w:rsid w:val="65465651"/>
    <w:rsid w:val="683E4172"/>
    <w:rsid w:val="687354E5"/>
    <w:rsid w:val="6C4A05C8"/>
    <w:rsid w:val="6D776DCA"/>
    <w:rsid w:val="6E7E3605"/>
    <w:rsid w:val="6FF5CC65"/>
    <w:rsid w:val="715C0E4B"/>
    <w:rsid w:val="721259EE"/>
    <w:rsid w:val="72734D90"/>
    <w:rsid w:val="73AD73D5"/>
    <w:rsid w:val="73B6EB34"/>
    <w:rsid w:val="744731E5"/>
    <w:rsid w:val="76E3355F"/>
    <w:rsid w:val="778769C8"/>
    <w:rsid w:val="79EE5BA4"/>
    <w:rsid w:val="7A894339"/>
    <w:rsid w:val="7D077823"/>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常用样式（方正仿宋简）"/>
    <w:basedOn w:val="1"/>
    <w:next w:val="1"/>
    <w:qFormat/>
    <w:uiPriority w:val="0"/>
    <w:pPr>
      <w:spacing w:line="560" w:lineRule="exact"/>
      <w:ind w:firstLine="640" w:firstLineChars="200"/>
    </w:pPr>
    <w:rPr>
      <w:rFonts w:eastAsia="方正仿宋简体"/>
      <w:sz w:val="32"/>
    </w:rPr>
  </w:style>
  <w:style w:type="character" w:customStyle="1" w:styleId="36">
    <w:name w:val="标题 2 Char"/>
    <w:basedOn w:val="16"/>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SUS\Desktop\2024&#24180;&#37096;&#38376;&#20915;&#31639;&#20844;&#24320;\&#37096;&#38376;&#20915;&#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SUS\Desktop\2024&#24180;&#37096;&#38376;&#20915;&#31639;&#20844;&#24320;\&#37096;&#38376;&#20915;&#31639;&#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SUS\Desktop\2024&#24180;&#37096;&#38376;&#20915;&#31639;&#20844;&#24320;\&#37096;&#38376;&#20915;&#31639;&#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SUS\Desktop\2024&#24180;&#37096;&#38376;&#20915;&#31639;&#20844;&#24320;\&#37096;&#38376;&#20915;&#31639;&#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SUS\Desktop\2024&#24180;&#37096;&#38376;&#20915;&#31639;&#20844;&#24320;\&#37096;&#38376;&#20915;&#31639;&#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SUS\Desktop\2024&#24180;&#37096;&#38376;&#20915;&#31639;&#20844;&#24320;\&#37096;&#38376;&#20915;&#3163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[部门决算图.xlsx]图1!$A$2</c:f>
              <c:strCache>
                <c:ptCount val="1"/>
                <c:pt idx="0">
                  <c:v>收、支决算总计变动情况图</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[部门决算图.xlsx]图1!$B$1:$C$1</c:f>
              <c:strCache>
                <c:ptCount val="2"/>
                <c:pt idx="0">
                  <c:v>2023年</c:v>
                </c:pt>
                <c:pt idx="1">
                  <c:v>2024年</c:v>
                </c:pt>
              </c:strCache>
            </c:strRef>
          </c:cat>
          <c:val>
            <c:numRef>
              <c:f>[部门决算图.xlsx]图1!$B$2:$C$2</c:f>
              <c:numCache>
                <c:formatCode>General</c:formatCode>
                <c:ptCount val="2"/>
                <c:pt idx="0">
                  <c:v>408.69</c:v>
                </c:pt>
                <c:pt idx="1">
                  <c:v>404.56</c:v>
                </c:pt>
              </c:numCache>
            </c:numRef>
          </c:val>
        </c:ser>
        <c:dLbls>
          <c:showLegendKey val="0"/>
          <c:showVal val="1"/>
          <c:showCatName val="0"/>
          <c:showSerName val="0"/>
          <c:showPercent val="0"/>
          <c:showBubbleSize val="0"/>
        </c:dLbls>
        <c:gapWidth val="246"/>
        <c:overlap val="-28"/>
        <c:axId val="901099093"/>
        <c:axId val="552062017"/>
      </c:barChart>
      <c:catAx>
        <c:axId val="9010990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2062017"/>
        <c:crosses val="autoZero"/>
        <c:auto val="1"/>
        <c:lblAlgn val="ctr"/>
        <c:lblOffset val="100"/>
        <c:noMultiLvlLbl val="0"/>
      </c:catAx>
      <c:valAx>
        <c:axId val="55206201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10990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5fd3c61-b28d-44a2-b34f-6df5a82311b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[部门决算图.xlsx]图2!$A$2</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[部门决算图.xlsx]图2!$B$1:$D$1</c:f>
              <c:strCache>
                <c:ptCount val="3"/>
                <c:pt idx="0">
                  <c:v>一般公共预算财政拨款收</c:v>
                </c:pt>
                <c:pt idx="1">
                  <c:v>其他收入</c:v>
                </c:pt>
                <c:pt idx="2">
                  <c:v>年初结转和结余收入</c:v>
                </c:pt>
              </c:strCache>
            </c:strRef>
          </c:cat>
          <c:val>
            <c:numRef>
              <c:f>[部门决算图.xlsx]图2!$B$2:$D$2</c:f>
              <c:numCache>
                <c:formatCode>General</c:formatCode>
                <c:ptCount val="3"/>
                <c:pt idx="0">
                  <c:v>404.56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947023-43e5-4eb9-98ce-eeaecf0d18c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[部门决算图.xlsx]图3!$A$2</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[部门决算图.xlsx]图3!$B$1:$C$1</c:f>
              <c:strCache>
                <c:ptCount val="2"/>
                <c:pt idx="0">
                  <c:v>基本支出</c:v>
                </c:pt>
                <c:pt idx="1">
                  <c:v>项目支出</c:v>
                </c:pt>
              </c:strCache>
            </c:strRef>
          </c:cat>
          <c:val>
            <c:numRef>
              <c:f>[部门决算图.xlsx]图3!$B$2:$C$2</c:f>
              <c:numCache>
                <c:formatCode>General</c:formatCode>
                <c:ptCount val="2"/>
                <c:pt idx="0">
                  <c:v>110.67</c:v>
                </c:pt>
                <c:pt idx="1">
                  <c:v>293.89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5eb1fb3-a40e-4008-a929-c71b729ed1b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[部门决算图.xlsx]图4!$A$2</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[部门决算图.xlsx]图4!$B$1:$C$1</c:f>
              <c:strCache>
                <c:ptCount val="2"/>
                <c:pt idx="0">
                  <c:v>2023年</c:v>
                </c:pt>
                <c:pt idx="1">
                  <c:v>2024年</c:v>
                </c:pt>
              </c:strCache>
            </c:strRef>
          </c:cat>
          <c:val>
            <c:numRef>
              <c:f>[部门决算图.xlsx]图4!$B$2:$C$2</c:f>
              <c:numCache>
                <c:formatCode>General</c:formatCode>
                <c:ptCount val="2"/>
                <c:pt idx="0">
                  <c:v>408.69</c:v>
                </c:pt>
                <c:pt idx="1">
                  <c:v>404.56</c:v>
                </c:pt>
              </c:numCache>
            </c:numRef>
          </c:val>
        </c:ser>
        <c:dLbls>
          <c:showLegendKey val="0"/>
          <c:showVal val="1"/>
          <c:showCatName val="0"/>
          <c:showSerName val="0"/>
          <c:showPercent val="0"/>
          <c:showBubbleSize val="0"/>
        </c:dLbls>
        <c:gapWidth val="246"/>
        <c:overlap val="-28"/>
        <c:axId val="66528586"/>
        <c:axId val="337616993"/>
      </c:barChart>
      <c:catAx>
        <c:axId val="665285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7616993"/>
        <c:crosses val="autoZero"/>
        <c:auto val="1"/>
        <c:lblAlgn val="ctr"/>
        <c:lblOffset val="100"/>
        <c:noMultiLvlLbl val="0"/>
      </c:catAx>
      <c:valAx>
        <c:axId val="33761699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5285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93febe9-dadc-4e1b-88b0-2da1aa2cfba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[部门决算图.xlsx]图5!$A$2</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[部门决算图.xlsx]图5!$B$1:$C$1</c:f>
              <c:strCache>
                <c:ptCount val="2"/>
                <c:pt idx="0">
                  <c:v>2023年</c:v>
                </c:pt>
                <c:pt idx="1">
                  <c:v>2024年</c:v>
                </c:pt>
              </c:strCache>
            </c:strRef>
          </c:cat>
          <c:val>
            <c:numRef>
              <c:f>[部门决算图.xlsx]图5!$B$2:$C$2</c:f>
              <c:numCache>
                <c:formatCode>General</c:formatCode>
                <c:ptCount val="2"/>
                <c:pt idx="0">
                  <c:v>408.69</c:v>
                </c:pt>
                <c:pt idx="1">
                  <c:v>404.56</c:v>
                </c:pt>
              </c:numCache>
            </c:numRef>
          </c:val>
        </c:ser>
        <c:dLbls>
          <c:showLegendKey val="0"/>
          <c:showVal val="1"/>
          <c:showCatName val="0"/>
          <c:showSerName val="0"/>
          <c:showPercent val="0"/>
          <c:showBubbleSize val="0"/>
        </c:dLbls>
        <c:gapWidth val="246"/>
        <c:overlap val="-28"/>
        <c:axId val="708452492"/>
        <c:axId val="746031834"/>
      </c:barChart>
      <c:catAx>
        <c:axId val="7084524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6031834"/>
        <c:crosses val="autoZero"/>
        <c:auto val="1"/>
        <c:lblAlgn val="ctr"/>
        <c:lblOffset val="100"/>
        <c:noMultiLvlLbl val="0"/>
      </c:catAx>
      <c:valAx>
        <c:axId val="74603183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84524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0104424-8b61-4fdc-bd97-379aa8206ee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[部门决算图.xlsx]图6!$A$2</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[部门决算图.xlsx]图6!$B$1:$E$1</c:f>
              <c:strCache>
                <c:ptCount val="4"/>
                <c:pt idx="0">
                  <c:v>公共安全</c:v>
                </c:pt>
                <c:pt idx="1">
                  <c:v>社会保障和就业</c:v>
                </c:pt>
                <c:pt idx="2">
                  <c:v>卫生健康</c:v>
                </c:pt>
                <c:pt idx="3">
                  <c:v>住房保障</c:v>
                </c:pt>
              </c:strCache>
            </c:strRef>
          </c:cat>
          <c:val>
            <c:numRef>
              <c:f>[部门决算图.xlsx]图6!$B$2:$E$2</c:f>
              <c:numCache>
                <c:formatCode>General</c:formatCode>
                <c:ptCount val="4"/>
                <c:pt idx="0">
                  <c:v>382.87</c:v>
                </c:pt>
                <c:pt idx="1">
                  <c:v>9.13</c:v>
                </c:pt>
                <c:pt idx="2">
                  <c:v>4.39</c:v>
                </c:pt>
                <c:pt idx="3">
                  <c:v>8.17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f818c6d-d504-4729-bc95-b72b556a5c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15</Pages>
  <Words>3898</Words>
  <Characters>6096</Characters>
  <Lines>38</Lines>
  <Paragraphs>10</Paragraphs>
  <TotalTime>23</TotalTime>
  <ScaleCrop>false</ScaleCrop>
  <LinksUpToDate>false</LinksUpToDate>
  <CharactersWithSpaces>6119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2023-08-19T08:03:00Z</dcterms:created>
  <dc:creator>曹颖</dc:creator>
  <cp:lastModifiedBy>任超凡</cp:lastModifiedBy>
  <cp:lastPrinted>2023-07-31T02:35:00Z</cp:lastPrinted>
  <dcterms:modified xsi:type="dcterms:W3CDTF">2025-08-18T03:17:34Z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427CB59B7BF9400FB31E84D25CA1B34D_13</vt:lpwstr>
  </property>
  <property fmtid="{D5CDD505-2E9C-101B-9397-08002B2CF9AE}" pid="4" name="KSOTemplateDocerSaveRecord">
    <vt:lpwstr>eyJoZGlkIjoiNjk2ZWNkYjI2YTA0OGFiNjRlNjE3NTkwOWU3NmYxYzMiLCJ1c2VySWQiOiIxOTgzODU5ODIifQ==</vt:lpwstr>
  </property>
</Properties>
</file>