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color w:val="auto"/>
          <w:kern w:val="2"/>
          <w:sz w:val="44"/>
          <w:szCs w:val="44"/>
          <w:highlight w:val="none"/>
          <w:lang w:val="en-US" w:eastAsia="zh-CN" w:bidi="ar-SA"/>
        </w:rPr>
      </w:pPr>
      <w:bookmarkStart w:id="0" w:name="_Toc15396475"/>
      <w:bookmarkStart w:id="1" w:name="_Toc15378441"/>
      <w:bookmarkStart w:id="2" w:name="_Toc15377193"/>
      <w:bookmarkStart w:id="3" w:name="_Toc15396597"/>
      <w:bookmarkStart w:id="4" w:name="_Toc15306267"/>
      <w:bookmarkStart w:id="5" w:name="_Toc15377425"/>
    </w:p>
    <w:bookmarkEnd w:id="0"/>
    <w:bookmarkEnd w:id="1"/>
    <w:bookmarkEnd w:id="2"/>
    <w:bookmarkEnd w:id="3"/>
    <w:bookmarkEnd w:id="4"/>
    <w:bookmarkEnd w:id="5"/>
    <w:p>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auto"/>
          <w:sz w:val="52"/>
          <w:szCs w:val="52"/>
          <w:highlight w:val="none"/>
        </w:rPr>
      </w:pPr>
      <w:bookmarkStart w:id="6" w:name="_Toc21176"/>
      <w:bookmarkStart w:id="7" w:name="_Toc15377194"/>
      <w:bookmarkStart w:id="8" w:name="_Toc15396476"/>
      <w:bookmarkStart w:id="9" w:name="_Toc15306268"/>
      <w:bookmarkStart w:id="10" w:name="_Toc15378442"/>
      <w:bookmarkStart w:id="11" w:name="_Toc15396598"/>
      <w:bookmarkStart w:id="12" w:name="_Toc15377426"/>
      <w:r>
        <w:rPr>
          <w:rFonts w:hint="eastAsia" w:ascii="方正小标宋简体" w:hAnsi="方正小标宋简体" w:eastAsia="方正小标宋简体" w:cs="方正小标宋简体"/>
          <w:b w:val="0"/>
          <w:bCs w:val="0"/>
          <w:color w:val="auto"/>
          <w:sz w:val="52"/>
          <w:szCs w:val="52"/>
          <w:highlight w:val="none"/>
        </w:rPr>
        <w:t>202</w:t>
      </w:r>
      <w:r>
        <w:rPr>
          <w:rFonts w:hint="eastAsia" w:ascii="方正小标宋简体" w:hAnsi="方正小标宋简体" w:eastAsia="方正小标宋简体" w:cs="方正小标宋简体"/>
          <w:b w:val="0"/>
          <w:bCs w:val="0"/>
          <w:color w:val="auto"/>
          <w:sz w:val="52"/>
          <w:szCs w:val="52"/>
          <w:highlight w:val="none"/>
          <w:lang w:val="en-US" w:eastAsia="zh-CN"/>
        </w:rPr>
        <w:t>4</w:t>
      </w:r>
      <w:r>
        <w:rPr>
          <w:rFonts w:hint="eastAsia" w:ascii="方正小标宋简体" w:hAnsi="方正小标宋简体" w:eastAsia="方正小标宋简体" w:cs="方正小标宋简体"/>
          <w:b w:val="0"/>
          <w:bCs w:val="0"/>
          <w:color w:val="auto"/>
          <w:sz w:val="52"/>
          <w:szCs w:val="52"/>
          <w:highlight w:val="none"/>
        </w:rPr>
        <w:t>年度</w:t>
      </w:r>
      <w:bookmarkEnd w:id="6"/>
    </w:p>
    <w:p>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auto"/>
          <w:sz w:val="52"/>
          <w:szCs w:val="52"/>
          <w:highlight w:val="none"/>
          <w:lang w:val="en-US" w:eastAsia="zh-CN"/>
        </w:rPr>
      </w:pPr>
      <w:r>
        <w:rPr>
          <w:rFonts w:hint="eastAsia" w:ascii="方正小标宋简体" w:hAnsi="方正小标宋简体" w:eastAsia="方正小标宋简体" w:cs="方正小标宋简体"/>
          <w:b w:val="0"/>
          <w:bCs w:val="0"/>
          <w:color w:val="auto"/>
          <w:sz w:val="52"/>
          <w:szCs w:val="52"/>
          <w:highlight w:val="none"/>
          <w:lang w:val="en-US" w:eastAsia="zh-CN"/>
        </w:rPr>
        <w:t>四川省遂宁市公安局经济技术开发区分局单位决算</w:t>
      </w:r>
      <w:bookmarkEnd w:id="7"/>
      <w:bookmarkEnd w:id="8"/>
      <w:bookmarkEnd w:id="9"/>
      <w:bookmarkEnd w:id="10"/>
      <w:bookmarkEnd w:id="11"/>
      <w:bookmarkEnd w:id="12"/>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公开时间：20</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22 </w:t>
      </w:r>
      <w:r>
        <w:rPr>
          <w:rFonts w:hint="eastAsia" w:ascii="仿宋" w:hAnsi="仿宋" w:eastAsia="仿宋" w:cs="仿宋"/>
          <w:color w:val="auto"/>
          <w:sz w:val="28"/>
          <w:szCs w:val="28"/>
          <w:highlight w:val="none"/>
        </w:rPr>
        <w:t>日</w:t>
      </w:r>
    </w:p>
    <w:sdt>
      <w:sdtPr>
        <w:rPr>
          <w:rFonts w:ascii="宋体" w:hAnsi="宋体" w:eastAsia="宋体" w:cs="Times New Roman"/>
          <w:kern w:val="2"/>
          <w:sz w:val="21"/>
          <w:szCs w:val="24"/>
          <w:lang w:val="en-US" w:eastAsia="zh-CN" w:bidi="ar-SA"/>
        </w:rPr>
        <w:id w:val="147464042"/>
        <w15:color w:val="DBDBDB"/>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right="0" w:rightChars="0" w:firstLine="0" w:firstLineChars="0"/>
            <w:jc w:val="center"/>
            <w:textAlignment w:val="auto"/>
            <w:outlineLvl w:val="9"/>
            <w:rPr>
              <w:rFonts w:hint="eastAsia" w:ascii="仿宋" w:hAnsi="仿宋" w:eastAsia="仿宋" w:cs="仿宋"/>
              <w:b w:val="0"/>
              <w:bCs w:val="0"/>
              <w:sz w:val="24"/>
              <w:szCs w:val="24"/>
            </w:rPr>
          </w:pPr>
          <w:r>
            <w:fldChar w:fldCharType="begin"/>
          </w:r>
          <w:r>
            <w:instrText xml:space="preserve">TOC \o "1-2" \h \u </w:instrText>
          </w:r>
          <w:r>
            <w:fldChar w:fldCharType="separate"/>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_Toc11701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rPr>
            <w:t>第一部分</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 xml:space="preserve"> </w:t>
          </w:r>
          <w:r>
            <w:rPr>
              <w:rFonts w:hint="eastAsia" w:cs="仿宋"/>
              <w:b w:val="0"/>
              <w:bCs w:val="0"/>
              <w:sz w:val="24"/>
              <w:szCs w:val="24"/>
              <w:highlight w:val="none"/>
              <w:lang w:eastAsia="zh-CN"/>
            </w:rPr>
            <w:t>单位</w:t>
          </w:r>
          <w:r>
            <w:rPr>
              <w:rFonts w:hint="eastAsia" w:ascii="仿宋" w:hAnsi="仿宋" w:eastAsia="仿宋" w:cs="仿宋"/>
              <w:b w:val="0"/>
              <w:bCs w:val="0"/>
              <w:sz w:val="24"/>
              <w:szCs w:val="24"/>
              <w:highlight w:val="none"/>
            </w:rPr>
            <w:t>概况</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_Toc11701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420" w:leftChars="200" w:right="0" w:rightChars="0" w:firstLine="0" w:firstLineChars="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_Toc30762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一、</w:t>
          </w:r>
          <w:r>
            <w:rPr>
              <w:rFonts w:hint="eastAsia" w:ascii="宋体" w:hAnsi="宋体" w:eastAsia="宋体" w:cs="宋体"/>
              <w:b w:val="0"/>
              <w:bCs w:val="0"/>
              <w:sz w:val="24"/>
              <w:szCs w:val="24"/>
              <w:highlight w:val="none"/>
              <w:lang w:eastAsia="zh-CN"/>
            </w:rPr>
            <w:t>主要职责</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_Toc30762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420" w:leftChars="200" w:right="0" w:rightChars="0" w:firstLine="0" w:firstLineChars="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_Toc18428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highlight w:val="none"/>
            </w:rPr>
            <w:t>二、机构设置</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_Toc18428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right="0" w:rightChars="0" w:firstLine="0" w:firstLineChars="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_Toc8164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rPr>
            <w:t>第二部分</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 xml:space="preserve"> </w:t>
          </w:r>
          <w:r>
            <w:rPr>
              <w:rFonts w:hint="eastAsia" w:ascii="仿宋" w:hAnsi="仿宋" w:eastAsia="仿宋" w:cs="仿宋"/>
              <w:b w:val="0"/>
              <w:bCs w:val="0"/>
              <w:sz w:val="24"/>
              <w:szCs w:val="24"/>
              <w:highlight w:val="none"/>
              <w:lang w:val="en-US" w:eastAsia="zh-CN"/>
            </w:rPr>
            <w:t>2024年度</w:t>
          </w:r>
          <w:r>
            <w:rPr>
              <w:rFonts w:hint="eastAsia" w:cs="仿宋"/>
              <w:b w:val="0"/>
              <w:bCs w:val="0"/>
              <w:sz w:val="24"/>
              <w:szCs w:val="24"/>
              <w:highlight w:val="none"/>
              <w:lang w:eastAsia="zh-CN"/>
            </w:rPr>
            <w:t>单位</w:t>
          </w:r>
          <w:r>
            <w:rPr>
              <w:rFonts w:hint="eastAsia" w:ascii="仿宋" w:hAnsi="仿宋" w:eastAsia="仿宋" w:cs="仿宋"/>
              <w:b w:val="0"/>
              <w:bCs w:val="0"/>
              <w:sz w:val="24"/>
              <w:szCs w:val="24"/>
              <w:highlight w:val="none"/>
            </w:rPr>
            <w:t>决算情况说明</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_Toc8164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420" w:leftChars="200" w:right="0" w:rightChars="0" w:firstLine="0" w:firstLineChars="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_Toc833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一、</w:t>
          </w:r>
          <w:r>
            <w:rPr>
              <w:rFonts w:hint="eastAsia" w:ascii="宋体" w:hAnsi="宋体" w:eastAsia="宋体" w:cs="宋体"/>
              <w:b w:val="0"/>
              <w:bCs w:val="0"/>
              <w:sz w:val="24"/>
              <w:szCs w:val="24"/>
            </w:rPr>
            <w:t>收入支出决算总体情况说明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_Toc833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420" w:leftChars="200" w:right="0" w:rightChars="0" w:firstLine="0" w:firstLineChars="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_Toc5212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二、收入决算情况说明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_Toc5212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420" w:leftChars="200" w:right="0" w:rightChars="0" w:firstLine="0" w:firstLineChars="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_Toc31268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三、</w:t>
          </w:r>
          <w:r>
            <w:rPr>
              <w:rFonts w:hint="eastAsia" w:ascii="宋体" w:hAnsi="宋体" w:eastAsia="宋体" w:cs="宋体"/>
              <w:b w:val="0"/>
              <w:bCs w:val="0"/>
              <w:sz w:val="24"/>
              <w:szCs w:val="24"/>
            </w:rPr>
            <w:t>支出决算情况说明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_Toc31268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420" w:leftChars="200" w:right="0" w:rightChars="0" w:firstLine="0" w:firstLineChars="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_Toc23927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四、财政拨款收入支出决算总体情况说明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_Toc23927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420" w:leftChars="200" w:right="0" w:rightChars="0" w:firstLine="0" w:firstLineChars="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_Toc5550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五、一般公共预算财政拨款支出决算情况说明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_Toc5550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420" w:leftChars="200" w:right="0" w:rightChars="0" w:firstLine="0" w:firstLineChars="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_Toc9701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六、一般公共预算财政拨款基本支出决算情况说明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_Toc9701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420" w:leftChars="200" w:right="0" w:rightChars="0" w:firstLine="0" w:firstLineChars="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_Toc27739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七、财政拨款“三公”经费支出决算情况说明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_Toc27739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420" w:leftChars="200" w:right="0" w:rightChars="0" w:firstLine="0" w:firstLineChars="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_Toc3739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八、政府性基金预算支出决算情况说明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_Toc3739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420" w:leftChars="200" w:right="0" w:rightChars="0" w:firstLine="0" w:firstLineChars="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_Toc30245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九、</w:t>
          </w:r>
          <w:r>
            <w:rPr>
              <w:rFonts w:hint="eastAsia" w:ascii="宋体" w:hAnsi="宋体" w:eastAsia="宋体" w:cs="宋体"/>
              <w:b w:val="0"/>
              <w:bCs w:val="0"/>
              <w:sz w:val="24"/>
              <w:szCs w:val="24"/>
            </w:rPr>
            <w:t>国有资本经营预算支出决算情况说明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_Toc30245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420" w:leftChars="200" w:right="0" w:rightChars="0" w:firstLine="0" w:firstLineChars="0"/>
            <w:jc w:val="both"/>
            <w:textAlignment w:val="auto"/>
            <w:outlineLvl w:val="9"/>
            <w:rPr>
              <w:rFonts w:hint="eastAsia" w:ascii="仿宋" w:hAnsi="仿宋" w:eastAsia="仿宋" w:cs="仿宋"/>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_Toc1817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十、</w:t>
          </w:r>
          <w:r>
            <w:rPr>
              <w:rFonts w:hint="eastAsia" w:ascii="宋体" w:hAnsi="宋体" w:eastAsia="宋体" w:cs="宋体"/>
              <w:b w:val="0"/>
              <w:bCs w:val="0"/>
              <w:sz w:val="24"/>
              <w:szCs w:val="24"/>
            </w:rPr>
            <w:t>其他重要事项的情况说明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_Toc1817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right="0" w:rightChars="0" w:firstLine="0" w:firstLineChars="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_Toc9781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rPr>
            <w:t>第</w:t>
          </w:r>
          <w:r>
            <w:rPr>
              <w:rFonts w:hint="eastAsia" w:ascii="仿宋" w:hAnsi="仿宋" w:eastAsia="仿宋" w:cs="仿宋"/>
              <w:b w:val="0"/>
              <w:bCs w:val="0"/>
              <w:sz w:val="24"/>
              <w:szCs w:val="24"/>
              <w:highlight w:val="none"/>
              <w:lang w:eastAsia="zh-CN"/>
            </w:rPr>
            <w:t>三</w:t>
          </w:r>
          <w:r>
            <w:rPr>
              <w:rFonts w:hint="eastAsia" w:ascii="仿宋" w:hAnsi="仿宋" w:eastAsia="仿宋" w:cs="仿宋"/>
              <w:b w:val="0"/>
              <w:bCs w:val="0"/>
              <w:sz w:val="24"/>
              <w:szCs w:val="24"/>
              <w:highlight w:val="none"/>
            </w:rPr>
            <w:t>部分</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名词解释</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_Toc9781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13</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right="0" w:rightChars="0" w:firstLine="0" w:firstLineChars="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_Toc6375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rPr>
            <w:t>第四部分</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 xml:space="preserve"> 附件</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_Toc6375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16</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right="0" w:rightChars="0" w:firstLine="0" w:firstLineChars="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_Toc18412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rPr>
            <w:t xml:space="preserve">第五部分 </w:t>
          </w:r>
          <w:r>
            <w:rPr>
              <w:rFonts w:hint="eastAsia"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附表</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_Toc18412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17</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right="0" w:rightChars="0" w:firstLine="0"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_Toc7015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一、收入支出决算总表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_Toc7015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right="0" w:rightChars="0" w:firstLine="0"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_Toc30349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二、收入决算表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_Toc30349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right="0" w:rightChars="0" w:firstLine="0"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_Toc16778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三、支出决算表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_Toc16778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right="0" w:rightChars="0" w:firstLine="0"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_Toc29622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四、财政拨款收入支出决算总表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_Toc29622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right="0" w:rightChars="0" w:firstLine="0"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_Toc27260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五、财政拨款支出决算明细表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_Toc27260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right="0" w:rightChars="0" w:firstLine="0"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_Toc19002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六、一般公共预算财政拨款支出决算表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_Toc19002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right="0" w:rightChars="0" w:firstLine="0"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_Toc23292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七、一般公共预算财政拨款支出决算明细表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_Toc23292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right="0" w:rightChars="0" w:firstLine="0"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_Toc25651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八、一般公共预算财政拨款基本支出决算表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_Toc25651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right="0" w:rightChars="0" w:firstLine="0"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_Toc29642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九、一般公共预算财政拨款项目支出决算表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_Toc29642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right="0" w:rightChars="0" w:firstLine="0"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_Toc27198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十、政府性基金预算财政拨款收入支出决算表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_Toc27198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right="0" w:rightChars="0" w:firstLine="0"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_Toc25191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十一、国有资本经营预算</w:t>
          </w:r>
          <w:r>
            <w:rPr>
              <w:rFonts w:hint="eastAsia" w:ascii="宋体" w:hAnsi="宋体" w:eastAsia="宋体" w:cs="宋体"/>
              <w:b w:val="0"/>
              <w:bCs w:val="0"/>
              <w:sz w:val="24"/>
              <w:szCs w:val="24"/>
              <w:lang w:eastAsia="zh-CN"/>
            </w:rPr>
            <w:t>财政拨款收入</w:t>
          </w:r>
          <w:r>
            <w:rPr>
              <w:rFonts w:hint="eastAsia" w:ascii="宋体" w:hAnsi="宋体" w:eastAsia="宋体" w:cs="宋体"/>
              <w:b w:val="0"/>
              <w:bCs w:val="0"/>
              <w:sz w:val="24"/>
              <w:szCs w:val="24"/>
            </w:rPr>
            <w:t>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_Toc25191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right="0" w:rightChars="0" w:firstLine="0"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_Toc17870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十二、</w:t>
          </w:r>
          <w:r>
            <w:rPr>
              <w:rFonts w:hint="eastAsia" w:ascii="宋体" w:hAnsi="宋体" w:eastAsia="宋体" w:cs="宋体"/>
              <w:b w:val="0"/>
              <w:bCs w:val="0"/>
              <w:sz w:val="24"/>
              <w:szCs w:val="24"/>
              <w:lang w:eastAsia="zh-CN"/>
            </w:rPr>
            <w:t>国有资本经营预算财政拨款支出决算表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_Toc17870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right="0" w:rightChars="0" w:firstLine="0" w:firstLineChars="0"/>
            <w:textAlignment w:val="auto"/>
            <w:outlineLvl w:val="9"/>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_Toc23717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十三、</w:t>
          </w:r>
          <w:r>
            <w:rPr>
              <w:rFonts w:hint="eastAsia" w:ascii="宋体" w:hAnsi="宋体" w:eastAsia="宋体" w:cs="宋体"/>
              <w:b w:val="0"/>
              <w:bCs w:val="0"/>
              <w:sz w:val="24"/>
              <w:szCs w:val="24"/>
              <w:lang w:eastAsia="zh-CN"/>
            </w:rPr>
            <w:t>财政拨款“三公”经费支出决算表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_Toc23717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r>
            <w:fldChar w:fldCharType="end"/>
          </w:r>
        </w:p>
      </w:sdtContent>
    </w:sdt>
    <w:p>
      <w:pPr>
        <w:pStyle w:val="3"/>
        <w:jc w:val="center"/>
        <w:rPr>
          <w:rFonts w:hint="eastAsia" w:ascii="Times New Roman" w:hAnsi="Times New Roman" w:eastAsia="方正小标宋简体" w:cs="方正小标宋简体"/>
          <w:b w:val="0"/>
          <w:color w:val="auto"/>
          <w:highlight w:val="none"/>
        </w:rPr>
        <w:sectPr>
          <w:footerReference r:id="rId7" w:type="first"/>
          <w:footerReference r:id="rId6" w:type="default"/>
          <w:pgSz w:w="11906" w:h="16838"/>
          <w:pgMar w:top="1440" w:right="1800" w:bottom="1440" w:left="1800" w:header="851" w:footer="992" w:gutter="0"/>
          <w:pgNumType w:fmt="decimal" w:start="1"/>
          <w:cols w:space="425" w:num="1"/>
          <w:docGrid w:type="lines" w:linePitch="312" w:charSpace="0"/>
        </w:sectPr>
      </w:pPr>
      <w:bookmarkStart w:id="13" w:name="_Toc15396599"/>
      <w:bookmarkStart w:id="14" w:name="_Toc15377196"/>
      <w:bookmarkStart w:id="15" w:name="_Toc11701"/>
    </w:p>
    <w:p>
      <w:pPr>
        <w:pStyle w:val="3"/>
        <w:jc w:val="center"/>
        <w:rPr>
          <w:rFonts w:ascii="Times New Roman" w:hAnsi="Times New Roman" w:eastAsia="黑体"/>
          <w:color w:val="auto"/>
          <w:sz w:val="32"/>
          <w:szCs w:val="32"/>
          <w:highlight w:val="none"/>
        </w:rPr>
      </w:pPr>
      <w:r>
        <w:rPr>
          <w:rFonts w:hint="eastAsia" w:ascii="方正小标宋简体" w:hAnsi="方正小标宋简体" w:eastAsia="方正小标宋简体" w:cs="方正小标宋简体"/>
          <w:b w:val="0"/>
          <w:color w:val="auto"/>
          <w:highlight w:val="none"/>
        </w:rPr>
        <w:t>第一部分</w:t>
      </w:r>
      <w:r>
        <w:rPr>
          <w:rFonts w:hint="eastAsia" w:ascii="方正小标宋简体" w:hAnsi="方正小标宋简体"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rPr>
        <w:t xml:space="preserve"> </w:t>
      </w:r>
      <w:r>
        <w:rPr>
          <w:rStyle w:val="30"/>
          <w:rFonts w:hint="eastAsia" w:ascii="方正小标宋简体" w:hAnsi="方正小标宋简体" w:eastAsia="方正小标宋简体" w:cs="方正小标宋简体"/>
          <w:b w:val="0"/>
          <w:bCs w:val="0"/>
          <w:color w:val="auto"/>
          <w:highlight w:val="none"/>
          <w:lang w:eastAsia="zh-CN"/>
        </w:rPr>
        <w:t>单位</w:t>
      </w:r>
      <w:r>
        <w:rPr>
          <w:rStyle w:val="30"/>
          <w:rFonts w:hint="eastAsia" w:ascii="方正小标宋简体" w:hAnsi="方正小标宋简体" w:eastAsia="方正小标宋简体" w:cs="方正小标宋简体"/>
          <w:b w:val="0"/>
          <w:bCs w:val="0"/>
          <w:color w:val="auto"/>
          <w:highlight w:val="none"/>
        </w:rPr>
        <w:t>概况</w:t>
      </w:r>
      <w:bookmarkEnd w:id="13"/>
      <w:bookmarkEnd w:id="14"/>
      <w:bookmarkEnd w:id="15"/>
    </w:p>
    <w:p>
      <w:pPr>
        <w:pStyle w:val="4"/>
        <w:pageBreakBefore w:val="0"/>
        <w:numPr>
          <w:ilvl w:val="0"/>
          <w:numId w:val="1"/>
        </w:numPr>
        <w:kinsoku/>
        <w:wordWrap/>
        <w:overflowPunct/>
        <w:topLinePunct w:val="0"/>
        <w:autoSpaceDE/>
        <w:autoSpaceDN/>
        <w:bidi w:val="0"/>
        <w:adjustRightInd/>
        <w:snapToGrid/>
        <w:spacing w:before="0" w:after="0" w:line="600" w:lineRule="exact"/>
        <w:ind w:left="0" w:leftChars="0" w:right="0" w:rightChars="0"/>
        <w:textAlignment w:val="auto"/>
        <w:rPr>
          <w:rFonts w:hint="eastAsia" w:ascii="Times New Roman" w:hAnsi="Times New Roman" w:eastAsia="黑体"/>
          <w:b w:val="0"/>
          <w:color w:val="auto"/>
          <w:highlight w:val="none"/>
          <w:lang w:eastAsia="zh-CN"/>
        </w:rPr>
      </w:pPr>
      <w:bookmarkStart w:id="16" w:name="_Toc30762"/>
      <w:r>
        <w:rPr>
          <w:rFonts w:hint="eastAsia" w:ascii="Times New Roman" w:hAnsi="Times New Roman" w:eastAsia="黑体"/>
          <w:b w:val="0"/>
          <w:color w:val="auto"/>
          <w:highlight w:val="none"/>
          <w:lang w:eastAsia="zh-CN"/>
        </w:rPr>
        <w:t>主要职责</w:t>
      </w:r>
      <w:bookmarkEnd w:id="16"/>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1.贯彻执行公安工作的方针、政策、法律、法规、规章。</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2.受理公安行政诉讼、行政复议、国家赔偿等案件的报批工作。做好法制建设工作。</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3.侦破经济犯罪、毒品犯罪、集团犯罪、有组织犯罪和各类刑事案件。</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4.协调处置各类治安灾害事故、骚乱和群体性突发事件；负责辖区治安巡逻；担负在经济技术开发区举办的大型活动等方面的安全保卫工作。</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5.查处危害社会治安秩序的行为；依法管理户口、居民身份证、枪支弹药、管制刀具、危险物品、特种行业等工作；依法管理集会、游行、示威活动。</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6.按职能实施经济技术开发区消防监督、火灾预防和扑救工作，对易燃物品的消防安全工作实施监督指导。</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7.指导、参与经济技术开发区公安警卫工作，组织实施对党和国家领导人和重要外宾来经济技术开发区的安全警卫工作。</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8.依法管理外国人、华侨、港澳台同胞在经济技术开发区的居留、旅行的有关工作。</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9.对被判处剥夺政治权利的罪犯执行刑罚。</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10.负责禁毒、缉毒和戒毒工作，承办禁毒委员会日常</w:t>
      </w:r>
    </w:p>
    <w:p>
      <w:pPr>
        <w:pageBreakBefore w:val="0"/>
        <w:numPr>
          <w:ilvl w:val="0"/>
          <w:numId w:val="0"/>
        </w:numPr>
        <w:kinsoku/>
        <w:wordWrap/>
        <w:overflowPunct/>
        <w:topLinePunct w:val="0"/>
        <w:autoSpaceDE/>
        <w:autoSpaceDN/>
        <w:bidi w:val="0"/>
        <w:adjustRightInd/>
        <w:snapToGrid/>
        <w:spacing w:line="600" w:lineRule="exact"/>
        <w:ind w:left="0" w:leftChars="0" w:right="0" w:rightChars="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工作。</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11.指导、监督机关、社会团体、企事业单位和建设工</w:t>
      </w:r>
    </w:p>
    <w:p>
      <w:pPr>
        <w:pageBreakBefore w:val="0"/>
        <w:numPr>
          <w:ilvl w:val="0"/>
          <w:numId w:val="0"/>
        </w:numPr>
        <w:kinsoku/>
        <w:wordWrap/>
        <w:overflowPunct/>
        <w:topLinePunct w:val="0"/>
        <w:autoSpaceDE/>
        <w:autoSpaceDN/>
        <w:bidi w:val="0"/>
        <w:adjustRightInd/>
        <w:snapToGrid/>
        <w:spacing w:line="600" w:lineRule="exact"/>
        <w:ind w:left="0" w:leftChars="0" w:right="0" w:rightChars="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程的治安保卫工作以及群防群治组织的治安防范工作。</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12.规划、实施公安通信和网络技术等建设。</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13.分析公安队伍状况，组织、指导、监督公安队伍建设措施的落实；负责民警教育训练和公安宣传工作；按规定权限管理干部，呈报警衔。</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14.开展公安纪检监察和警务督察工作；对经济技术开发区公安机关及其人民警察的执法情况进行监督。</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15.负责经济技术开发区分局党委的组织建设、党员教育、管理和监督，做好党员发展，指导基层党建工作；负责综合治理、精神文明、双拥、民族、工会、共青团、妇委会等工作。</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16.协助经济技术开发区其他行政执法部门的执法活动顺利实施。</w:t>
      </w:r>
    </w:p>
    <w:p>
      <w:pPr>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lang w:val="en-US" w:eastAsia="zh-CN"/>
        </w:rPr>
      </w:pPr>
      <w:r>
        <w:rPr>
          <w:rFonts w:hint="eastAsia" w:ascii="仿宋" w:hAnsi="仿宋" w:eastAsia="仿宋" w:cs="仿宋"/>
          <w:i w:val="0"/>
          <w:caps w:val="0"/>
          <w:color w:val="000000"/>
          <w:spacing w:val="0"/>
          <w:sz w:val="32"/>
          <w:szCs w:val="32"/>
          <w:shd w:val="clear" w:fill="FFFFFF"/>
        </w:rPr>
        <w:t>17.承办经济技术开发区党委、管委会和市公安局交办的其他事项。</w:t>
      </w:r>
    </w:p>
    <w:p>
      <w:pPr>
        <w:pStyle w:val="4"/>
        <w:pageBreakBefore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rPr>
          <w:rStyle w:val="31"/>
          <w:rFonts w:ascii="Times New Roman" w:hAnsi="Times New Roman"/>
          <w:b w:val="0"/>
          <w:bCs w:val="0"/>
          <w:color w:val="auto"/>
          <w:highlight w:val="none"/>
        </w:rPr>
      </w:pPr>
      <w:bookmarkStart w:id="17" w:name="_Toc15377200"/>
      <w:bookmarkStart w:id="18" w:name="_Toc18428"/>
      <w:bookmarkStart w:id="19" w:name="_Toc15396601"/>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7"/>
      <w:bookmarkEnd w:id="18"/>
      <w:bookmarkEnd w:id="19"/>
    </w:p>
    <w:p>
      <w:pPr>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仿宋" w:hAnsi="仿宋" w:eastAsia="仿宋" w:cs="Times New Roman"/>
          <w:bCs/>
          <w:color w:val="000000"/>
          <w:sz w:val="32"/>
          <w:szCs w:val="32"/>
        </w:rPr>
      </w:pPr>
      <w:r>
        <w:rPr>
          <w:rFonts w:hint="eastAsia" w:ascii="仿宋" w:hAnsi="仿宋" w:eastAsia="仿宋" w:cs="Times New Roman"/>
          <w:bCs/>
          <w:color w:val="000000"/>
          <w:sz w:val="32"/>
          <w:szCs w:val="32"/>
        </w:rPr>
        <w:t>实行独立财务核算的单位</w:t>
      </w:r>
      <w:r>
        <w:rPr>
          <w:rFonts w:hint="eastAsia" w:ascii="仿宋" w:hAnsi="仿宋" w:eastAsia="仿宋" w:cs="Times New Roman"/>
          <w:bCs/>
          <w:color w:val="000000"/>
          <w:sz w:val="32"/>
          <w:szCs w:val="32"/>
          <w:lang w:eastAsia="zh-CN"/>
        </w:rPr>
        <w:t>一</w:t>
      </w:r>
      <w:r>
        <w:rPr>
          <w:rFonts w:hint="eastAsia" w:ascii="仿宋" w:hAnsi="仿宋" w:eastAsia="仿宋" w:cs="Times New Roman"/>
          <w:bCs/>
          <w:color w:val="000000"/>
          <w:sz w:val="32"/>
          <w:szCs w:val="32"/>
        </w:rPr>
        <w:t>个，即遂宁市公安局经济技术开发区分局。</w:t>
      </w:r>
    </w:p>
    <w:p>
      <w:pPr>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ascii="Times New Roman" w:hAnsi="Times New Roman" w:eastAsia="仿宋"/>
          <w:color w:val="auto"/>
          <w:kern w:val="0"/>
          <w:sz w:val="32"/>
          <w:szCs w:val="32"/>
          <w:highlight w:val="none"/>
        </w:rPr>
      </w:pPr>
      <w:r>
        <w:rPr>
          <w:rFonts w:hint="eastAsia" w:ascii="仿宋" w:hAnsi="仿宋" w:eastAsia="仿宋" w:cs="Times New Roman"/>
          <w:bCs/>
          <w:color w:val="000000"/>
          <w:sz w:val="32"/>
          <w:szCs w:val="32"/>
        </w:rPr>
        <w:t>遂宁市公安局经济技术开发区分局内设机关部门三个：指挥中心、政治处、纪委；内设实战大队五个：刑侦大队、治安大队、政保大队、法制大队、巡特警大队；下设派出机构七个：嘉禾派出所、北固派出所、富源路派出所、新桥派出所、广德派出所、九莲派出所、南强派出所（实际运行嘉禾派出所、北固派出所、富源路派出所、新桥派出所四个派出机构）。</w:t>
      </w:r>
      <w:r>
        <w:rPr>
          <w:rFonts w:ascii="Times New Roman" w:hAnsi="Times New Roman" w:eastAsia="仿宋"/>
          <w:color w:val="auto"/>
          <w:sz w:val="32"/>
          <w:szCs w:val="32"/>
          <w:highlight w:val="none"/>
        </w:rPr>
        <w:br w:type="page"/>
      </w:r>
    </w:p>
    <w:p>
      <w:pPr>
        <w:pStyle w:val="3"/>
        <w:jc w:val="center"/>
        <w:rPr>
          <w:rFonts w:hint="eastAsia" w:ascii="方正小标宋简体" w:hAnsi="方正小标宋简体" w:eastAsia="方正小标宋简体" w:cs="方正小标宋简体"/>
          <w:color w:val="auto"/>
          <w:highlight w:val="none"/>
        </w:rPr>
      </w:pPr>
      <w:bookmarkStart w:id="20" w:name="_Toc15396602"/>
      <w:bookmarkStart w:id="21" w:name="_Toc15377204"/>
      <w:bookmarkStart w:id="22" w:name="_Toc8164"/>
      <w:r>
        <w:rPr>
          <w:rFonts w:hint="eastAsia" w:ascii="方正小标宋简体" w:hAnsi="方正小标宋简体" w:eastAsia="方正小标宋简体" w:cs="方正小标宋简体"/>
          <w:b w:val="0"/>
          <w:color w:val="auto"/>
          <w:highlight w:val="none"/>
        </w:rPr>
        <w:t>第二部分</w:t>
      </w:r>
      <w:r>
        <w:rPr>
          <w:rFonts w:hint="eastAsia" w:ascii="方正小标宋简体" w:hAnsi="方正小标宋简体"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rPr>
        <w:t xml:space="preserve"> </w:t>
      </w:r>
      <w:r>
        <w:rPr>
          <w:rFonts w:hint="eastAsia" w:ascii="方正小标宋简体" w:hAnsi="方正小标宋简体" w:eastAsia="方正小标宋简体" w:cs="方正小标宋简体"/>
          <w:b w:val="0"/>
          <w:color w:val="auto"/>
          <w:highlight w:val="none"/>
          <w:lang w:val="en-US" w:eastAsia="zh-CN"/>
        </w:rPr>
        <w:t>2024年度</w:t>
      </w:r>
      <w:r>
        <w:rPr>
          <w:rFonts w:hint="eastAsia" w:ascii="方正小标宋简体" w:hAnsi="方正小标宋简体" w:eastAsia="方正小标宋简体" w:cs="方正小标宋简体"/>
          <w:b w:val="0"/>
          <w:color w:val="auto"/>
          <w:highlight w:val="none"/>
          <w:lang w:eastAsia="zh-CN"/>
        </w:rPr>
        <w:t>单位</w:t>
      </w:r>
      <w:r>
        <w:rPr>
          <w:rFonts w:hint="eastAsia" w:ascii="方正小标宋简体" w:hAnsi="方正小标宋简体" w:eastAsia="方正小标宋简体" w:cs="方正小标宋简体"/>
          <w:b w:val="0"/>
          <w:color w:val="auto"/>
          <w:highlight w:val="none"/>
        </w:rPr>
        <w:t>决算情况说明</w:t>
      </w:r>
      <w:bookmarkEnd w:id="20"/>
      <w:bookmarkEnd w:id="21"/>
      <w:bookmarkEnd w:id="22"/>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3" w:name="_Toc833"/>
      <w:bookmarkStart w:id="24" w:name="_Toc15396603"/>
      <w:bookmarkStart w:id="2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3"/>
      <w:bookmarkEnd w:id="24"/>
      <w:bookmarkEnd w:id="25"/>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2024年度收入、支出总计均为5431.9万元。与2023年度相比，收入、支出总计各增加274.72万元，增长5.33%。主要变动原因是项目经费增加。</w:t>
      </w:r>
    </w:p>
    <w:p>
      <w:pPr>
        <w:keepNext w:val="0"/>
        <w:keepLines w:val="0"/>
        <w:pageBreakBefore w:val="0"/>
        <w:widowControl w:val="0"/>
        <w:kinsoku/>
        <w:wordWrap/>
        <w:overflowPunct/>
        <w:topLinePunct w:val="0"/>
        <w:autoSpaceDE/>
        <w:autoSpaceDN/>
        <w:bidi w:val="0"/>
        <w:adjustRightInd/>
        <w:snapToGrid/>
        <w:ind w:left="210" w:leftChars="100" w:firstLine="210" w:firstLineChars="1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580890" cy="3043555"/>
            <wp:effectExtent l="4445" t="4445" r="5715" b="1905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lang w:val="en-US" w:eastAsia="zh-CN"/>
        </w:rPr>
        <w:t xml:space="preserve">  </w:t>
      </w: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6" w:name="_Toc5212"/>
      <w:bookmarkStart w:id="27" w:name="_Toc15396604"/>
      <w:bookmarkStart w:id="28" w:name="_Toc15377206"/>
      <w:r>
        <w:rPr>
          <w:rFonts w:hint="eastAsia" w:ascii="Times New Roman" w:hAnsi="Times New Roman" w:eastAsia="黑体"/>
          <w:color w:val="auto"/>
          <w:sz w:val="32"/>
          <w:szCs w:val="32"/>
          <w:highlight w:val="none"/>
          <w:lang w:eastAsia="zh-CN"/>
        </w:rPr>
        <w:t>二、收入决算情况说明</w:t>
      </w:r>
      <w:bookmarkEnd w:id="26"/>
      <w:bookmarkEnd w:id="27"/>
      <w:bookmarkEnd w:id="28"/>
    </w:p>
    <w:p>
      <w:pPr>
        <w:bidi w:val="0"/>
        <w:ind w:firstLine="640" w:firstLineChars="200"/>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2024年度本年收入合计5348.39万元，其中：一般公共预算财政拨款收入3419.91万元，占63.95%；其他收入1928.48万元，占36.05%。</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963035" cy="3266440"/>
            <wp:effectExtent l="4445" t="4445" r="13970"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eastAsia"/>
          <w:lang w:val="en-US" w:eastAsia="zh-CN"/>
        </w:rPr>
        <w:t xml:space="preserve">          </w:t>
      </w:r>
      <w:r>
        <w:rPr>
          <w:rFonts w:hint="eastAsia" w:ascii="Times New Roman" w:hAnsi="Times New Roman" w:eastAsia="仿宋_GB2312" w:cs="仿宋_GB2312"/>
          <w:color w:val="auto"/>
          <w:sz w:val="32"/>
          <w:szCs w:val="32"/>
          <w:highlight w:val="none"/>
          <w:lang w:eastAsia="zh-CN"/>
        </w:rPr>
        <w:t>（图2：收入决算结构图）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9" w:name="_Toc31268"/>
      <w:bookmarkStart w:id="30" w:name="_Toc15377207"/>
      <w:bookmarkStart w:id="31"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2024年度支出合计5378.56万元，其中：基本支出3237.74万元，占60.19%；项目支出2140.82万元，占39.81%。</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963035" cy="3266440"/>
            <wp:effectExtent l="4445" t="4445" r="13970" b="571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eastAsia"/>
          <w:lang w:val="en-US" w:eastAsia="zh-CN"/>
        </w:rPr>
        <w:t xml:space="preserve">          </w:t>
      </w:r>
      <w:r>
        <w:rPr>
          <w:rFonts w:hint="eastAsia" w:ascii="Times New Roman" w:hAnsi="Times New Roman" w:eastAsia="仿宋_GB2312" w:cs="仿宋_GB2312"/>
          <w:color w:val="auto"/>
          <w:sz w:val="32"/>
          <w:szCs w:val="32"/>
          <w:highlight w:val="none"/>
          <w:lang w:eastAsia="zh-CN"/>
        </w:rPr>
        <w:t>（图3：支出决算结构图）</w:t>
      </w:r>
    </w:p>
    <w:p>
      <w:pPr>
        <w:spacing w:line="600" w:lineRule="exact"/>
        <w:ind w:firstLine="640" w:firstLineChars="200"/>
        <w:outlineLvl w:val="1"/>
        <w:rPr>
          <w:rStyle w:val="31"/>
          <w:rFonts w:ascii="Times New Roman" w:hAnsi="Times New Roman" w:eastAsia="黑体"/>
          <w:b w:val="0"/>
          <w:color w:val="auto"/>
          <w:highlight w:val="none"/>
        </w:rPr>
      </w:pPr>
      <w:bookmarkStart w:id="32" w:name="_Toc15377208"/>
      <w:bookmarkStart w:id="33" w:name="_Toc15396606"/>
      <w:bookmarkStart w:id="34" w:name="_Toc23927"/>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0288" behindDoc="0" locked="0" layoutInCell="1" allowOverlap="1">
            <wp:simplePos x="0" y="0"/>
            <wp:positionH relativeFrom="column">
              <wp:posOffset>471805</wp:posOffset>
            </wp:positionH>
            <wp:positionV relativeFrom="paragraph">
              <wp:posOffset>1565910</wp:posOffset>
            </wp:positionV>
            <wp:extent cx="4099560" cy="2794635"/>
            <wp:effectExtent l="4445" t="4445" r="10795" b="20320"/>
            <wp:wrapSquare wrapText="bothSides"/>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s="仿宋"/>
          <w:sz w:val="32"/>
          <w:szCs w:val="32"/>
          <w:lang w:val="en-US" w:eastAsia="zh-CN"/>
        </w:rPr>
        <w:t>2024年度财政拨款收入、支出总计均为3419.91万元。与2023年度相比，财政拨款收入总计、支出总计减少225.99万元，下降6.20%。主要变动原因是社会保障和就业支出较2023年有所减少。</w:t>
      </w:r>
    </w:p>
    <w:p>
      <w:pPr>
        <w:spacing w:line="600" w:lineRule="exact"/>
        <w:ind w:firstLine="960" w:firstLineChars="3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spacing w:line="600" w:lineRule="exact"/>
        <w:ind w:firstLine="640" w:firstLineChars="200"/>
        <w:outlineLvl w:val="1"/>
        <w:rPr>
          <w:rStyle w:val="31"/>
          <w:rFonts w:ascii="Times New Roman" w:hAnsi="Times New Roman" w:eastAsia="黑体"/>
          <w:b w:val="0"/>
          <w:color w:val="auto"/>
          <w:highlight w:val="none"/>
        </w:rPr>
      </w:pPr>
      <w:bookmarkStart w:id="35" w:name="_Toc15377209"/>
      <w:bookmarkStart w:id="36" w:name="_Toc15396607"/>
      <w:bookmarkStart w:id="37" w:name="_Toc5550"/>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35"/>
      <w:bookmarkEnd w:id="36"/>
      <w:bookmarkEnd w:id="37"/>
    </w:p>
    <w:p>
      <w:pPr>
        <w:spacing w:line="600" w:lineRule="exact"/>
        <w:ind w:firstLine="643" w:firstLineChars="200"/>
        <w:outlineLvl w:val="2"/>
        <w:rPr>
          <w:rFonts w:hint="eastAsia" w:ascii="Times New Roman" w:hAnsi="Times New Roman" w:eastAsia="楷体_GB2312" w:cs="楷体_GB2312"/>
          <w:b/>
          <w:bCs w:val="0"/>
          <w:color w:val="auto"/>
          <w:sz w:val="32"/>
          <w:szCs w:val="32"/>
          <w:highlight w:val="none"/>
        </w:rPr>
      </w:pPr>
      <w:bookmarkStart w:id="38" w:name="_Toc15377210"/>
      <w:r>
        <w:rPr>
          <w:rFonts w:hint="eastAsia" w:ascii="Times New Roman" w:hAnsi="Times New Roman" w:eastAsia="楷体_GB2312" w:cs="楷体_GB2312"/>
          <w:b/>
          <w:bCs w:val="0"/>
          <w:color w:val="auto"/>
          <w:sz w:val="32"/>
          <w:szCs w:val="32"/>
          <w:highlight w:val="none"/>
        </w:rPr>
        <w:t>（一）一般公共预算财政拨款支出决算总体情况</w:t>
      </w:r>
      <w:bookmarkEnd w:id="38"/>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2024年度一般公共预算财政拨款支出3419.91万元，占本年支出合计的63.58%。与2023年度相比，一般公共预算财政拨款支出减少225.99万元，下降6.20%。主要变动原因是社会保障和就业支出较2023年有所减少。</w:t>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498475</wp:posOffset>
            </wp:positionH>
            <wp:positionV relativeFrom="paragraph">
              <wp:posOffset>252730</wp:posOffset>
            </wp:positionV>
            <wp:extent cx="4368800" cy="2369820"/>
            <wp:effectExtent l="4445" t="4445" r="8255" b="6985"/>
            <wp:wrapTopAndBottom/>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spacing w:line="600" w:lineRule="exact"/>
        <w:ind w:firstLine="643" w:firstLineChars="200"/>
        <w:outlineLvl w:val="2"/>
        <w:rPr>
          <w:rFonts w:hint="eastAsia" w:ascii="Times New Roman" w:hAnsi="Times New Roman" w:eastAsia="楷体_GB2312" w:cs="楷体_GB2312"/>
          <w:b/>
          <w:bCs w:val="0"/>
          <w:color w:val="auto"/>
          <w:sz w:val="32"/>
          <w:szCs w:val="32"/>
          <w:highlight w:val="none"/>
        </w:rPr>
      </w:pPr>
      <w:bookmarkStart w:id="39" w:name="_Toc15377211"/>
      <w:r>
        <w:rPr>
          <w:rFonts w:hint="eastAsia" w:ascii="Times New Roman" w:hAnsi="Times New Roman" w:eastAsia="楷体_GB2312" w:cs="楷体_GB2312"/>
          <w:b/>
          <w:bCs w:val="0"/>
          <w:color w:val="auto"/>
          <w:sz w:val="32"/>
          <w:szCs w:val="32"/>
          <w:highlight w:val="none"/>
        </w:rPr>
        <w:t>（二）一般公共预算财政拨款支出决算结构情况</w:t>
      </w:r>
      <w:bookmarkEnd w:id="39"/>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68580" distB="0" distL="114935" distR="114935" simplePos="0" relativeHeight="251663360" behindDoc="0" locked="0" layoutInCell="1" allowOverlap="1">
            <wp:simplePos x="0" y="0"/>
            <wp:positionH relativeFrom="column">
              <wp:posOffset>1003935</wp:posOffset>
            </wp:positionH>
            <wp:positionV relativeFrom="paragraph">
              <wp:posOffset>1993900</wp:posOffset>
            </wp:positionV>
            <wp:extent cx="3075305" cy="2945765"/>
            <wp:effectExtent l="0" t="0" r="10795" b="6985"/>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tretch>
                      <a:fillRect/>
                    </a:stretch>
                  </pic:blipFill>
                  <pic:spPr>
                    <a:xfrm>
                      <a:off x="0" y="0"/>
                      <a:ext cx="3075305" cy="2945765"/>
                    </a:xfrm>
                    <a:prstGeom prst="rect">
                      <a:avLst/>
                    </a:prstGeom>
                    <a:noFill/>
                    <a:ln>
                      <a:noFill/>
                    </a:ln>
                  </pic:spPr>
                </pic:pic>
              </a:graphicData>
            </a:graphic>
          </wp:anchor>
        </w:drawing>
      </w:r>
      <w:r>
        <w:rPr>
          <w:rFonts w:hint="eastAsia" w:ascii="仿宋" w:hAnsi="仿宋" w:eastAsia="仿宋" w:cs="仿宋"/>
          <w:sz w:val="32"/>
          <w:szCs w:val="32"/>
          <w:lang w:val="en-US" w:eastAsia="zh-CN"/>
        </w:rPr>
        <w:t>2024年度一般公共预算财政拨款支出3419.91万元，主要用于以下方面：一般公共服务支出0.87万元，占0.03%；公共安全支出2812.04万元，占82.23%；社会保障和就业支出260.05万元，占7.60%；卫生健康支出120.65万元，占3.53%；住房保障支出226.30万元，占6.61%。</w:t>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spacing w:line="600" w:lineRule="exact"/>
        <w:ind w:firstLine="640"/>
      </w:pPr>
    </w:p>
    <w:p>
      <w:pPr>
        <w:spacing w:line="600" w:lineRule="exact"/>
        <w:ind w:firstLine="643" w:firstLineChars="200"/>
        <w:outlineLvl w:val="2"/>
        <w:rPr>
          <w:rFonts w:hint="eastAsia" w:ascii="Times New Roman" w:hAnsi="Times New Roman" w:eastAsia="楷体_GB2312" w:cs="楷体_GB2312"/>
          <w:b/>
          <w:bCs w:val="0"/>
          <w:color w:val="auto"/>
          <w:sz w:val="32"/>
          <w:szCs w:val="32"/>
          <w:highlight w:val="none"/>
        </w:rPr>
      </w:pPr>
      <w:bookmarkStart w:id="40" w:name="_Toc15377212"/>
      <w:r>
        <w:rPr>
          <w:rFonts w:hint="eastAsia" w:ascii="Times New Roman" w:hAnsi="Times New Roman" w:eastAsia="楷体_GB2312" w:cs="楷体_GB2312"/>
          <w:b/>
          <w:bCs w:val="0"/>
          <w:color w:val="auto"/>
          <w:sz w:val="32"/>
          <w:szCs w:val="32"/>
          <w:highlight w:val="none"/>
        </w:rPr>
        <w:t>（三）一般公共预算财政拨款支出决算具体情况</w:t>
      </w:r>
      <w:bookmarkEnd w:id="4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1" w:name="_Toc15377444"/>
      <w:bookmarkStart w:id="42" w:name="_Toc15378460"/>
      <w:bookmarkStart w:id="43" w:name="_Toc15377213"/>
      <w:r>
        <w:rPr>
          <w:rFonts w:hint="eastAsia" w:ascii="仿宋" w:hAnsi="仿宋" w:eastAsia="仿宋" w:cs="仿宋"/>
          <w:sz w:val="32"/>
          <w:szCs w:val="32"/>
          <w:lang w:val="en-US" w:eastAsia="zh-CN"/>
        </w:rPr>
        <w:t>2024年度一般公共预算财政拨款支出决算数为3419.91，完成预算100%。其中：</w:t>
      </w:r>
      <w:bookmarkEnd w:id="41"/>
      <w:bookmarkEnd w:id="42"/>
      <w:bookmarkEnd w:id="43"/>
    </w:p>
    <w:p>
      <w:pPr>
        <w:spacing w:line="600" w:lineRule="exact"/>
        <w:ind w:firstLine="640"/>
        <w:rPr>
          <w:rFonts w:hint="eastAsia" w:ascii="仿宋" w:hAnsi="仿宋" w:eastAsia="仿宋" w:cs="仿宋"/>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1</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一般公共服务（类）政府办公厅（室）及相关机构事务（款）行政运行（项）</w:t>
      </w:r>
      <w:r>
        <w:rPr>
          <w:rFonts w:hint="eastAsia" w:eastAsia="仿宋_GB2312" w:cs="仿宋_GB2312"/>
          <w:color w:val="auto"/>
          <w:kern w:val="2"/>
          <w:sz w:val="32"/>
          <w:szCs w:val="32"/>
          <w:highlight w:val="none"/>
          <w:lang w:val="en-US" w:eastAsia="zh-CN" w:bidi="ar-SA"/>
        </w:rPr>
        <w:t>：</w:t>
      </w:r>
      <w:r>
        <w:rPr>
          <w:rFonts w:hint="eastAsia" w:ascii="仿宋" w:hAnsi="仿宋" w:eastAsia="仿宋" w:cs="仿宋"/>
          <w:sz w:val="32"/>
          <w:szCs w:val="32"/>
          <w:lang w:val="en-US" w:eastAsia="zh-CN"/>
        </w:rPr>
        <w:t>支出决算为0.87万元，完成预算100%。</w:t>
      </w:r>
    </w:p>
    <w:p>
      <w:pPr>
        <w:spacing w:line="600" w:lineRule="exact"/>
        <w:ind w:firstLine="640"/>
        <w:rPr>
          <w:rFonts w:hint="eastAsia" w:ascii="仿宋" w:hAnsi="仿宋" w:eastAsia="仿宋" w:cs="仿宋"/>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2.一般公共服务（类）公安（款）行政运行（项）</w:t>
      </w:r>
      <w:r>
        <w:rPr>
          <w:rFonts w:hint="eastAsia" w:eastAsia="仿宋_GB2312" w:cs="仿宋_GB2312"/>
          <w:color w:val="auto"/>
          <w:kern w:val="2"/>
          <w:sz w:val="32"/>
          <w:szCs w:val="32"/>
          <w:highlight w:val="none"/>
          <w:lang w:val="en-US" w:eastAsia="zh-CN" w:bidi="ar-SA"/>
        </w:rPr>
        <w:t>：</w:t>
      </w:r>
      <w:r>
        <w:rPr>
          <w:rFonts w:hint="eastAsia" w:ascii="仿宋" w:hAnsi="仿宋" w:eastAsia="仿宋" w:cs="仿宋"/>
          <w:sz w:val="32"/>
          <w:szCs w:val="32"/>
          <w:lang w:val="en-US" w:eastAsia="zh-CN"/>
        </w:rPr>
        <w:t>支出决算为2629.87万元，完成预算100%。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3.一般公共服务（类）公安（款）一般行政管理事务（项）</w:t>
      </w:r>
      <w:r>
        <w:rPr>
          <w:rFonts w:hint="eastAsia" w:eastAsia="仿宋_GB2312" w:cs="仿宋_GB2312"/>
          <w:color w:val="auto"/>
          <w:kern w:val="2"/>
          <w:sz w:val="32"/>
          <w:szCs w:val="32"/>
          <w:highlight w:val="none"/>
          <w:lang w:val="en-US" w:eastAsia="zh-CN" w:bidi="ar-SA"/>
        </w:rPr>
        <w:t>：</w:t>
      </w:r>
      <w:r>
        <w:rPr>
          <w:rFonts w:hint="eastAsia" w:ascii="仿宋" w:hAnsi="仿宋" w:eastAsia="仿宋" w:cs="仿宋"/>
          <w:sz w:val="32"/>
          <w:szCs w:val="32"/>
          <w:lang w:val="en-US" w:eastAsia="zh-CN"/>
        </w:rPr>
        <w:t>支出决算为182.17万元，完成预算100%。</w:t>
      </w:r>
    </w:p>
    <w:p>
      <w:pPr>
        <w:spacing w:line="600" w:lineRule="exact"/>
        <w:ind w:firstLine="640"/>
        <w:rPr>
          <w:rFonts w:hint="eastAsia" w:ascii="仿宋" w:hAnsi="仿宋" w:eastAsia="仿宋" w:cs="仿宋"/>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4.社会保障和就业（类）行政事业单位养老支出（款）行政单位离退休（项）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仿宋" w:hAnsi="仿宋" w:eastAsia="仿宋" w:cs="仿宋"/>
          <w:sz w:val="32"/>
          <w:szCs w:val="32"/>
          <w:lang w:val="en-US" w:eastAsia="zh-CN"/>
        </w:rPr>
        <w:t>支出决算为14.74万元，完成预算100%。</w:t>
      </w:r>
    </w:p>
    <w:p>
      <w:pPr>
        <w:spacing w:line="600" w:lineRule="exact"/>
        <w:ind w:firstLine="640"/>
        <w:rPr>
          <w:rFonts w:hint="eastAsia" w:ascii="仿宋" w:hAnsi="仿宋" w:eastAsia="仿宋" w:cs="仿宋"/>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5.社会保障和就业（类）行政事业单位养老支出（款）机关事业单位基本养老保险缴费支出（项</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仿宋" w:hAnsi="仿宋" w:eastAsia="仿宋" w:cs="仿宋"/>
          <w:sz w:val="32"/>
          <w:szCs w:val="32"/>
          <w:lang w:val="en-US" w:eastAsia="zh-CN"/>
        </w:rPr>
        <w:t>支出决算为244.74万元，完成预算100%。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6.社会保障和就业（类）行政事业单位养老支出（款）死亡抚恤（项）</w:t>
      </w:r>
      <w:r>
        <w:rPr>
          <w:rFonts w:hint="eastAsia" w:eastAsia="仿宋_GB2312" w:cs="仿宋_GB2312"/>
          <w:color w:val="auto"/>
          <w:kern w:val="2"/>
          <w:sz w:val="32"/>
          <w:szCs w:val="32"/>
          <w:highlight w:val="none"/>
          <w:lang w:val="en-US" w:eastAsia="zh-CN" w:bidi="ar-SA"/>
        </w:rPr>
        <w:t>：</w:t>
      </w:r>
      <w:r>
        <w:rPr>
          <w:rFonts w:hint="eastAsia" w:ascii="仿宋" w:hAnsi="仿宋" w:eastAsia="仿宋" w:cs="仿宋"/>
          <w:sz w:val="32"/>
          <w:szCs w:val="32"/>
          <w:lang w:val="en-US" w:eastAsia="zh-CN"/>
        </w:rPr>
        <w:t>支出决算为0.57万元，完成预算100%。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7</w:t>
      </w:r>
      <w:r>
        <w:rPr>
          <w:rFonts w:hint="eastAsia" w:ascii="Times New Roman" w:hAnsi="Times New Roman" w:eastAsia="仿宋_GB2312" w:cs="仿宋_GB2312"/>
          <w:b/>
          <w:bCs/>
          <w:color w:val="auto"/>
          <w:kern w:val="2"/>
          <w:sz w:val="32"/>
          <w:szCs w:val="32"/>
          <w:highlight w:val="none"/>
          <w:lang w:val="en-US" w:eastAsia="zh-CN" w:bidi="ar-SA"/>
        </w:rPr>
        <w:t>.卫生健康支出（类）行政事业单位医疗（款）行政单位医疗（项）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仿宋" w:hAnsi="仿宋" w:eastAsia="仿宋" w:cs="仿宋"/>
          <w:sz w:val="32"/>
          <w:szCs w:val="32"/>
          <w:lang w:val="en-US" w:eastAsia="zh-CN"/>
        </w:rPr>
        <w:t>支出决算为120.65万元，完成预算100%。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8</w:t>
      </w:r>
      <w:r>
        <w:rPr>
          <w:rFonts w:hint="eastAsia" w:ascii="Times New Roman" w:hAnsi="Times New Roman" w:eastAsia="仿宋_GB2312" w:cs="仿宋_GB2312"/>
          <w:b/>
          <w:bCs/>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仿宋" w:hAnsi="仿宋" w:eastAsia="仿宋" w:cs="仿宋"/>
          <w:sz w:val="32"/>
          <w:szCs w:val="32"/>
          <w:lang w:val="en-US" w:eastAsia="zh-CN"/>
        </w:rPr>
        <w:t>支出决算为226.3万元，完成预算100%。</w:t>
      </w:r>
    </w:p>
    <w:p>
      <w:pPr>
        <w:tabs>
          <w:tab w:val="right" w:pos="8306"/>
        </w:tabs>
        <w:spacing w:line="600" w:lineRule="exact"/>
        <w:ind w:firstLine="640"/>
        <w:outlineLvl w:val="1"/>
        <w:rPr>
          <w:rStyle w:val="31"/>
          <w:rFonts w:ascii="Times New Roman" w:hAnsi="Times New Roman"/>
          <w:color w:val="auto"/>
          <w:highlight w:val="none"/>
        </w:rPr>
      </w:pPr>
      <w:bookmarkStart w:id="44" w:name="_Toc15396608"/>
      <w:bookmarkStart w:id="45" w:name="_Toc15377214"/>
      <w:bookmarkStart w:id="46" w:name="_Toc9701"/>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44"/>
      <w:bookmarkEnd w:id="45"/>
      <w:bookmarkEnd w:id="46"/>
      <w:r>
        <w:rPr>
          <w:rStyle w:val="31"/>
          <w:rFonts w:ascii="Times New Roman" w:hAnsi="Times New Roman"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2024年度一般公共预算财政拨款基本支出3237.74万元，其中：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sz w:val="32"/>
          <w:szCs w:val="32"/>
          <w:lang w:val="en-US" w:eastAsia="zh-CN"/>
        </w:rPr>
        <w:t>人员经费2679.66万元，主要包括：基本工资、津贴补贴、奖金、机关事业单位基本养老保险缴费、职工基本医疗保险缴费、其他社会保障缴费、住房公积金、退休费、生活补助、其他个人和家庭的补助支出等。</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公用经费558.08万元，主要包括：办公费、印刷费、水费、电费、邮电费、物业管理费、差旅费、维修（护）费、租赁费、培训费、公务接待费、劳务费、委托业务费、工会经费、福利费、公务用车运行维护费、其他交通费、其他商品和服务支出、专用设备购置</w:t>
      </w:r>
      <w:bookmarkStart w:id="98" w:name="_GoBack"/>
      <w:bookmarkEnd w:id="98"/>
      <w:r>
        <w:rPr>
          <w:rFonts w:hint="eastAsia" w:ascii="仿宋" w:hAnsi="仿宋" w:eastAsia="仿宋" w:cs="仿宋"/>
          <w:sz w:val="32"/>
          <w:szCs w:val="32"/>
          <w:lang w:val="en-US" w:eastAsia="zh-CN"/>
        </w:rPr>
        <w:t>等。</w:t>
      </w:r>
    </w:p>
    <w:p>
      <w:pPr>
        <w:spacing w:line="600" w:lineRule="exact"/>
        <w:ind w:firstLine="640"/>
        <w:outlineLvl w:val="1"/>
        <w:rPr>
          <w:rStyle w:val="31"/>
          <w:rFonts w:ascii="Times New Roman" w:hAnsi="Times New Roman" w:eastAsia="黑体"/>
          <w:b w:val="0"/>
          <w:color w:val="auto"/>
          <w:highlight w:val="none"/>
        </w:rPr>
      </w:pPr>
      <w:bookmarkStart w:id="47" w:name="_Toc15396609"/>
      <w:bookmarkStart w:id="48" w:name="_Toc15377215"/>
      <w:bookmarkStart w:id="49" w:name="_Toc2773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47"/>
      <w:bookmarkEnd w:id="48"/>
      <w:bookmarkEnd w:id="49"/>
    </w:p>
    <w:p>
      <w:pPr>
        <w:spacing w:line="600" w:lineRule="exact"/>
        <w:ind w:firstLine="643" w:firstLineChars="200"/>
        <w:outlineLvl w:val="2"/>
        <w:rPr>
          <w:rFonts w:hint="eastAsia" w:ascii="楷体" w:hAnsi="楷体" w:eastAsia="楷体" w:cs="楷体"/>
          <w:b/>
          <w:color w:val="auto"/>
          <w:sz w:val="32"/>
          <w:szCs w:val="32"/>
          <w:highlight w:val="none"/>
        </w:rPr>
      </w:pPr>
      <w:bookmarkStart w:id="50" w:name="_Toc15377216"/>
      <w:r>
        <w:rPr>
          <w:rFonts w:hint="eastAsia" w:ascii="楷体" w:hAnsi="楷体" w:eastAsia="楷体" w:cs="楷体"/>
          <w:b/>
          <w:color w:val="auto"/>
          <w:sz w:val="32"/>
          <w:szCs w:val="32"/>
          <w:highlight w:val="none"/>
        </w:rPr>
        <w:t>（一）“三公”经费财政拨款支出决算总体情况说明</w:t>
      </w:r>
      <w:bookmarkEnd w:id="5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2024年度“三公”经费财政拨款支出决算为58.48万元，完成预算100%，较上年度减少53.5万元，下降47.78%。</w:t>
      </w:r>
    </w:p>
    <w:p>
      <w:pPr>
        <w:spacing w:line="600" w:lineRule="exact"/>
        <w:ind w:firstLine="643" w:firstLineChars="200"/>
        <w:outlineLvl w:val="2"/>
        <w:rPr>
          <w:rFonts w:hint="eastAsia" w:ascii="楷体" w:hAnsi="楷体" w:eastAsia="楷体" w:cs="楷体"/>
          <w:b/>
          <w:color w:val="auto"/>
          <w:sz w:val="32"/>
          <w:szCs w:val="32"/>
          <w:highlight w:val="none"/>
        </w:rPr>
      </w:pPr>
      <w:bookmarkStart w:id="51" w:name="_Toc15377217"/>
      <w:r>
        <w:rPr>
          <w:rFonts w:hint="eastAsia" w:ascii="楷体" w:hAnsi="楷体" w:eastAsia="楷体" w:cs="楷体"/>
          <w:b/>
          <w:color w:val="auto"/>
          <w:sz w:val="32"/>
          <w:szCs w:val="32"/>
          <w:highlight w:val="none"/>
        </w:rPr>
        <w:t>（二）“三公”经费财政拨款支出决算具体情况说明</w:t>
      </w:r>
      <w:bookmarkEnd w:id="51"/>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2024年度“三公”经费财政拨款支出决算中，因公出国（境）费支出决算0万元，占0%；公务用车购置及运行维护费支出决算58.33万元，占99.74%；公务接待费支出决算0.15万元，占0.26%。具体情况如下：</w:t>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969010</wp:posOffset>
            </wp:positionH>
            <wp:positionV relativeFrom="paragraph">
              <wp:posOffset>62230</wp:posOffset>
            </wp:positionV>
            <wp:extent cx="2981960" cy="2880360"/>
            <wp:effectExtent l="0" t="0" r="8890" b="15240"/>
            <wp:wrapTopAndBottom/>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7"/>
                    <a:stretch>
                      <a:fillRect/>
                    </a:stretch>
                  </pic:blipFill>
                  <pic:spPr>
                    <a:xfrm>
                      <a:off x="0" y="0"/>
                      <a:ext cx="2981960" cy="2880360"/>
                    </a:xfrm>
                    <a:prstGeom prst="rect">
                      <a:avLst/>
                    </a:prstGeom>
                    <a:noFill/>
                    <a:ln>
                      <a:noFill/>
                    </a:ln>
                  </pic:spPr>
                </pic:pic>
              </a:graphicData>
            </a:graphic>
          </wp:anchor>
        </w:drawing>
      </w: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pPr>
        <w:pStyle w:val="14"/>
        <w:jc w:val="center"/>
        <w:rPr>
          <w:rFonts w:hint="eastAsia"/>
          <w:lang w:val="en-US" w:eastAsia="zh-CN"/>
        </w:rPr>
      </w:pPr>
    </w:p>
    <w:p>
      <w:pPr>
        <w:spacing w:line="600" w:lineRule="exact"/>
        <w:ind w:firstLine="640"/>
        <w:rPr>
          <w:rFonts w:hint="eastAsia" w:ascii="仿宋" w:hAnsi="仿宋" w:eastAsia="仿宋" w:cs="仿宋"/>
          <w:sz w:val="32"/>
          <w:szCs w:val="32"/>
          <w:lang w:val="en-US" w:eastAsia="zh-CN"/>
        </w:rPr>
      </w:pPr>
      <w:r>
        <w:rPr>
          <w:rFonts w:hint="eastAsia" w:ascii="仿宋" w:hAnsi="仿宋" w:eastAsia="仿宋" w:cs="仿宋"/>
          <w:b/>
          <w:bCs/>
          <w:color w:val="auto"/>
          <w:kern w:val="2"/>
          <w:sz w:val="32"/>
          <w:szCs w:val="32"/>
          <w:highlight w:val="none"/>
          <w:lang w:val="en-US" w:eastAsia="zh-CN" w:bidi="ar-SA"/>
        </w:rPr>
        <w:t>1.公务用车购置及运行维护费支出</w:t>
      </w:r>
      <w:r>
        <w:rPr>
          <w:rFonts w:hint="eastAsia" w:ascii="仿宋" w:hAnsi="仿宋" w:eastAsia="仿宋" w:cs="仿宋"/>
          <w:b w:val="0"/>
          <w:bCs w:val="0"/>
          <w:color w:val="auto"/>
          <w:kern w:val="2"/>
          <w:sz w:val="32"/>
          <w:szCs w:val="32"/>
          <w:highlight w:val="none"/>
          <w:lang w:val="en-US" w:eastAsia="zh-CN" w:bidi="ar-SA"/>
        </w:rPr>
        <w:t>58.33万元，完成预算100%。</w:t>
      </w:r>
      <w:r>
        <w:rPr>
          <w:rFonts w:hint="eastAsia" w:ascii="仿宋" w:hAnsi="仿宋" w:eastAsia="仿宋" w:cs="仿宋"/>
          <w:sz w:val="32"/>
          <w:szCs w:val="32"/>
          <w:lang w:val="en-US" w:eastAsia="zh-CN"/>
        </w:rPr>
        <w:t>公务用车购置及运行维护费支出决算比2023年度减少53.65万元，下降47.91%。主要原因是2024年无公务用车购置支出。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其中：</w:t>
      </w:r>
      <w:r>
        <w:rPr>
          <w:rFonts w:hint="eastAsia" w:ascii="仿宋" w:hAnsi="仿宋" w:eastAsia="仿宋" w:cs="仿宋"/>
          <w:b/>
          <w:bCs/>
          <w:sz w:val="32"/>
          <w:szCs w:val="32"/>
          <w:lang w:val="en-US" w:eastAsia="zh-CN"/>
        </w:rPr>
        <w:t>公务用车购置支出</w:t>
      </w:r>
      <w:r>
        <w:rPr>
          <w:rFonts w:hint="eastAsia" w:ascii="仿宋" w:hAnsi="仿宋" w:eastAsia="仿宋" w:cs="仿宋"/>
          <w:sz w:val="32"/>
          <w:szCs w:val="32"/>
          <w:lang w:val="en-US" w:eastAsia="zh-CN"/>
        </w:rPr>
        <w:t>0万元。截至2024年12月31日，单位共有公务用车16辆，其中：轿车5辆、越野车1辆、载客汽车2辆、小型客车7辆、其他车辆1辆。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公务用车运行维护费支出</w:t>
      </w:r>
      <w:r>
        <w:rPr>
          <w:rFonts w:hint="eastAsia" w:ascii="仿宋" w:hAnsi="仿宋" w:eastAsia="仿宋" w:cs="仿宋"/>
          <w:sz w:val="32"/>
          <w:szCs w:val="32"/>
          <w:lang w:val="en-US" w:eastAsia="zh-CN"/>
        </w:rPr>
        <w:t>58.33万元。主要用于案件办理、执法执勤、巡逻防控、应急处突等所需的公务用车燃料费、维修维护费、过路过桥费、保险费等支出。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color w:val="auto"/>
          <w:kern w:val="2"/>
          <w:sz w:val="32"/>
          <w:szCs w:val="32"/>
          <w:highlight w:val="none"/>
          <w:lang w:val="en-US" w:eastAsia="zh-CN" w:bidi="ar-SA"/>
        </w:rPr>
        <w:t>2.公务接待费支出</w:t>
      </w:r>
      <w:r>
        <w:rPr>
          <w:rFonts w:hint="eastAsia" w:ascii="仿宋" w:hAnsi="仿宋" w:eastAsia="仿宋" w:cs="仿宋"/>
          <w:b w:val="0"/>
          <w:bCs w:val="0"/>
          <w:color w:val="auto"/>
          <w:kern w:val="2"/>
          <w:sz w:val="32"/>
          <w:szCs w:val="32"/>
          <w:highlight w:val="none"/>
          <w:lang w:val="en-US" w:eastAsia="zh-CN" w:bidi="ar-SA"/>
        </w:rPr>
        <w:t>0.15万元，完成预算100%。</w:t>
      </w:r>
      <w:r>
        <w:rPr>
          <w:rFonts w:hint="eastAsia" w:ascii="仿宋" w:hAnsi="仿宋" w:eastAsia="仿宋" w:cs="仿宋"/>
          <w:sz w:val="32"/>
          <w:szCs w:val="32"/>
          <w:lang w:val="en-US" w:eastAsia="zh-CN"/>
        </w:rPr>
        <w:t>公务接待费支出决算比2023年度增加0.15万元，增长100%。主要原因是2023年公务接待0次,2024年公务接待1次。其中：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国内公务接待支出0.15万元，主要用于</w:t>
      </w:r>
      <w:r>
        <w:rPr>
          <w:rFonts w:hint="eastAsia" w:ascii="仿宋" w:hAnsi="仿宋" w:eastAsia="仿宋" w:cs="仿宋"/>
          <w:color w:val="auto"/>
          <w:sz w:val="32"/>
          <w:szCs w:val="32"/>
        </w:rPr>
        <w:t>开展业务活动用餐费</w:t>
      </w:r>
      <w:r>
        <w:rPr>
          <w:rFonts w:hint="eastAsia" w:ascii="仿宋" w:hAnsi="仿宋" w:eastAsia="仿宋" w:cs="仿宋"/>
          <w:sz w:val="32"/>
          <w:szCs w:val="32"/>
          <w:lang w:val="en-US" w:eastAsia="zh-CN"/>
        </w:rPr>
        <w:t>。国内公务接待1批次，10人次（不包括陪同人员），共计支出0.15万元，具体内容包括：接待大英县公安局</w:t>
      </w:r>
      <w:r>
        <w:rPr>
          <w:rFonts w:hint="eastAsia" w:ascii="仿宋" w:hAnsi="仿宋" w:eastAsia="仿宋" w:cs="仿宋"/>
          <w:color w:val="auto"/>
          <w:sz w:val="32"/>
          <w:szCs w:val="32"/>
        </w:rPr>
        <w:t>业务活动</w:t>
      </w:r>
      <w:r>
        <w:rPr>
          <w:rFonts w:hint="eastAsia" w:ascii="仿宋" w:hAnsi="仿宋" w:eastAsia="仿宋" w:cs="仿宋"/>
          <w:sz w:val="32"/>
          <w:szCs w:val="32"/>
          <w:lang w:val="en-US" w:eastAsia="zh-CN"/>
        </w:rPr>
        <w:t>用餐费用共计0.15万元。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外事接待支出0万元。外事接待0批次，0人次，共计支出0万元。</w:t>
      </w:r>
      <w:bookmarkStart w:id="52" w:name="_Toc15377218"/>
      <w:bookmarkStart w:id="53" w:name="_Toc15396610"/>
    </w:p>
    <w:p>
      <w:pPr>
        <w:spacing w:line="600" w:lineRule="exact"/>
        <w:ind w:firstLine="640"/>
        <w:outlineLvl w:val="1"/>
        <w:rPr>
          <w:rStyle w:val="31"/>
          <w:rFonts w:ascii="Times New Roman" w:hAnsi="Times New Roman" w:eastAsia="黑体"/>
          <w:color w:val="auto"/>
          <w:highlight w:val="none"/>
        </w:rPr>
      </w:pPr>
      <w:bookmarkStart w:id="54" w:name="_Toc3739"/>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2024年度政府性基金预算财政拨款支出0万元。</w:t>
      </w:r>
      <w:bookmarkStart w:id="55" w:name="_Toc15396611"/>
      <w:bookmarkStart w:id="56" w:name="_Toc15377219"/>
      <w:bookmarkStart w:id="57" w:name="_Toc30245"/>
    </w:p>
    <w:p>
      <w:pPr>
        <w:numPr>
          <w:ilvl w:val="0"/>
          <w:numId w:val="0"/>
        </w:numPr>
        <w:spacing w:line="600" w:lineRule="exact"/>
        <w:ind w:left="630" w:leftChars="0"/>
        <w:outlineLvl w:val="1"/>
        <w:rPr>
          <w:rStyle w:val="31"/>
          <w:rFonts w:ascii="Times New Roman" w:hAnsi="Times New Roman" w:eastAsia="黑体"/>
          <w:b w:val="0"/>
          <w:color w:val="auto"/>
          <w:highlight w:val="none"/>
        </w:rPr>
      </w:pPr>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2024年度国有资本经营预算财政拨款支出0万元。</w:t>
      </w:r>
      <w:bookmarkStart w:id="58" w:name="_Toc15396612"/>
      <w:bookmarkStart w:id="59" w:name="_Toc15377221"/>
      <w:bookmarkStart w:id="60" w:name="_Toc1817"/>
    </w:p>
    <w:p>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58"/>
      <w:bookmarkEnd w:id="59"/>
      <w:bookmarkEnd w:id="60"/>
    </w:p>
    <w:p>
      <w:pPr>
        <w:spacing w:line="600" w:lineRule="exact"/>
        <w:ind w:firstLine="643" w:firstLineChars="200"/>
        <w:outlineLvl w:val="2"/>
        <w:rPr>
          <w:rFonts w:hint="eastAsia" w:ascii="楷体" w:hAnsi="楷体" w:eastAsia="楷体" w:cs="楷体"/>
          <w:b/>
          <w:color w:val="auto"/>
          <w:sz w:val="32"/>
          <w:szCs w:val="32"/>
          <w:highlight w:val="none"/>
        </w:rPr>
      </w:pPr>
      <w:bookmarkStart w:id="61" w:name="_Toc15377222"/>
      <w:r>
        <w:rPr>
          <w:rFonts w:hint="eastAsia" w:ascii="楷体" w:hAnsi="楷体" w:eastAsia="楷体" w:cs="楷体"/>
          <w:b/>
          <w:color w:val="auto"/>
          <w:sz w:val="32"/>
          <w:szCs w:val="32"/>
          <w:highlight w:val="none"/>
        </w:rPr>
        <w:t>（一）机关运行经费支出情况</w:t>
      </w:r>
      <w:bookmarkEnd w:id="61"/>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2024年度，遂宁市公安局经济技术开发区分局机关运行经费支出558.08万元，较上年度增加15.82万元，增长2.92%。主要原因是其他商品和服务支出等相关支出增加。</w:t>
      </w:r>
    </w:p>
    <w:p>
      <w:pPr>
        <w:spacing w:line="600" w:lineRule="exact"/>
        <w:ind w:firstLine="643" w:firstLineChars="200"/>
        <w:outlineLvl w:val="2"/>
        <w:rPr>
          <w:rFonts w:hint="eastAsia" w:ascii="楷体" w:hAnsi="楷体" w:eastAsia="楷体" w:cs="楷体"/>
          <w:b/>
          <w:color w:val="auto"/>
          <w:sz w:val="32"/>
          <w:szCs w:val="32"/>
          <w:highlight w:val="none"/>
        </w:rPr>
      </w:pPr>
      <w:bookmarkStart w:id="62" w:name="_Toc15377223"/>
      <w:r>
        <w:rPr>
          <w:rFonts w:hint="eastAsia" w:ascii="楷体" w:hAnsi="楷体" w:eastAsia="楷体" w:cs="楷体"/>
          <w:b/>
          <w:color w:val="auto"/>
          <w:sz w:val="32"/>
          <w:szCs w:val="32"/>
          <w:highlight w:val="none"/>
        </w:rPr>
        <w:t>（二）政府采购支出情况</w:t>
      </w:r>
      <w:bookmarkEnd w:id="62"/>
    </w:p>
    <w:p>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sz w:val="32"/>
          <w:szCs w:val="32"/>
          <w:lang w:val="en-US" w:eastAsia="zh-CN"/>
        </w:rPr>
        <w:t>2024年度，遂宁市公安局经济技术开发区分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600" w:lineRule="exact"/>
        <w:ind w:firstLine="643" w:firstLineChars="200"/>
        <w:outlineLvl w:val="2"/>
        <w:rPr>
          <w:rFonts w:hint="eastAsia" w:ascii="楷体" w:hAnsi="楷体" w:eastAsia="楷体" w:cs="楷体"/>
          <w:b/>
          <w:color w:val="auto"/>
          <w:sz w:val="32"/>
          <w:szCs w:val="32"/>
          <w:highlight w:val="none"/>
        </w:rPr>
      </w:pPr>
      <w:bookmarkStart w:id="63" w:name="_Toc15377224"/>
      <w:r>
        <w:rPr>
          <w:rFonts w:hint="eastAsia" w:ascii="楷体" w:hAnsi="楷体" w:eastAsia="楷体" w:cs="楷体"/>
          <w:b/>
          <w:color w:val="auto"/>
          <w:sz w:val="32"/>
          <w:szCs w:val="32"/>
          <w:highlight w:val="none"/>
        </w:rPr>
        <w:t>（三）国有资产占有使用情况</w:t>
      </w:r>
      <w:bookmarkEnd w:id="63"/>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截至2024年12月31日，遂宁市公安局经济技术开发区分局共有车辆16辆，其中：</w:t>
      </w:r>
      <w:r>
        <w:rPr>
          <w:rFonts w:hint="eastAsia" w:ascii="仿宋" w:hAnsi="仿宋" w:eastAsia="仿宋" w:cs="仿宋"/>
          <w:color w:val="auto"/>
          <w:sz w:val="32"/>
          <w:szCs w:val="32"/>
          <w:lang w:val="en-US" w:eastAsia="zh-CN"/>
        </w:rPr>
        <w:t>一般</w:t>
      </w:r>
      <w:r>
        <w:rPr>
          <w:rFonts w:hint="eastAsia" w:ascii="仿宋" w:hAnsi="仿宋" w:eastAsia="仿宋" w:cs="仿宋"/>
          <w:color w:val="auto"/>
          <w:sz w:val="32"/>
          <w:szCs w:val="32"/>
        </w:rPr>
        <w:t>执法执勤用车</w:t>
      </w:r>
      <w:r>
        <w:rPr>
          <w:rFonts w:hint="eastAsia" w:ascii="仿宋" w:hAnsi="仿宋" w:eastAsia="仿宋" w:cs="仿宋"/>
          <w:sz w:val="32"/>
          <w:szCs w:val="32"/>
          <w:lang w:val="en-US" w:eastAsia="zh-CN"/>
        </w:rPr>
        <w:t>16辆。单价100万元以上设备0台（套）。</w:t>
      </w:r>
    </w:p>
    <w:p>
      <w:pPr>
        <w:spacing w:line="600" w:lineRule="exact"/>
        <w:ind w:firstLine="643" w:firstLineChars="200"/>
        <w:outlineLvl w:val="2"/>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（四）预算绩效管理情况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本单位无专项预算项目，因此未组织开展项目支出绩效评价。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本单位按要求对2024年部门整体支出开展绩效自评，从评价情况来看，分局绩效评价结果良好，绩效管理水平不断提高。《2024年遂宁市公安局经济技术开发区分局整体支出绩效报告》见附件。</w:t>
      </w:r>
      <w:bookmarkStart w:id="64" w:name="_Toc15377225"/>
      <w:bookmarkStart w:id="65" w:name="_Toc15396613"/>
      <w:bookmarkStart w:id="66" w:name="_Toc9781"/>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64"/>
      <w:bookmarkEnd w:id="65"/>
      <w:bookmarkEnd w:id="66"/>
    </w:p>
    <w:p>
      <w:pPr>
        <w:spacing w:line="600" w:lineRule="exact"/>
        <w:jc w:val="left"/>
        <w:rPr>
          <w:rFonts w:ascii="Times New Roman" w:hAnsi="Times New Roman"/>
          <w:b/>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bookmarkStart w:id="67" w:name="_Toc15377226"/>
      <w:r>
        <w:rPr>
          <w:rFonts w:hint="eastAsia" w:ascii="仿宋" w:hAnsi="仿宋" w:eastAsia="仿宋" w:cs="仿宋"/>
          <w:sz w:val="32"/>
          <w:szCs w:val="32"/>
          <w:lang w:val="en-US" w:eastAsia="zh-CN"/>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2.公共安全支出（类）公安（款）行政运行（项）:指行政单位的基本支出。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3.公共安全支出（类）公安（款）一般行政管理事务（项）:指行政单位未单独设置项级科目的其他项目支出。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4.公共安全支出（类）公安（款）信息化建设（项）：指各级公安机关用于非涉密的信息网络建设和运行维护相关支出。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5.公共安全支出（类）公安（款）执法办案（项）:指公安机关从事行政执法、刑事司法及侦查办案等相关活动的支出。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6.公共安全支出（类）公安（款）其他公安支出（项）:指其他用于公安方面的支出。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7.社会保障和就业支出（类）行政事业单位养老支出（款）行政单位离退休（项）:指未实行归口管理的行政单位（包括实行公务员管理的事业单位）开支的离退休支出。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8.社会保障和就业支出（类）行政事业单位养老支出（款）事业单位离退休（项）:指未实行归口管理的事业单位（包括实行公务员管理的事业单位）开支的离退休支出。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9.社会保障和就业支出（类）行政事业单位养老支出（款）机关事业单位基本养老保险缴费支出（项）:指机关事业单位实施养老保险制度由单位缴纳的基本养老保险费支出。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10.社会保障和就业支出（类）抚恤（款）死亡抚恤（项）:指按规定用于烈士和牺牲、病故人员家属的一次性和定期抚恤金以及丧葬补助费。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11.社会保障和就业支出（类）抚恤（款）伤残抚恤（项）:指按规定用于伤残人员的抚恤金和按规定开支的各种伤残补助费。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卫生健康支出（类）行政事业单位医疗（款）行政单位医疗（项）:指财政部门集中安排的行政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13.住房保障支出（类）住房改革支出（款）住房公积金（项）: 指行政事业单位按人力资源和社会保障部、财政部规定的基本工资和津贴补贴以及规定比例为职工缴纳的住房公积金。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14.灾害防治及应急管理支出（类）应急管理事务（款）其他应急管理支出（项）：反应除上述项目外的其他应急管理方面的支出。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Style w:val="30"/>
          <w:rFonts w:hint="eastAsia" w:ascii="方正小标宋简体" w:hAnsi="方正小标宋简体" w:eastAsia="方正小标宋简体" w:cs="方正小标宋简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68" w:name="_Toc15396614"/>
      <w:bookmarkStart w:id="69" w:name="_Toc6375"/>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bookmarkEnd w:id="68"/>
      <w:bookmarkEnd w:id="69"/>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附件1：单位决算公开表（2024年度）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eastAsia" w:ascii="仿宋" w:hAnsi="仿宋" w:eastAsia="仿宋" w:cs="仿宋"/>
          <w:b w:val="0"/>
          <w:color w:val="auto"/>
          <w:kern w:val="2"/>
          <w:sz w:val="30"/>
          <w:szCs w:val="30"/>
          <w:highlight w:val="none"/>
          <w:lang w:val="en-US" w:eastAsia="zh-CN" w:bidi="ar-SA"/>
        </w:rPr>
      </w:pPr>
      <w:r>
        <w:rPr>
          <w:rFonts w:hint="eastAsia" w:ascii="仿宋" w:hAnsi="仿宋" w:eastAsia="仿宋" w:cs="仿宋"/>
          <w:b w:val="0"/>
          <w:color w:val="auto"/>
          <w:kern w:val="2"/>
          <w:sz w:val="30"/>
          <w:szCs w:val="30"/>
          <w:highlight w:val="none"/>
          <w:lang w:val="en-US" w:eastAsia="zh-CN" w:bidi="ar-SA"/>
        </w:rPr>
        <w:t>附件2：</w:t>
      </w:r>
      <w:r>
        <w:rPr>
          <w:rFonts w:hint="eastAsia" w:ascii="仿宋" w:hAnsi="仿宋" w:eastAsia="仿宋" w:cs="仿宋"/>
          <w:color w:val="auto"/>
          <w:sz w:val="30"/>
          <w:szCs w:val="30"/>
          <w:highlight w:val="none"/>
          <w:lang w:val="en-US" w:eastAsia="zh-CN"/>
        </w:rPr>
        <w:t>单位整体支出绩效自评报告</w:t>
      </w:r>
      <w:r>
        <w:rPr>
          <w:rFonts w:hint="eastAsia" w:ascii="仿宋" w:hAnsi="仿宋" w:eastAsia="仿宋" w:cs="仿宋"/>
          <w:b w:val="0"/>
          <w:bCs/>
          <w:color w:val="auto"/>
          <w:sz w:val="30"/>
          <w:szCs w:val="30"/>
          <w:highlight w:val="none"/>
          <w:lang w:val="en-US" w:eastAsia="zh-CN"/>
        </w:rPr>
        <w:t>（2024年）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eastAsia" w:ascii="仿宋" w:hAnsi="仿宋" w:eastAsia="仿宋" w:cs="仿宋"/>
          <w:b w:val="0"/>
          <w:color w:val="auto"/>
          <w:kern w:val="2"/>
          <w:sz w:val="30"/>
          <w:szCs w:val="30"/>
          <w:highlight w:val="none"/>
          <w:lang w:val="en-US" w:eastAsia="zh-CN" w:bidi="ar-SA"/>
        </w:rPr>
      </w:pPr>
      <w:r>
        <w:rPr>
          <w:rFonts w:hint="eastAsia" w:ascii="仿宋" w:hAnsi="仿宋" w:eastAsia="仿宋" w:cs="仿宋"/>
          <w:b w:val="0"/>
          <w:color w:val="auto"/>
          <w:kern w:val="2"/>
          <w:sz w:val="30"/>
          <w:szCs w:val="30"/>
          <w:highlight w:val="none"/>
          <w:lang w:val="en-US" w:eastAsia="zh-CN" w:bidi="ar-SA"/>
        </w:rPr>
        <w:t>附件3：单位预算项目支出绩效自评表（2024年）</w:t>
      </w:r>
    </w:p>
    <w:p>
      <w:pPr>
        <w:pStyle w:val="21"/>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1"/>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1"/>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1"/>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1"/>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1"/>
        <w:rPr>
          <w:rFonts w:hint="eastAsia" w:ascii="Times New Roman" w:hAnsi="Times New Roman" w:eastAsia="仿宋_GB2312" w:cs="仿宋_GB2312"/>
          <w:b w:val="0"/>
          <w:bCs w:val="0"/>
          <w:kern w:val="0"/>
          <w:position w:val="0"/>
          <w:sz w:val="32"/>
          <w:szCs w:val="32"/>
          <w:highlight w:val="none"/>
          <w:lang w:val="en-US" w:eastAsia="zh-CN" w:bidi="ar-SA"/>
        </w:rPr>
      </w:pPr>
    </w:p>
    <w:p>
      <w:pPr>
        <w:pStyle w:val="21"/>
        <w:rPr>
          <w:rFonts w:hint="eastAsia"/>
          <w:lang w:val="en-US" w:eastAsia="zh-CN"/>
        </w:rPr>
      </w:pPr>
    </w:p>
    <w:p>
      <w:pPr>
        <w:rPr>
          <w:rFonts w:hint="eastAsia"/>
          <w:lang w:val="en-US" w:eastAsia="zh-CN"/>
        </w:rPr>
      </w:pPr>
    </w:p>
    <w:p>
      <w:pPr>
        <w:widowControl/>
        <w:jc w:val="center"/>
        <w:outlineLvl w:val="0"/>
        <w:rPr>
          <w:rFonts w:hint="eastAsia" w:ascii="方正小标宋简体" w:hAnsi="方正小标宋简体" w:eastAsia="方正小标宋简体" w:cs="方正小标宋简体"/>
          <w:b w:val="0"/>
          <w:color w:val="auto"/>
          <w:highlight w:val="none"/>
        </w:rPr>
      </w:pPr>
      <w:bookmarkStart w:id="70" w:name="_Toc15396618"/>
      <w:bookmarkStart w:id="71" w:name="_Toc18412"/>
      <w:r>
        <w:rPr>
          <w:rFonts w:hint="eastAsia" w:ascii="方正小标宋简体" w:hAnsi="方正小标宋简体" w:eastAsia="方正小标宋简体" w:cs="方正小标宋简体"/>
          <w:color w:val="auto"/>
          <w:sz w:val="44"/>
          <w:szCs w:val="44"/>
          <w:highlight w:val="none"/>
        </w:rPr>
        <w:t>第</w:t>
      </w:r>
      <w:r>
        <w:rPr>
          <w:rStyle w:val="30"/>
          <w:rFonts w:hint="eastAsia" w:ascii="方正小标宋简体" w:hAnsi="方正小标宋简体" w:eastAsia="方正小标宋简体" w:cs="方正小标宋简体"/>
          <w:b w:val="0"/>
          <w:color w:val="auto"/>
          <w:highlight w:val="none"/>
        </w:rPr>
        <w:t>五部分 附表</w:t>
      </w:r>
      <w:bookmarkEnd w:id="67"/>
      <w:bookmarkEnd w:id="70"/>
      <w:bookmarkEnd w:id="71"/>
      <w:bookmarkStart w:id="72"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4"/>
        <w:bidi w:val="0"/>
        <w:rPr>
          <w:rFonts w:hint="eastAsia" w:ascii="仿宋" w:hAnsi="仿宋" w:eastAsia="仿宋" w:cs="仿宋"/>
          <w:b w:val="0"/>
          <w:bCs w:val="0"/>
        </w:rPr>
      </w:pPr>
      <w:bookmarkStart w:id="73" w:name="_Toc7015"/>
      <w:r>
        <w:rPr>
          <w:rFonts w:hint="eastAsia" w:ascii="仿宋" w:hAnsi="仿宋" w:eastAsia="仿宋" w:cs="仿宋"/>
          <w:b w:val="0"/>
          <w:bCs w:val="0"/>
        </w:rPr>
        <w:t>一、收入支出决算总表</w:t>
      </w:r>
      <w:bookmarkEnd w:id="72"/>
      <w:bookmarkEnd w:id="73"/>
    </w:p>
    <w:p>
      <w:pPr>
        <w:pStyle w:val="4"/>
        <w:bidi w:val="0"/>
        <w:rPr>
          <w:rFonts w:hint="eastAsia" w:ascii="仿宋" w:hAnsi="仿宋" w:eastAsia="仿宋" w:cs="仿宋"/>
          <w:b w:val="0"/>
          <w:bCs w:val="0"/>
        </w:rPr>
      </w:pPr>
      <w:bookmarkStart w:id="74" w:name="_Toc30349"/>
      <w:bookmarkStart w:id="75" w:name="_Toc15396620"/>
      <w:r>
        <w:rPr>
          <w:rFonts w:hint="eastAsia" w:ascii="仿宋" w:hAnsi="仿宋" w:eastAsia="仿宋" w:cs="仿宋"/>
          <w:b w:val="0"/>
          <w:bCs w:val="0"/>
        </w:rPr>
        <w:t>二、收入决算表</w:t>
      </w:r>
      <w:bookmarkEnd w:id="74"/>
      <w:bookmarkEnd w:id="75"/>
    </w:p>
    <w:p>
      <w:pPr>
        <w:pStyle w:val="4"/>
        <w:bidi w:val="0"/>
        <w:rPr>
          <w:rFonts w:hint="eastAsia" w:ascii="仿宋" w:hAnsi="仿宋" w:eastAsia="仿宋" w:cs="仿宋"/>
          <w:b w:val="0"/>
          <w:bCs w:val="0"/>
        </w:rPr>
      </w:pPr>
      <w:bookmarkStart w:id="76" w:name="_Toc16778"/>
      <w:bookmarkStart w:id="77" w:name="_Toc15396621"/>
      <w:r>
        <w:rPr>
          <w:rFonts w:hint="eastAsia" w:ascii="仿宋" w:hAnsi="仿宋" w:eastAsia="仿宋" w:cs="仿宋"/>
          <w:b w:val="0"/>
          <w:bCs w:val="0"/>
        </w:rPr>
        <w:t>三、支出决算表</w:t>
      </w:r>
      <w:bookmarkEnd w:id="76"/>
      <w:bookmarkEnd w:id="77"/>
    </w:p>
    <w:p>
      <w:pPr>
        <w:pStyle w:val="4"/>
        <w:bidi w:val="0"/>
        <w:rPr>
          <w:rFonts w:hint="eastAsia" w:ascii="仿宋" w:hAnsi="仿宋" w:eastAsia="仿宋" w:cs="仿宋"/>
          <w:b w:val="0"/>
          <w:bCs w:val="0"/>
        </w:rPr>
      </w:pPr>
      <w:bookmarkStart w:id="78" w:name="_Toc29622"/>
      <w:bookmarkStart w:id="79" w:name="_Toc15396622"/>
      <w:r>
        <w:rPr>
          <w:rFonts w:hint="eastAsia" w:ascii="仿宋" w:hAnsi="仿宋" w:eastAsia="仿宋" w:cs="仿宋"/>
          <w:b w:val="0"/>
          <w:bCs w:val="0"/>
        </w:rPr>
        <w:t>四、财政拨款收入支出决算总表</w:t>
      </w:r>
      <w:bookmarkEnd w:id="78"/>
      <w:bookmarkEnd w:id="79"/>
    </w:p>
    <w:p>
      <w:pPr>
        <w:pStyle w:val="4"/>
        <w:bidi w:val="0"/>
        <w:rPr>
          <w:rFonts w:hint="eastAsia" w:ascii="仿宋" w:hAnsi="仿宋" w:eastAsia="仿宋" w:cs="仿宋"/>
          <w:b w:val="0"/>
          <w:bCs w:val="0"/>
        </w:rPr>
      </w:pPr>
      <w:bookmarkStart w:id="80" w:name="_Toc15396623"/>
      <w:bookmarkStart w:id="81" w:name="_Toc27260"/>
      <w:r>
        <w:rPr>
          <w:rFonts w:hint="eastAsia" w:ascii="仿宋" w:hAnsi="仿宋" w:eastAsia="仿宋" w:cs="仿宋"/>
          <w:b w:val="0"/>
          <w:bCs w:val="0"/>
        </w:rPr>
        <w:t>五、财政拨款支出决算明细表</w:t>
      </w:r>
      <w:bookmarkEnd w:id="80"/>
      <w:bookmarkEnd w:id="81"/>
      <w:bookmarkStart w:id="82" w:name="_Toc15396624"/>
    </w:p>
    <w:p>
      <w:pPr>
        <w:pStyle w:val="4"/>
        <w:bidi w:val="0"/>
        <w:rPr>
          <w:rFonts w:hint="eastAsia" w:ascii="仿宋" w:hAnsi="仿宋" w:eastAsia="仿宋" w:cs="仿宋"/>
          <w:b w:val="0"/>
          <w:bCs w:val="0"/>
        </w:rPr>
      </w:pPr>
      <w:bookmarkStart w:id="83" w:name="_Toc19002"/>
      <w:r>
        <w:rPr>
          <w:rFonts w:hint="eastAsia" w:ascii="仿宋" w:hAnsi="仿宋" w:eastAsia="仿宋" w:cs="仿宋"/>
          <w:b w:val="0"/>
          <w:bCs w:val="0"/>
        </w:rPr>
        <w:t>六、一般公共预算财政拨款支出决算表</w:t>
      </w:r>
      <w:bookmarkEnd w:id="82"/>
      <w:bookmarkEnd w:id="83"/>
    </w:p>
    <w:p>
      <w:pPr>
        <w:pStyle w:val="4"/>
        <w:bidi w:val="0"/>
        <w:rPr>
          <w:rFonts w:hint="eastAsia" w:ascii="仿宋" w:hAnsi="仿宋" w:eastAsia="仿宋" w:cs="仿宋"/>
          <w:b w:val="0"/>
          <w:bCs w:val="0"/>
        </w:rPr>
      </w:pPr>
      <w:bookmarkStart w:id="84" w:name="_Toc23292"/>
      <w:bookmarkStart w:id="85" w:name="_Toc15396625"/>
      <w:r>
        <w:rPr>
          <w:rFonts w:hint="eastAsia" w:ascii="仿宋" w:hAnsi="仿宋" w:eastAsia="仿宋" w:cs="仿宋"/>
          <w:b w:val="0"/>
          <w:bCs w:val="0"/>
        </w:rPr>
        <w:t>七、一般公共预算财政拨款支出决算明细表</w:t>
      </w:r>
      <w:bookmarkEnd w:id="84"/>
      <w:bookmarkEnd w:id="85"/>
    </w:p>
    <w:p>
      <w:pPr>
        <w:pStyle w:val="4"/>
        <w:bidi w:val="0"/>
        <w:rPr>
          <w:rFonts w:hint="eastAsia" w:ascii="仿宋" w:hAnsi="仿宋" w:eastAsia="仿宋" w:cs="仿宋"/>
          <w:b w:val="0"/>
          <w:bCs w:val="0"/>
        </w:rPr>
      </w:pPr>
      <w:bookmarkStart w:id="86" w:name="_Toc25651"/>
      <w:bookmarkStart w:id="87" w:name="_Toc15396626"/>
      <w:r>
        <w:rPr>
          <w:rFonts w:hint="eastAsia" w:ascii="仿宋" w:hAnsi="仿宋" w:eastAsia="仿宋" w:cs="仿宋"/>
          <w:b w:val="0"/>
          <w:bCs w:val="0"/>
        </w:rPr>
        <w:t>八、一般公共预算财政拨款基本支出决算表</w:t>
      </w:r>
      <w:bookmarkEnd w:id="86"/>
      <w:bookmarkEnd w:id="87"/>
    </w:p>
    <w:p>
      <w:pPr>
        <w:pStyle w:val="4"/>
        <w:bidi w:val="0"/>
        <w:rPr>
          <w:rFonts w:hint="eastAsia" w:ascii="仿宋" w:hAnsi="仿宋" w:eastAsia="仿宋" w:cs="仿宋"/>
          <w:b w:val="0"/>
          <w:bCs w:val="0"/>
        </w:rPr>
      </w:pPr>
      <w:bookmarkStart w:id="88" w:name="_Toc29642"/>
      <w:bookmarkStart w:id="89" w:name="_Toc15396627"/>
      <w:r>
        <w:rPr>
          <w:rFonts w:hint="eastAsia" w:ascii="仿宋" w:hAnsi="仿宋" w:eastAsia="仿宋" w:cs="仿宋"/>
          <w:b w:val="0"/>
          <w:bCs w:val="0"/>
        </w:rPr>
        <w:t>九、一般公共预算财政拨款项目支出决算表</w:t>
      </w:r>
      <w:bookmarkEnd w:id="88"/>
      <w:bookmarkEnd w:id="89"/>
    </w:p>
    <w:p>
      <w:pPr>
        <w:pStyle w:val="4"/>
        <w:bidi w:val="0"/>
        <w:rPr>
          <w:rFonts w:hint="eastAsia" w:ascii="仿宋" w:hAnsi="仿宋" w:eastAsia="仿宋" w:cs="仿宋"/>
          <w:b w:val="0"/>
          <w:bCs w:val="0"/>
        </w:rPr>
      </w:pPr>
      <w:bookmarkStart w:id="90" w:name="_Toc15396628"/>
      <w:bookmarkStart w:id="91" w:name="_Toc27198"/>
      <w:r>
        <w:rPr>
          <w:rFonts w:hint="eastAsia" w:ascii="仿宋" w:hAnsi="仿宋" w:eastAsia="仿宋" w:cs="仿宋"/>
          <w:b w:val="0"/>
          <w:bCs w:val="0"/>
        </w:rPr>
        <w:t>十、</w:t>
      </w:r>
      <w:bookmarkEnd w:id="90"/>
      <w:r>
        <w:rPr>
          <w:rFonts w:hint="eastAsia" w:ascii="仿宋" w:hAnsi="仿宋" w:eastAsia="仿宋" w:cs="仿宋"/>
          <w:b w:val="0"/>
          <w:bCs w:val="0"/>
        </w:rPr>
        <w:t>政府性基金预算财政拨款收入支出决算表</w:t>
      </w:r>
      <w:bookmarkEnd w:id="91"/>
    </w:p>
    <w:p>
      <w:pPr>
        <w:pStyle w:val="4"/>
        <w:bidi w:val="0"/>
        <w:rPr>
          <w:rFonts w:hint="eastAsia" w:ascii="仿宋" w:hAnsi="仿宋" w:eastAsia="仿宋" w:cs="仿宋"/>
          <w:b w:val="0"/>
          <w:bCs w:val="0"/>
        </w:rPr>
      </w:pPr>
      <w:bookmarkStart w:id="92" w:name="_Toc15396629"/>
      <w:bookmarkStart w:id="93" w:name="_Toc25191"/>
      <w:r>
        <w:rPr>
          <w:rFonts w:hint="eastAsia" w:ascii="仿宋" w:hAnsi="仿宋" w:eastAsia="仿宋" w:cs="仿宋"/>
          <w:b w:val="0"/>
          <w:bCs w:val="0"/>
        </w:rPr>
        <w:t>十一、</w:t>
      </w:r>
      <w:bookmarkEnd w:id="92"/>
      <w:r>
        <w:rPr>
          <w:rFonts w:hint="eastAsia" w:ascii="仿宋" w:hAnsi="仿宋" w:eastAsia="仿宋" w:cs="仿宋"/>
          <w:b w:val="0"/>
          <w:bCs w:val="0"/>
        </w:rPr>
        <w:t>国有资本经营预算</w:t>
      </w:r>
      <w:r>
        <w:rPr>
          <w:rFonts w:hint="eastAsia" w:ascii="仿宋" w:hAnsi="仿宋" w:eastAsia="仿宋" w:cs="仿宋"/>
          <w:b w:val="0"/>
          <w:bCs w:val="0"/>
          <w:lang w:eastAsia="zh-CN"/>
        </w:rPr>
        <w:t>财政拨款收入</w:t>
      </w:r>
      <w:r>
        <w:rPr>
          <w:rFonts w:hint="eastAsia" w:ascii="仿宋" w:hAnsi="仿宋" w:eastAsia="仿宋" w:cs="仿宋"/>
          <w:b w:val="0"/>
          <w:bCs w:val="0"/>
        </w:rPr>
        <w:t>支出决算表</w:t>
      </w:r>
      <w:bookmarkEnd w:id="93"/>
    </w:p>
    <w:p>
      <w:pPr>
        <w:pStyle w:val="4"/>
        <w:bidi w:val="0"/>
        <w:rPr>
          <w:rFonts w:hint="eastAsia" w:ascii="仿宋" w:hAnsi="仿宋" w:eastAsia="仿宋" w:cs="仿宋"/>
          <w:b w:val="0"/>
          <w:bCs w:val="0"/>
        </w:rPr>
      </w:pPr>
      <w:bookmarkStart w:id="94" w:name="_Toc15396630"/>
      <w:bookmarkStart w:id="95" w:name="_Toc17870"/>
      <w:r>
        <w:rPr>
          <w:rFonts w:hint="eastAsia" w:ascii="仿宋" w:hAnsi="仿宋" w:eastAsia="仿宋" w:cs="仿宋"/>
          <w:b w:val="0"/>
          <w:bCs w:val="0"/>
        </w:rPr>
        <w:t>十二、</w:t>
      </w:r>
      <w:bookmarkEnd w:id="94"/>
      <w:r>
        <w:rPr>
          <w:rFonts w:hint="eastAsia" w:ascii="仿宋" w:hAnsi="仿宋" w:eastAsia="仿宋" w:cs="仿宋"/>
          <w:b w:val="0"/>
          <w:bCs w:val="0"/>
          <w:lang w:eastAsia="zh-CN"/>
        </w:rPr>
        <w:t>国有资本经营预算财政拨款支出决算表</w:t>
      </w:r>
      <w:bookmarkEnd w:id="95"/>
    </w:p>
    <w:p>
      <w:pPr>
        <w:pStyle w:val="4"/>
        <w:bidi w:val="0"/>
        <w:rPr>
          <w:rFonts w:hint="eastAsia" w:ascii="仿宋" w:hAnsi="仿宋" w:eastAsia="仿宋" w:cs="仿宋"/>
          <w:b w:val="0"/>
          <w:bCs w:val="0"/>
          <w:lang w:eastAsia="zh-CN"/>
        </w:rPr>
      </w:pPr>
      <w:bookmarkStart w:id="96" w:name="_Toc15396631"/>
      <w:bookmarkStart w:id="97" w:name="_Toc23717"/>
      <w:r>
        <w:rPr>
          <w:rFonts w:hint="eastAsia" w:ascii="仿宋" w:hAnsi="仿宋" w:eastAsia="仿宋" w:cs="仿宋"/>
          <w:b w:val="0"/>
          <w:bCs w:val="0"/>
        </w:rPr>
        <w:t>十三、</w:t>
      </w:r>
      <w:bookmarkEnd w:id="96"/>
      <w:r>
        <w:rPr>
          <w:rFonts w:hint="eastAsia" w:ascii="仿宋" w:hAnsi="仿宋" w:eastAsia="仿宋" w:cs="仿宋"/>
          <w:b w:val="0"/>
          <w:bCs w:val="0"/>
          <w:lang w:eastAsia="zh-CN"/>
        </w:rPr>
        <w:t>财政拨款“三公”经费支出决算表</w:t>
      </w:r>
      <w:bookmarkEnd w:id="97"/>
    </w:p>
    <w:p>
      <w:pPr>
        <w:rPr>
          <w:rFonts w:hint="eastAsia" w:ascii="Times New Roman" w:hAnsi="Times New Roman"/>
          <w:lang w:eastAsia="zh-CN"/>
        </w:rPr>
      </w:pPr>
    </w:p>
    <w:sectPr>
      <w:footerReference r:id="rId9" w:type="firs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altName w:val="宋体"/>
    <w:panose1 w:val="02000500000000000000"/>
    <w:charset w:val="86"/>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汉仪雪君体繁">
    <w:altName w:val="宋体"/>
    <w:panose1 w:val="02010604000101010101"/>
    <w:charset w:val="86"/>
    <w:family w:val="auto"/>
    <w:pitch w:val="default"/>
    <w:sig w:usb0="00000000" w:usb1="00000000" w:usb2="00000002" w:usb3="00000000" w:csb0="00040000" w:csb1="00000000"/>
  </w:font>
  <w:font w:name="汉鼎繁古印">
    <w:altName w:val="Segoe Print"/>
    <w:panose1 w:val="0201060900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p>
    <w:pPr>
      <w:pStyle w:val="11"/>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6912E"/>
    <w:multiLevelType w:val="singleLevel"/>
    <w:tmpl w:val="474691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MjI3ODg4YmQxM2MwYmFmM2E0NTdiYzZkMDhlM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B2D5D"/>
    <w:rsid w:val="012A5EC2"/>
    <w:rsid w:val="015975B8"/>
    <w:rsid w:val="01C17230"/>
    <w:rsid w:val="01D707FE"/>
    <w:rsid w:val="01EE751A"/>
    <w:rsid w:val="02775C76"/>
    <w:rsid w:val="02FEBE30"/>
    <w:rsid w:val="02FF6241"/>
    <w:rsid w:val="03C9506B"/>
    <w:rsid w:val="045865F3"/>
    <w:rsid w:val="04916F1E"/>
    <w:rsid w:val="055C7C8A"/>
    <w:rsid w:val="05851891"/>
    <w:rsid w:val="05A42B51"/>
    <w:rsid w:val="05FA6D67"/>
    <w:rsid w:val="061E35DE"/>
    <w:rsid w:val="066E0107"/>
    <w:rsid w:val="06D628A5"/>
    <w:rsid w:val="06FE1DF1"/>
    <w:rsid w:val="0707728C"/>
    <w:rsid w:val="070F27A4"/>
    <w:rsid w:val="072A3957"/>
    <w:rsid w:val="075E096D"/>
    <w:rsid w:val="07996F6E"/>
    <w:rsid w:val="07DFD8BA"/>
    <w:rsid w:val="08224C96"/>
    <w:rsid w:val="08656033"/>
    <w:rsid w:val="086C73AE"/>
    <w:rsid w:val="093C3F02"/>
    <w:rsid w:val="09426F2C"/>
    <w:rsid w:val="09867E8F"/>
    <w:rsid w:val="0A2032A3"/>
    <w:rsid w:val="0A6D61FF"/>
    <w:rsid w:val="0B161D65"/>
    <w:rsid w:val="0B3D5F84"/>
    <w:rsid w:val="0B770D18"/>
    <w:rsid w:val="0B7E67EB"/>
    <w:rsid w:val="0BD23095"/>
    <w:rsid w:val="0CA8290A"/>
    <w:rsid w:val="0CE44E68"/>
    <w:rsid w:val="0D35B1ED"/>
    <w:rsid w:val="0D870C14"/>
    <w:rsid w:val="0E254B6B"/>
    <w:rsid w:val="0E86732F"/>
    <w:rsid w:val="0F4C3C76"/>
    <w:rsid w:val="0F98263C"/>
    <w:rsid w:val="101860EC"/>
    <w:rsid w:val="101F47CC"/>
    <w:rsid w:val="10C055FF"/>
    <w:rsid w:val="112F2468"/>
    <w:rsid w:val="11694EBD"/>
    <w:rsid w:val="11772AA4"/>
    <w:rsid w:val="118107EC"/>
    <w:rsid w:val="11A44B2D"/>
    <w:rsid w:val="11E57C1F"/>
    <w:rsid w:val="12D05C5D"/>
    <w:rsid w:val="12E24EE2"/>
    <w:rsid w:val="12E44486"/>
    <w:rsid w:val="135B22E0"/>
    <w:rsid w:val="139B00D5"/>
    <w:rsid w:val="13BA77FB"/>
    <w:rsid w:val="13D50BC4"/>
    <w:rsid w:val="14243BFC"/>
    <w:rsid w:val="14B17F78"/>
    <w:rsid w:val="154C1422"/>
    <w:rsid w:val="154F6DE6"/>
    <w:rsid w:val="16013C17"/>
    <w:rsid w:val="165E0673"/>
    <w:rsid w:val="168D24AC"/>
    <w:rsid w:val="16B831D5"/>
    <w:rsid w:val="16BB723D"/>
    <w:rsid w:val="17E50567"/>
    <w:rsid w:val="186504BB"/>
    <w:rsid w:val="18A50C21"/>
    <w:rsid w:val="19571B32"/>
    <w:rsid w:val="19A445FC"/>
    <w:rsid w:val="19CF0570"/>
    <w:rsid w:val="19FC76E9"/>
    <w:rsid w:val="1A163BC3"/>
    <w:rsid w:val="1AC61820"/>
    <w:rsid w:val="1B0715EC"/>
    <w:rsid w:val="1B9A4616"/>
    <w:rsid w:val="1BE8440E"/>
    <w:rsid w:val="1D155CEE"/>
    <w:rsid w:val="1D1638FE"/>
    <w:rsid w:val="1D3637B7"/>
    <w:rsid w:val="1E312DEB"/>
    <w:rsid w:val="1E740ACF"/>
    <w:rsid w:val="1E943537"/>
    <w:rsid w:val="1EC559AB"/>
    <w:rsid w:val="1F12094A"/>
    <w:rsid w:val="1F6B21D5"/>
    <w:rsid w:val="1FF35744"/>
    <w:rsid w:val="1FF6BC77"/>
    <w:rsid w:val="20D43697"/>
    <w:rsid w:val="2186353C"/>
    <w:rsid w:val="22B934C3"/>
    <w:rsid w:val="22D2150C"/>
    <w:rsid w:val="23860B96"/>
    <w:rsid w:val="23F549CE"/>
    <w:rsid w:val="240371BF"/>
    <w:rsid w:val="242E4109"/>
    <w:rsid w:val="244F3473"/>
    <w:rsid w:val="24744B63"/>
    <w:rsid w:val="24C97D99"/>
    <w:rsid w:val="259A6198"/>
    <w:rsid w:val="25A718F0"/>
    <w:rsid w:val="25BB59F6"/>
    <w:rsid w:val="260F557C"/>
    <w:rsid w:val="264F18B3"/>
    <w:rsid w:val="267637CE"/>
    <w:rsid w:val="26944000"/>
    <w:rsid w:val="26970054"/>
    <w:rsid w:val="274521CF"/>
    <w:rsid w:val="276D1941"/>
    <w:rsid w:val="27BE68E0"/>
    <w:rsid w:val="281408E2"/>
    <w:rsid w:val="28302C16"/>
    <w:rsid w:val="284C3993"/>
    <w:rsid w:val="29873BDF"/>
    <w:rsid w:val="29CA1CE0"/>
    <w:rsid w:val="29FD04D3"/>
    <w:rsid w:val="2A1F18D6"/>
    <w:rsid w:val="2AC9760D"/>
    <w:rsid w:val="2ADF7320"/>
    <w:rsid w:val="2B144316"/>
    <w:rsid w:val="2B7B33FB"/>
    <w:rsid w:val="2BA96B39"/>
    <w:rsid w:val="2BFF7BC6"/>
    <w:rsid w:val="2C8A61B5"/>
    <w:rsid w:val="2D463E79"/>
    <w:rsid w:val="2D6461DB"/>
    <w:rsid w:val="2DF04E50"/>
    <w:rsid w:val="2E586DFA"/>
    <w:rsid w:val="2F040D46"/>
    <w:rsid w:val="2F6B035B"/>
    <w:rsid w:val="2FAE5751"/>
    <w:rsid w:val="2FB1A395"/>
    <w:rsid w:val="2FD9A7D8"/>
    <w:rsid w:val="2FDBF714"/>
    <w:rsid w:val="30AB6865"/>
    <w:rsid w:val="317D3436"/>
    <w:rsid w:val="319F7F4E"/>
    <w:rsid w:val="31E44D9E"/>
    <w:rsid w:val="3263102C"/>
    <w:rsid w:val="32BD1EF1"/>
    <w:rsid w:val="3304709D"/>
    <w:rsid w:val="332F0517"/>
    <w:rsid w:val="33A773CB"/>
    <w:rsid w:val="349D6851"/>
    <w:rsid w:val="3541702B"/>
    <w:rsid w:val="35B87BED"/>
    <w:rsid w:val="35E218A1"/>
    <w:rsid w:val="35F61095"/>
    <w:rsid w:val="36AA5135"/>
    <w:rsid w:val="36AD2BD5"/>
    <w:rsid w:val="36BE0DA7"/>
    <w:rsid w:val="36CB3ED7"/>
    <w:rsid w:val="36EC570D"/>
    <w:rsid w:val="37073988"/>
    <w:rsid w:val="373E0CF1"/>
    <w:rsid w:val="376B6AA6"/>
    <w:rsid w:val="376D39B2"/>
    <w:rsid w:val="37C73BD6"/>
    <w:rsid w:val="37E16F03"/>
    <w:rsid w:val="37F53A3B"/>
    <w:rsid w:val="389B6C89"/>
    <w:rsid w:val="38D469F0"/>
    <w:rsid w:val="3913662F"/>
    <w:rsid w:val="39197D0D"/>
    <w:rsid w:val="39353D83"/>
    <w:rsid w:val="39627CCD"/>
    <w:rsid w:val="39761404"/>
    <w:rsid w:val="397BAF1F"/>
    <w:rsid w:val="3A1E106F"/>
    <w:rsid w:val="3AB79AF3"/>
    <w:rsid w:val="3AE30B0A"/>
    <w:rsid w:val="3AE834C0"/>
    <w:rsid w:val="3B7EF35A"/>
    <w:rsid w:val="3B8C1A3B"/>
    <w:rsid w:val="3B9FDB6C"/>
    <w:rsid w:val="3BB90F98"/>
    <w:rsid w:val="3BF5BC2F"/>
    <w:rsid w:val="3C834EF5"/>
    <w:rsid w:val="3CC11E2D"/>
    <w:rsid w:val="3CEBA265"/>
    <w:rsid w:val="3D502B57"/>
    <w:rsid w:val="3D98207C"/>
    <w:rsid w:val="3DEE7CF3"/>
    <w:rsid w:val="3E740A63"/>
    <w:rsid w:val="3E76389F"/>
    <w:rsid w:val="3E78745D"/>
    <w:rsid w:val="3E7A5B49"/>
    <w:rsid w:val="3EE17838"/>
    <w:rsid w:val="3F246180"/>
    <w:rsid w:val="3F55381A"/>
    <w:rsid w:val="3F7F7599"/>
    <w:rsid w:val="3FC22797"/>
    <w:rsid w:val="3FEE1D65"/>
    <w:rsid w:val="3FF4CAE0"/>
    <w:rsid w:val="3FF7B227"/>
    <w:rsid w:val="400C4053"/>
    <w:rsid w:val="40D51985"/>
    <w:rsid w:val="436B773D"/>
    <w:rsid w:val="44A7556A"/>
    <w:rsid w:val="44E268DA"/>
    <w:rsid w:val="450D13D7"/>
    <w:rsid w:val="45132CFA"/>
    <w:rsid w:val="45506656"/>
    <w:rsid w:val="47741339"/>
    <w:rsid w:val="486A6C7A"/>
    <w:rsid w:val="48CA54A3"/>
    <w:rsid w:val="48DF3DE7"/>
    <w:rsid w:val="49AB42F2"/>
    <w:rsid w:val="4A627F82"/>
    <w:rsid w:val="4B0E749A"/>
    <w:rsid w:val="4B2477C4"/>
    <w:rsid w:val="4B4F25DA"/>
    <w:rsid w:val="4BE068DB"/>
    <w:rsid w:val="4BE8066B"/>
    <w:rsid w:val="4D577224"/>
    <w:rsid w:val="4DBF1CEB"/>
    <w:rsid w:val="4DF0007C"/>
    <w:rsid w:val="4E3F065B"/>
    <w:rsid w:val="4E4F242B"/>
    <w:rsid w:val="4EAB630A"/>
    <w:rsid w:val="4ECE2238"/>
    <w:rsid w:val="4F1A4579"/>
    <w:rsid w:val="4F833267"/>
    <w:rsid w:val="4FB11678"/>
    <w:rsid w:val="4FE9BD67"/>
    <w:rsid w:val="4FF42E74"/>
    <w:rsid w:val="4FFB052F"/>
    <w:rsid w:val="50CB6381"/>
    <w:rsid w:val="50F16904"/>
    <w:rsid w:val="5136134C"/>
    <w:rsid w:val="516E4567"/>
    <w:rsid w:val="52A4102E"/>
    <w:rsid w:val="534E1C07"/>
    <w:rsid w:val="5355620E"/>
    <w:rsid w:val="53797A2F"/>
    <w:rsid w:val="537E6D0A"/>
    <w:rsid w:val="53F74C96"/>
    <w:rsid w:val="54494967"/>
    <w:rsid w:val="54C312C2"/>
    <w:rsid w:val="550D0483"/>
    <w:rsid w:val="55170BA8"/>
    <w:rsid w:val="553218C9"/>
    <w:rsid w:val="55E03903"/>
    <w:rsid w:val="567E1AA5"/>
    <w:rsid w:val="56E47B74"/>
    <w:rsid w:val="57175D52"/>
    <w:rsid w:val="57BD3DD4"/>
    <w:rsid w:val="58391B62"/>
    <w:rsid w:val="596B59CC"/>
    <w:rsid w:val="59982822"/>
    <w:rsid w:val="5AF92295"/>
    <w:rsid w:val="5B250254"/>
    <w:rsid w:val="5BDD79E6"/>
    <w:rsid w:val="5BF561CA"/>
    <w:rsid w:val="5BFF5DFC"/>
    <w:rsid w:val="5CD71FC4"/>
    <w:rsid w:val="5D1F11B5"/>
    <w:rsid w:val="5D695134"/>
    <w:rsid w:val="5D72167D"/>
    <w:rsid w:val="5DAE1B18"/>
    <w:rsid w:val="5DE7D9E5"/>
    <w:rsid w:val="5E1B069E"/>
    <w:rsid w:val="5E287108"/>
    <w:rsid w:val="5ECEC941"/>
    <w:rsid w:val="5F8944A2"/>
    <w:rsid w:val="5FBF9FF3"/>
    <w:rsid w:val="5FCD4E2C"/>
    <w:rsid w:val="5FEF394A"/>
    <w:rsid w:val="5FF344C1"/>
    <w:rsid w:val="5FF67715"/>
    <w:rsid w:val="60D64064"/>
    <w:rsid w:val="61ED353F"/>
    <w:rsid w:val="62BF3928"/>
    <w:rsid w:val="63782623"/>
    <w:rsid w:val="63B3701E"/>
    <w:rsid w:val="64564F20"/>
    <w:rsid w:val="647F5392"/>
    <w:rsid w:val="65E66580"/>
    <w:rsid w:val="664B1D71"/>
    <w:rsid w:val="664B4E8E"/>
    <w:rsid w:val="67277B67"/>
    <w:rsid w:val="67AA3209"/>
    <w:rsid w:val="67C1364E"/>
    <w:rsid w:val="68273FF7"/>
    <w:rsid w:val="683C7FC1"/>
    <w:rsid w:val="686C19A7"/>
    <w:rsid w:val="68715A0D"/>
    <w:rsid w:val="692E58E2"/>
    <w:rsid w:val="698D0931"/>
    <w:rsid w:val="69CE790F"/>
    <w:rsid w:val="6A7FE5F3"/>
    <w:rsid w:val="6AA8406C"/>
    <w:rsid w:val="6B053271"/>
    <w:rsid w:val="6B323E4D"/>
    <w:rsid w:val="6B845C8B"/>
    <w:rsid w:val="6BDD78B3"/>
    <w:rsid w:val="6C2046B9"/>
    <w:rsid w:val="6C4A05C8"/>
    <w:rsid w:val="6C8742B8"/>
    <w:rsid w:val="6D2740C2"/>
    <w:rsid w:val="6DBF5E93"/>
    <w:rsid w:val="6DFF077E"/>
    <w:rsid w:val="6E25217B"/>
    <w:rsid w:val="6E385506"/>
    <w:rsid w:val="6E714EF0"/>
    <w:rsid w:val="6E7E3605"/>
    <w:rsid w:val="6E7FDCC7"/>
    <w:rsid w:val="6EA27842"/>
    <w:rsid w:val="6ED6A62E"/>
    <w:rsid w:val="6EE00B15"/>
    <w:rsid w:val="6F156AF1"/>
    <w:rsid w:val="6F6FB3EB"/>
    <w:rsid w:val="6F8731EA"/>
    <w:rsid w:val="6FCE6052"/>
    <w:rsid w:val="6FD57C00"/>
    <w:rsid w:val="6FEFFFD8"/>
    <w:rsid w:val="6FF5CC65"/>
    <w:rsid w:val="6FFB47EC"/>
    <w:rsid w:val="6FFF034A"/>
    <w:rsid w:val="70484440"/>
    <w:rsid w:val="712A28F1"/>
    <w:rsid w:val="715C0E4B"/>
    <w:rsid w:val="718D004E"/>
    <w:rsid w:val="71992E7C"/>
    <w:rsid w:val="72233669"/>
    <w:rsid w:val="726A4318"/>
    <w:rsid w:val="72734D90"/>
    <w:rsid w:val="73160E6D"/>
    <w:rsid w:val="7332FE48"/>
    <w:rsid w:val="737546BB"/>
    <w:rsid w:val="73AB61DA"/>
    <w:rsid w:val="73AD73D5"/>
    <w:rsid w:val="73B6EB34"/>
    <w:rsid w:val="73FA497D"/>
    <w:rsid w:val="744731E5"/>
    <w:rsid w:val="748B0AE0"/>
    <w:rsid w:val="74AC0E38"/>
    <w:rsid w:val="74BBD01D"/>
    <w:rsid w:val="74ED5379"/>
    <w:rsid w:val="74F3598D"/>
    <w:rsid w:val="750534E4"/>
    <w:rsid w:val="75162154"/>
    <w:rsid w:val="75DEEEC2"/>
    <w:rsid w:val="75E32345"/>
    <w:rsid w:val="76D00471"/>
    <w:rsid w:val="76E3355F"/>
    <w:rsid w:val="76FF5125"/>
    <w:rsid w:val="776F6FFA"/>
    <w:rsid w:val="778769C8"/>
    <w:rsid w:val="77A75DCA"/>
    <w:rsid w:val="77C7431D"/>
    <w:rsid w:val="77DC22F5"/>
    <w:rsid w:val="783E271A"/>
    <w:rsid w:val="78616DE9"/>
    <w:rsid w:val="78B37086"/>
    <w:rsid w:val="78D21A0E"/>
    <w:rsid w:val="78E875D7"/>
    <w:rsid w:val="79086DAD"/>
    <w:rsid w:val="795C6A04"/>
    <w:rsid w:val="796E7A49"/>
    <w:rsid w:val="79A43BF1"/>
    <w:rsid w:val="79D7FD79"/>
    <w:rsid w:val="79EE5BA4"/>
    <w:rsid w:val="7A286B10"/>
    <w:rsid w:val="7A627ABF"/>
    <w:rsid w:val="7A894339"/>
    <w:rsid w:val="7AD284E8"/>
    <w:rsid w:val="7AFF7572"/>
    <w:rsid w:val="7B6C7DFB"/>
    <w:rsid w:val="7BBFBED0"/>
    <w:rsid w:val="7BC3E394"/>
    <w:rsid w:val="7C1F3737"/>
    <w:rsid w:val="7C7053C9"/>
    <w:rsid w:val="7CBFC87B"/>
    <w:rsid w:val="7CFE0F48"/>
    <w:rsid w:val="7D272ABC"/>
    <w:rsid w:val="7D7EC23E"/>
    <w:rsid w:val="7DC07ACD"/>
    <w:rsid w:val="7E8ADEBF"/>
    <w:rsid w:val="7EBB46AF"/>
    <w:rsid w:val="7EC47257"/>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2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List Number"/>
    <w:basedOn w:val="1"/>
    <w:unhideWhenUsed/>
    <w:qFormat/>
    <w:uiPriority w:val="99"/>
    <w:pPr>
      <w:keepNext w:val="0"/>
      <w:keepLines w:val="0"/>
      <w:widowControl w:val="0"/>
      <w:suppressLineNumbers w:val="0"/>
      <w:ind w:left="360" w:hanging="360"/>
      <w:jc w:val="both"/>
    </w:pPr>
    <w:rPr>
      <w:rFonts w:hint="default" w:ascii="Times New Roman" w:hAnsi="Times New Roman" w:eastAsia="仿宋_GB2312" w:cs="Times New Roman"/>
      <w:kern w:val="2"/>
      <w:sz w:val="32"/>
      <w:szCs w:val="32"/>
      <w:lang w:val="en-US" w:eastAsia="zh-CN" w:bidi="ar"/>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List Paragraph"/>
    <w:basedOn w:val="1"/>
    <w:qFormat/>
    <w:uiPriority w:val="34"/>
    <w:pPr>
      <w:ind w:firstLine="420" w:firstLineChars="200"/>
    </w:pPr>
  </w:style>
  <w:style w:type="character" w:customStyle="1" w:styleId="30">
    <w:name w:val="标题 1 Char"/>
    <w:basedOn w:val="17"/>
    <w:link w:val="3"/>
    <w:qFormat/>
    <w:uiPriority w:val="9"/>
    <w:rPr>
      <w:rFonts w:ascii="Times New Roman" w:hAnsi="Times New Roman"/>
      <w:b/>
      <w:bCs/>
      <w:kern w:val="44"/>
      <w:sz w:val="44"/>
      <w:szCs w:val="44"/>
    </w:rPr>
  </w:style>
  <w:style w:type="character" w:customStyle="1" w:styleId="31">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0"/>
    <w:semiHidden/>
    <w:qFormat/>
    <w:uiPriority w:val="99"/>
    <w:rPr>
      <w:rFonts w:ascii="Times New Roman" w:hAnsi="Times New Roman"/>
      <w:kern w:val="2"/>
      <w:sz w:val="18"/>
      <w:szCs w:val="18"/>
    </w:rPr>
  </w:style>
  <w:style w:type="character" w:customStyle="1" w:styleId="34">
    <w:name w:val="标题 3 Char"/>
    <w:basedOn w:val="17"/>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报告正文"/>
    <w:basedOn w:val="1"/>
    <w:qFormat/>
    <w:uiPriority w:val="0"/>
    <w:pPr>
      <w:spacing w:line="600" w:lineRule="exact"/>
      <w:ind w:firstLine="200" w:firstLineChars="200"/>
    </w:pPr>
    <w:rPr>
      <w:rFonts w:eastAsia="仿宋"/>
      <w:kern w:val="0"/>
      <w:szCs w:val="28"/>
      <w:lang w:val="zh-CN"/>
    </w:rPr>
  </w:style>
  <w:style w:type="paragraph" w:customStyle="1" w:styleId="40">
    <w:name w:val="图表名"/>
    <w:basedOn w:val="1"/>
    <w:qFormat/>
    <w:uiPriority w:val="4"/>
    <w:pPr>
      <w:spacing w:before="60" w:after="60"/>
      <w:jc w:val="center"/>
    </w:pPr>
    <w:rPr>
      <w:b/>
      <w:kern w:val="0"/>
      <w:sz w:val="24"/>
      <w:szCs w:val="28"/>
    </w:rPr>
  </w:style>
  <w:style w:type="paragraph" w:customStyle="1" w:styleId="41">
    <w:name w:val="表文字"/>
    <w:basedOn w:val="39"/>
    <w:qFormat/>
    <w:uiPriority w:val="5"/>
    <w:pPr>
      <w:widowControl/>
      <w:pBdr>
        <w:between w:val="single" w:color="auto" w:sz="4" w:space="1"/>
      </w:pBdr>
      <w:spacing w:line="320" w:lineRule="exact"/>
      <w:ind w:firstLine="0" w:firstLineChars="0"/>
      <w:jc w:val="center"/>
    </w:pPr>
    <w:rPr>
      <w:rFonts w:cs="宋体"/>
      <w:bCs/>
      <w:color w:val="000000"/>
      <w:sz w:val="22"/>
    </w:rPr>
  </w:style>
  <w:style w:type="paragraph" w:customStyle="1" w:styleId="42">
    <w:name w:val="汇政正文-最终版"/>
    <w:basedOn w:val="1"/>
    <w:qFormat/>
    <w:uiPriority w:val="3"/>
    <w:pPr>
      <w:spacing w:line="600" w:lineRule="exact"/>
      <w:ind w:firstLine="200" w:firstLineChars="200"/>
    </w:pPr>
    <w:rPr>
      <w:kern w:val="0"/>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2463;&#24320;&#20915;&#31639;&#36164;&#26009;\2024&#24180;&#20915;&#31639;&#20844;&#24320;&#36164;&#26009;\&#38468;&#20214;2&#65306;2024&#24180;&#24230;&#37096;&#38376;&#20915;&#31639;&#20844;&#24320;-&#36930;&#23425;&#24066;&#20844;&#23433;&#23616;&#32463;&#27982;&#25216;&#26415;&#24320;&#21457;&#21306;&#20998;&#23616;.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ownloads\&#36164;&#37329;&#25903;&#20184;&#26597;&#35810;2025080409392527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ownloads\&#36164;&#37329;&#25903;&#20184;&#26597;&#35810;2025080409392527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ownloads\&#36164;&#37329;&#25903;&#20184;&#26597;&#35810;2025080409392527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ownloads\&#36164;&#37329;&#25903;&#20184;&#26597;&#35810;202508040939252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'[附件2：2024年度部门决算公开-遂宁市公安局经济技术开发区分局.xls]GK01收入支出决算总表'!$B$39:$B$40</c:f>
              <c:strCache>
                <c:ptCount val="2"/>
                <c:pt idx="0">
                  <c:v>2023年</c:v>
                </c:pt>
                <c:pt idx="1">
                  <c:v>2024年</c:v>
                </c:pt>
              </c:strCache>
            </c:strRef>
          </c:cat>
          <c:val>
            <c:numRef>
              <c:f>'[附件2：2024年度部门决算公开-遂宁市公安局经济技术开发区分局.xls]GK01收入支出决算总表'!$C$39:$C$40</c:f>
              <c:numCache>
                <c:formatCode>General</c:formatCode>
                <c:ptCount val="2"/>
                <c:pt idx="0">
                  <c:v>5157.18</c:v>
                </c:pt>
                <c:pt idx="1">
                  <c:v>5431.9</c:v>
                </c:pt>
              </c:numCache>
            </c:numRef>
          </c:val>
        </c:ser>
        <c:dLbls>
          <c:showLegendKey val="0"/>
          <c:showVal val="1"/>
          <c:showCatName val="0"/>
          <c:showSerName val="0"/>
          <c:showPercent val="0"/>
          <c:showBubbleSize val="0"/>
        </c:dLbls>
        <c:gapWidth val="219"/>
        <c:overlap val="-27"/>
        <c:axId val="757200846"/>
        <c:axId val="131267918"/>
      </c:barChart>
      <c:catAx>
        <c:axId val="7572008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267918"/>
        <c:crosses val="autoZero"/>
        <c:auto val="1"/>
        <c:lblAlgn val="ctr"/>
        <c:lblOffset val="100"/>
        <c:noMultiLvlLbl val="0"/>
      </c:catAx>
      <c:valAx>
        <c:axId val="13126791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720084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manualLayout>
          <c:layoutTarget val="inner"/>
          <c:xMode val="edge"/>
          <c:yMode val="edge"/>
          <c:x val="0.25924183006536"/>
          <c:y val="0.11877762829137"/>
          <c:w val="0.535256354393609"/>
          <c:h val="0.708291370363252"/>
        </c:manualLayout>
      </c:layout>
      <c:pieChart>
        <c:varyColors val="1"/>
        <c:ser>
          <c:idx val="0"/>
          <c:order val="0"/>
          <c:spPr/>
          <c:explosion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[资金支付查询20250804093925271.xlsx]Sheet1!$G$5:$G$6</c:f>
              <c:strCache>
                <c:ptCount val="2"/>
                <c:pt idx="0">
                  <c:v>一般公共预算财政拨款收入</c:v>
                </c:pt>
                <c:pt idx="1">
                  <c:v>其他收入</c:v>
                </c:pt>
              </c:strCache>
            </c:strRef>
          </c:cat>
          <c:val>
            <c:numRef>
              <c:f>[资金支付查询20250804093925271.xlsx]Sheet1!$H$5:$H$6</c:f>
              <c:numCache>
                <c:formatCode>0.00%</c:formatCode>
                <c:ptCount val="2"/>
                <c:pt idx="0">
                  <c:v>0.6395</c:v>
                </c:pt>
                <c:pt idx="1">
                  <c:v>0.3605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manualLayout>
          <c:xMode val="edge"/>
          <c:yMode val="edge"/>
          <c:x val="0.331597500400577"/>
          <c:y val="0.0233281493001555"/>
        </c:manualLayout>
      </c:layout>
      <c:overlay val="0"/>
      <c:spPr>
        <a:noFill/>
        <a:ln>
          <a:noFill/>
        </a:ln>
        <a:effectLst/>
      </c:spPr>
    </c:title>
    <c:autoTitleDeleted val="0"/>
    <c:plotArea>
      <c:layout>
        <c:manualLayout>
          <c:layoutTarget val="inner"/>
          <c:xMode val="edge"/>
          <c:yMode val="edge"/>
          <c:x val="0.25924183006536"/>
          <c:y val="0.11877762829137"/>
          <c:w val="0.535256354393609"/>
          <c:h val="0.708291370363252"/>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39.8</a:t>
                    </a:r>
                    <a:r>
                      <a:rPr lang="en-US" altLang="zh-CN"/>
                      <a:t>1</a:t>
                    </a:r>
                    <a:r>
                      <a:t>%</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[资金支付查询20250804093925271.xlsx]Sheet1!$G$5:$G$6</c:f>
              <c:strCache>
                <c:ptCount val="2"/>
                <c:pt idx="0">
                  <c:v>基本支出</c:v>
                </c:pt>
                <c:pt idx="1">
                  <c:v>项目支出</c:v>
                </c:pt>
              </c:strCache>
            </c:strRef>
          </c:cat>
          <c:val>
            <c:numRef>
              <c:f>[资金支付查询20250804093925271.xlsx]Sheet1!$H$5:$H$6</c:f>
              <c:numCache>
                <c:formatCode>0.00%</c:formatCode>
                <c:ptCount val="2"/>
                <c:pt idx="0">
                  <c:v>0.6019</c:v>
                </c:pt>
                <c:pt idx="1">
                  <c:v>0.398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234236651462302"/>
          <c:y val="0.0216763005780347"/>
        </c:manualLayout>
      </c:layout>
      <c:overlay val="0"/>
      <c:spPr>
        <a:noFill/>
        <a:ln>
          <a:noFill/>
        </a:ln>
        <a:effectLst/>
      </c:spPr>
    </c:title>
    <c:autoTitleDeleted val="0"/>
    <c:plotArea>
      <c:layout>
        <c:manualLayout>
          <c:layoutTarget val="inner"/>
          <c:xMode val="edge"/>
          <c:yMode val="edge"/>
          <c:x val="0.0882707198164611"/>
          <c:y val="0.132295719844358"/>
          <c:w val="0.878176082592486"/>
          <c:h val="0.77969579059073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[资金支付查询20250804093925271.xlsx]Sheet1!$J$5:$J$6</c:f>
              <c:strCache>
                <c:ptCount val="2"/>
                <c:pt idx="0">
                  <c:v>2023年</c:v>
                </c:pt>
                <c:pt idx="1">
                  <c:v>2024年</c:v>
                </c:pt>
              </c:strCache>
            </c:strRef>
          </c:cat>
          <c:val>
            <c:numRef>
              <c:f>[资金支付查询20250804093925271.xlsx]Sheet1!$K$5:$K$6</c:f>
              <c:numCache>
                <c:formatCode>General</c:formatCode>
                <c:ptCount val="2"/>
                <c:pt idx="0">
                  <c:v>3645.9</c:v>
                </c:pt>
                <c:pt idx="1">
                  <c:v>3419.91</c:v>
                </c:pt>
              </c:numCache>
            </c:numRef>
          </c:val>
        </c:ser>
        <c:dLbls>
          <c:showLegendKey val="0"/>
          <c:showVal val="1"/>
          <c:showCatName val="0"/>
          <c:showSerName val="0"/>
          <c:showPercent val="0"/>
          <c:showBubbleSize val="0"/>
        </c:dLbls>
        <c:gapWidth val="219"/>
        <c:overlap val="-27"/>
        <c:axId val="928783976"/>
        <c:axId val="130871772"/>
      </c:barChart>
      <c:catAx>
        <c:axId val="9287839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871772"/>
        <c:crosses val="autoZero"/>
        <c:auto val="1"/>
        <c:lblAlgn val="ctr"/>
        <c:lblOffset val="100"/>
        <c:noMultiLvlLbl val="0"/>
      </c:catAx>
      <c:valAx>
        <c:axId val="1308717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783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28845197490407"/>
          <c:y val="0.0322882567152826"/>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[资金支付查询20250804093925271.xlsx]Sheet1!$J$5:$J$6</c:f>
              <c:strCache>
                <c:ptCount val="2"/>
                <c:pt idx="0">
                  <c:v>2023年</c:v>
                </c:pt>
                <c:pt idx="1">
                  <c:v>2024年</c:v>
                </c:pt>
              </c:strCache>
            </c:strRef>
          </c:cat>
          <c:val>
            <c:numRef>
              <c:f>[资金支付查询20250804093925271.xlsx]Sheet1!$K$5:$K$6</c:f>
              <c:numCache>
                <c:formatCode>General</c:formatCode>
                <c:ptCount val="2"/>
                <c:pt idx="0">
                  <c:v>3645.9</c:v>
                </c:pt>
                <c:pt idx="1">
                  <c:v>3419.91</c:v>
                </c:pt>
              </c:numCache>
            </c:numRef>
          </c:val>
        </c:ser>
        <c:dLbls>
          <c:showLegendKey val="0"/>
          <c:showVal val="1"/>
          <c:showCatName val="0"/>
          <c:showSerName val="0"/>
          <c:showPercent val="0"/>
          <c:showBubbleSize val="0"/>
        </c:dLbls>
        <c:gapWidth val="219"/>
        <c:overlap val="-27"/>
        <c:axId val="928783976"/>
        <c:axId val="130871772"/>
      </c:barChart>
      <c:catAx>
        <c:axId val="9287839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871772"/>
        <c:crosses val="autoZero"/>
        <c:auto val="1"/>
        <c:lblAlgn val="ctr"/>
        <c:lblOffset val="100"/>
        <c:noMultiLvlLbl val="0"/>
      </c:catAx>
      <c:valAx>
        <c:axId val="1308717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783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6277</Words>
  <Characters>6870</Characters>
  <Lines>1</Lines>
  <Paragraphs>1</Paragraphs>
  <ScaleCrop>false</ScaleCrop>
  <LinksUpToDate>false</LinksUpToDate>
  <CharactersWithSpaces>7992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2025-08-21T06:34:37Z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04787F2533EB45DC91BCDE4AB213247F</vt:lpwstr>
  </property>
</Properties>
</file>