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1100" w:lineRule="exact"/>
        <w:contextualSpacing/>
        <w:jc w:val="center"/>
        <w:rPr>
          <w:rFonts w:ascii="宋体" w:hAnsi="宋体" w:eastAsia="宋体" w:cs="宋体"/>
          <w:color w:val="FF0000"/>
          <w:sz w:val="84"/>
          <w:szCs w:val="84"/>
          <w:u w:val="double"/>
        </w:rPr>
      </w:pPr>
      <w:r>
        <w:rPr>
          <w:rFonts w:hint="eastAsia" w:ascii="宋体" w:hAnsi="宋体" w:eastAsia="宋体" w:cs="宋体"/>
          <w:color w:val="FF0000"/>
          <w:sz w:val="100"/>
          <w:szCs w:val="100"/>
          <w:u w:val="double"/>
        </w:rPr>
        <w:t>遂 宁 市 拘 留 所</w:t>
      </w:r>
    </w:p>
    <w:p>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default" w:ascii="Times New Roman" w:hAnsi="Times New Roman" w:eastAsia="宋体" w:cs="Times New Roman"/>
          <w:b/>
          <w:sz w:val="44"/>
          <w:szCs w:val="44"/>
          <w:highlight w:val="none"/>
          <w:shd w:val="clear" w:color="auto" w:fill="FFFFFF"/>
        </w:rPr>
      </w:pPr>
      <w:bookmarkStart w:id="17" w:name="_GoBack"/>
      <w:bookmarkEnd w:id="17"/>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eastAsia="zh-CN"/>
        </w:rPr>
      </w:pPr>
      <w:r>
        <w:rPr>
          <w:rFonts w:hint="default" w:ascii="Times New Roman" w:hAnsi="Times New Roman" w:eastAsia="方正小标宋简体" w:cs="Times New Roman"/>
          <w:b w:val="0"/>
          <w:bCs/>
          <w:sz w:val="44"/>
          <w:szCs w:val="44"/>
          <w:highlight w:val="none"/>
          <w:shd w:val="clear" w:color="auto" w:fill="FFFFFF"/>
          <w:lang w:eastAsia="zh-CN"/>
        </w:rPr>
        <w:t>部门整体支出自评报告</w:t>
      </w:r>
    </w:p>
    <w:p>
      <w:pPr>
        <w:spacing w:line="580" w:lineRule="exact"/>
        <w:jc w:val="center"/>
        <w:rPr>
          <w:rFonts w:eastAsia="楷体_GB2312"/>
          <w:shd w:val="clear" w:color="auto" w:fill="FFFFFF"/>
        </w:rPr>
      </w:pPr>
      <w:r>
        <w:rPr>
          <w:rFonts w:eastAsia="楷体_GB2312"/>
          <w:shd w:val="clear" w:color="auto" w:fill="FFFFFF"/>
        </w:rPr>
        <w:t>（遂宁市拘留所）</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部门（单位）基本情况</w:t>
      </w:r>
    </w:p>
    <w:p>
      <w:pPr>
        <w:adjustRightInd w:val="0"/>
        <w:snapToGrid w:val="0"/>
        <w:spacing w:line="580" w:lineRule="exact"/>
        <w:ind w:firstLine="720"/>
        <w:jc w:val="left"/>
        <w:rPr>
          <w:sz w:val="30"/>
          <w:szCs w:val="30"/>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r>
        <w:rPr>
          <w:rFonts w:hint="eastAsia"/>
          <w:sz w:val="30"/>
          <w:szCs w:val="30"/>
        </w:rPr>
        <w:t>遂宁市拘留所是遂宁市公安局下属的正科职单位，是独立预算的二级单位，被拘留人员生活费、医疗费、衣被费以及日常维修等经费由市财政预算全额保障，财务收支实行独立核算。</w:t>
      </w:r>
    </w:p>
    <w:p>
      <w:pPr>
        <w:spacing w:line="580" w:lineRule="exact"/>
        <w:ind w:firstLine="663" w:firstLineChars="200"/>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（二）机构职能</w:t>
      </w:r>
      <w:r>
        <w:rPr>
          <w:rFonts w:hint="eastAsia" w:ascii="Times New Roman" w:hAnsi="Times New Roman" w:eastAsia="楷体_GB2312" w:cs="Times New Roman"/>
          <w:b/>
          <w:bCs/>
          <w:color w:val="000000"/>
          <w:kern w:val="0"/>
          <w:sz w:val="33"/>
          <w:szCs w:val="33"/>
          <w:highlight w:val="none"/>
          <w:shd w:val="clear" w:color="auto" w:fill="FFFFFF"/>
          <w:lang w:val="zh-CN"/>
        </w:rPr>
        <w:t>。</w:t>
      </w:r>
      <w:r>
        <w:rPr>
          <w:rFonts w:hint="eastAsia"/>
          <w:sz w:val="30"/>
          <w:szCs w:val="30"/>
        </w:rPr>
        <w:t>遂宁市拘留所主要承担着船山区、河东新区、经济开发区、高新区、安居区和市本级行政拘留和司法拘留任务。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jc w:val="both"/>
        <w:textAlignment w:val="auto"/>
        <w:rPr>
          <w:rFonts w:hint="default" w:ascii="Times New Roman" w:hAnsi="Times New Roman" w:cs="Times New Roman"/>
          <w:sz w:val="33"/>
          <w:szCs w:val="33"/>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r>
        <w:rPr>
          <w:rFonts w:hint="eastAsia"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cs="Times New Roman"/>
          <w:sz w:val="33"/>
          <w:szCs w:val="33"/>
        </w:rPr>
        <w:t>截至202</w:t>
      </w:r>
      <w:r>
        <w:rPr>
          <w:rFonts w:hint="eastAsia" w:cs="Times New Roman"/>
          <w:sz w:val="33"/>
          <w:szCs w:val="33"/>
          <w:lang w:val="en-US" w:eastAsia="zh-CN"/>
        </w:rPr>
        <w:t>4</w:t>
      </w:r>
      <w:r>
        <w:rPr>
          <w:rFonts w:hint="default" w:ascii="Times New Roman" w:hAnsi="Times New Roman" w:cs="Times New Roman"/>
          <w:sz w:val="33"/>
          <w:szCs w:val="33"/>
        </w:rPr>
        <w:t>年末，</w:t>
      </w:r>
      <w:r>
        <w:rPr>
          <w:rFonts w:hint="eastAsia"/>
          <w:sz w:val="30"/>
          <w:szCs w:val="30"/>
        </w:rPr>
        <w:t>在编民警</w:t>
      </w:r>
      <w:r>
        <w:rPr>
          <w:rFonts w:hint="eastAsia"/>
          <w:sz w:val="30"/>
          <w:szCs w:val="30"/>
          <w:lang w:val="en-US" w:eastAsia="zh-CN"/>
        </w:rPr>
        <w:t>12</w:t>
      </w:r>
      <w:r>
        <w:rPr>
          <w:rFonts w:hint="eastAsia"/>
          <w:sz w:val="30"/>
          <w:szCs w:val="30"/>
        </w:rPr>
        <w:t>人，工勤</w:t>
      </w:r>
      <w:r>
        <w:rPr>
          <w:sz w:val="30"/>
          <w:szCs w:val="30"/>
        </w:rPr>
        <w:t>1</w:t>
      </w:r>
      <w:r>
        <w:rPr>
          <w:rFonts w:hint="eastAsia"/>
          <w:sz w:val="30"/>
          <w:szCs w:val="30"/>
        </w:rPr>
        <w:t>人，临聘人员</w:t>
      </w:r>
      <w:r>
        <w:rPr>
          <w:sz w:val="30"/>
          <w:szCs w:val="30"/>
        </w:rPr>
        <w:t>13</w:t>
      </w:r>
      <w:r>
        <w:rPr>
          <w:rFonts w:hint="eastAsia"/>
          <w:sz w:val="30"/>
          <w:szCs w:val="30"/>
        </w:rPr>
        <w:t>人</w:t>
      </w:r>
      <w:r>
        <w:rPr>
          <w:sz w:val="30"/>
          <w:szCs w:val="30"/>
        </w:rPr>
        <w:t>(</w:t>
      </w:r>
      <w:r>
        <w:rPr>
          <w:rFonts w:hint="eastAsia"/>
          <w:sz w:val="30"/>
          <w:szCs w:val="30"/>
        </w:rPr>
        <w:t>辅警3人，编外人员10人</w:t>
      </w:r>
      <w:r>
        <w:rPr>
          <w:sz w:val="30"/>
          <w:szCs w:val="30"/>
        </w:rPr>
        <w:t>)</w:t>
      </w:r>
      <w:r>
        <w:rPr>
          <w:rFonts w:hint="eastAsia" w:cs="Times New Roman"/>
          <w:sz w:val="33"/>
          <w:szCs w:val="33"/>
          <w:lang w:eastAsia="zh-CN"/>
        </w:rPr>
        <w:t>，</w:t>
      </w:r>
      <w:r>
        <w:rPr>
          <w:rFonts w:hint="default" w:ascii="Times New Roman" w:hAnsi="Times New Roman" w:cs="Times New Roman"/>
          <w:sz w:val="33"/>
          <w:szCs w:val="33"/>
        </w:rPr>
        <w:t>年末实有人数</w:t>
      </w:r>
      <w:r>
        <w:rPr>
          <w:rFonts w:hint="eastAsia" w:cs="Times New Roman"/>
          <w:sz w:val="33"/>
          <w:szCs w:val="33"/>
          <w:lang w:eastAsia="zh-CN"/>
        </w:rPr>
        <w:t>：民警</w:t>
      </w:r>
      <w:r>
        <w:rPr>
          <w:rFonts w:hint="eastAsia" w:cs="Times New Roman"/>
          <w:sz w:val="33"/>
          <w:szCs w:val="33"/>
          <w:lang w:val="en-US" w:eastAsia="zh-CN"/>
        </w:rPr>
        <w:t>12人（1人退休，1人病逝），工勤1人</w:t>
      </w:r>
      <w:r>
        <w:rPr>
          <w:rFonts w:hint="eastAsia" w:ascii="Times New Roman" w:hAnsi="Times New Roman" w:cs="Times New Roman"/>
          <w:sz w:val="33"/>
          <w:szCs w:val="33"/>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pPr>
        <w:adjustRightInd w:val="0"/>
        <w:snapToGrid w:val="0"/>
        <w:spacing w:line="580" w:lineRule="exact"/>
        <w:ind w:firstLine="720"/>
        <w:jc w:val="left"/>
        <w:rPr>
          <w:rFonts w:hint="eastAsia"/>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rPr>
        <w:t>20</w:t>
      </w:r>
      <w:r>
        <w:rPr>
          <w:rFonts w:hint="eastAsia"/>
          <w:lang w:val="en-US" w:eastAsia="zh-CN"/>
        </w:rPr>
        <w:t>24</w:t>
      </w:r>
      <w:r>
        <w:rPr>
          <w:rFonts w:hint="eastAsia"/>
        </w:rPr>
        <w:t>年遂宁市拘留所年初预算</w:t>
      </w:r>
      <w:bookmarkStart w:id="0" w:name="OLE_LINK1"/>
      <w:r>
        <w:rPr>
          <w:rFonts w:hint="eastAsia" w:ascii="Times New Roman" w:hAnsi="Times New Roman" w:cs="Times New Roman"/>
          <w:lang w:val="en-US" w:eastAsia="zh-CN"/>
        </w:rPr>
        <w:t>551.91</w:t>
      </w:r>
      <w:bookmarkEnd w:id="0"/>
      <w:r>
        <w:rPr>
          <w:rFonts w:hint="eastAsia"/>
        </w:rPr>
        <w:t>万元，其中年初财政拨款</w:t>
      </w:r>
      <w:r>
        <w:rPr>
          <w:rFonts w:hint="eastAsia" w:ascii="Times New Roman" w:hAnsi="Times New Roman" w:cs="Times New Roman"/>
          <w:lang w:val="en-US" w:eastAsia="zh-CN"/>
        </w:rPr>
        <w:t>551.91</w:t>
      </w:r>
      <w:r>
        <w:rPr>
          <w:rFonts w:hint="eastAsia"/>
        </w:rPr>
        <w:t>万元，</w:t>
      </w:r>
      <w:r>
        <w:rPr>
          <w:rFonts w:hint="eastAsia"/>
          <w:lang w:eastAsia="zh-CN"/>
        </w:rPr>
        <w:t>其中</w:t>
      </w:r>
      <w:r>
        <w:rPr>
          <w:rFonts w:hint="eastAsia"/>
        </w:rPr>
        <w:t>年初结转结余</w:t>
      </w:r>
      <w:r>
        <w:rPr>
          <w:rFonts w:hint="eastAsia"/>
          <w:lang w:val="en-US" w:eastAsia="zh-CN"/>
        </w:rPr>
        <w:t>0.03</w:t>
      </w:r>
      <w:r>
        <w:rPr>
          <w:rFonts w:hint="eastAsia"/>
        </w:rPr>
        <w:t>万元，中期调整</w:t>
      </w:r>
      <w:r>
        <w:rPr>
          <w:rFonts w:hint="eastAsia"/>
          <w:lang w:val="en-US" w:eastAsia="zh-CN"/>
        </w:rPr>
        <w:t>83.11</w:t>
      </w:r>
      <w:r>
        <w:rPr>
          <w:rFonts w:hint="eastAsia"/>
        </w:rPr>
        <w:t>万元，其他收入0万元，</w:t>
      </w:r>
      <w:r>
        <w:t>预算收入总额为</w:t>
      </w:r>
      <w:r>
        <w:rPr>
          <w:rFonts w:hint="eastAsia"/>
          <w:lang w:val="en-US" w:eastAsia="zh-CN"/>
        </w:rPr>
        <w:t>635.05</w:t>
      </w:r>
      <w:r>
        <w:rPr>
          <w:rFonts w:hint="eastAsia"/>
        </w:rPr>
        <w:t>万元。</w:t>
      </w:r>
    </w:p>
    <w:p>
      <w:pPr>
        <w:adjustRightInd w:val="0"/>
        <w:snapToGrid w:val="0"/>
        <w:spacing w:line="580" w:lineRule="exact"/>
        <w:ind w:firstLine="720"/>
        <w:jc w:val="left"/>
        <w:rPr>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二</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支出情况</w:t>
      </w:r>
      <w:r>
        <w:rPr>
          <w:rFonts w:hint="default" w:ascii="Times New Roman" w:hAnsi="Times New Roman" w:eastAsia="楷体_GB2312" w:cs="Times New Roman"/>
          <w:b/>
          <w:bCs/>
          <w:color w:val="000000"/>
          <w:kern w:val="0"/>
          <w:sz w:val="33"/>
          <w:szCs w:val="33"/>
          <w:highlight w:val="none"/>
          <w:shd w:val="clear" w:color="auto" w:fill="FFFFFF"/>
          <w:lang w:val="zh-CN"/>
        </w:rPr>
        <w:t>。</w:t>
      </w:r>
      <w:r>
        <w:t>202</w:t>
      </w:r>
      <w:r>
        <w:rPr>
          <w:rFonts w:hint="eastAsia"/>
          <w:lang w:val="en-US" w:eastAsia="zh-CN"/>
        </w:rPr>
        <w:t>4</w:t>
      </w:r>
      <w:r>
        <w:t>年度，</w:t>
      </w:r>
      <w:r>
        <w:rPr>
          <w:rFonts w:hint="eastAsia"/>
        </w:rPr>
        <w:t>遂宁市拘留所</w:t>
      </w:r>
      <w:r>
        <w:t>财政支出年初预算为</w:t>
      </w:r>
      <w:r>
        <w:rPr>
          <w:rFonts w:hint="eastAsia" w:ascii="Times New Roman" w:hAnsi="Times New Roman" w:cs="Times New Roman"/>
          <w:lang w:val="en-US" w:eastAsia="zh-CN"/>
        </w:rPr>
        <w:t>551.91</w:t>
      </w:r>
      <w:r>
        <w:t>万元，中期调整为</w:t>
      </w:r>
      <w:r>
        <w:rPr>
          <w:rFonts w:hint="eastAsia"/>
        </w:rPr>
        <w:t>83.</w:t>
      </w:r>
      <w:r>
        <w:rPr>
          <w:rFonts w:hint="eastAsia"/>
          <w:lang w:val="en-US" w:eastAsia="zh-CN"/>
        </w:rPr>
        <w:t>11</w:t>
      </w:r>
      <w:r>
        <w:t>万元，调整后预算支出总额为</w:t>
      </w:r>
      <w:bookmarkStart w:id="1" w:name="OLE_LINK2"/>
      <w:r>
        <w:rPr>
          <w:rFonts w:hint="eastAsia"/>
          <w:lang w:val="en-US" w:eastAsia="zh-CN"/>
        </w:rPr>
        <w:t>635.05</w:t>
      </w:r>
      <w:bookmarkEnd w:id="1"/>
      <w:r>
        <w:t>万元，部门支出预算执行总额为</w:t>
      </w:r>
      <w:r>
        <w:rPr>
          <w:rFonts w:hint="eastAsia"/>
          <w:lang w:val="en-US" w:eastAsia="zh-CN"/>
        </w:rPr>
        <w:t>568.15</w:t>
      </w:r>
      <w:r>
        <w:t>万元，部门总体执行进度为</w:t>
      </w:r>
      <w:r>
        <w:rPr>
          <w:rFonts w:hint="eastAsia"/>
          <w:lang w:val="en-US" w:eastAsia="zh-CN"/>
        </w:rPr>
        <w:t>89.46</w:t>
      </w:r>
      <w:r>
        <w:t>%，其中：</w:t>
      </w:r>
      <w:bookmarkStart w:id="2" w:name="OLE_LINK7"/>
      <w:r>
        <w:t>基本支出预算总额为</w:t>
      </w:r>
      <w:r>
        <w:rPr>
          <w:rFonts w:hint="eastAsia"/>
          <w:lang w:val="en-US" w:eastAsia="zh-CN"/>
        </w:rPr>
        <w:t>500.67</w:t>
      </w:r>
      <w:r>
        <w:t>万元，基本支出执行总额为</w:t>
      </w:r>
      <w:r>
        <w:rPr>
          <w:rFonts w:hint="eastAsia"/>
          <w:lang w:val="en-US" w:eastAsia="zh-CN"/>
        </w:rPr>
        <w:t>446.66</w:t>
      </w:r>
      <w:r>
        <w:t>万元，基本支出总体执行进度</w:t>
      </w:r>
      <w:r>
        <w:rPr>
          <w:rFonts w:hint="eastAsia"/>
          <w:lang w:val="en-US" w:eastAsia="zh-CN"/>
        </w:rPr>
        <w:t>89.21</w:t>
      </w:r>
      <w:r>
        <w:t>%；项目支出预算总额为</w:t>
      </w:r>
      <w:r>
        <w:rPr>
          <w:rFonts w:hint="eastAsia"/>
          <w:lang w:val="en-US" w:eastAsia="zh-CN"/>
        </w:rPr>
        <w:t>134.38</w:t>
      </w:r>
      <w:r>
        <w:t>万元，项目支出执行总额为</w:t>
      </w:r>
      <w:r>
        <w:rPr>
          <w:rFonts w:hint="eastAsia"/>
          <w:lang w:val="en-US" w:eastAsia="zh-CN"/>
        </w:rPr>
        <w:t>121.48</w:t>
      </w:r>
      <w:r>
        <w:t>万元，项目支出总体执行进度</w:t>
      </w:r>
      <w:r>
        <w:rPr>
          <w:rFonts w:hint="eastAsia"/>
          <w:lang w:val="en-US" w:eastAsia="zh-CN"/>
        </w:rPr>
        <w:t>90.4</w:t>
      </w:r>
      <w:r>
        <w:t>%。</w:t>
      </w:r>
    </w:p>
    <w:bookmarkEnd w:id="2"/>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仿宋_GB2312" w:cs="Times New Roman"/>
          <w:b w:val="0"/>
          <w:bCs w:val="0"/>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bookmarkStart w:id="3" w:name="OLE_LINK8"/>
      <w:r>
        <w:rPr>
          <w:rFonts w:hint="eastAsia" w:cs="Times New Roman"/>
          <w:sz w:val="33"/>
          <w:szCs w:val="33"/>
          <w:lang w:val="en-US" w:eastAsia="zh-CN"/>
        </w:rPr>
        <w:t>遂宁市拘留所</w:t>
      </w:r>
      <w:r>
        <w:rPr>
          <w:rFonts w:hint="eastAsia" w:ascii="Times New Roman" w:hAnsi="Times New Roman" w:cs="Times New Roman"/>
          <w:sz w:val="33"/>
          <w:szCs w:val="33"/>
          <w:lang w:val="en-US" w:eastAsia="zh-CN"/>
        </w:rPr>
        <w:t>202</w:t>
      </w:r>
      <w:r>
        <w:rPr>
          <w:rFonts w:hint="eastAsia" w:cs="Times New Roman"/>
          <w:sz w:val="33"/>
          <w:szCs w:val="33"/>
          <w:lang w:val="en-US" w:eastAsia="zh-CN"/>
        </w:rPr>
        <w:t>4</w:t>
      </w:r>
      <w:r>
        <w:rPr>
          <w:rFonts w:hint="eastAsia" w:ascii="Times New Roman" w:hAnsi="Times New Roman" w:cs="Times New Roman"/>
          <w:sz w:val="33"/>
          <w:szCs w:val="33"/>
          <w:lang w:val="en-US" w:eastAsia="zh-CN"/>
        </w:rPr>
        <w:t>年</w:t>
      </w:r>
      <w:r>
        <w:rPr>
          <w:rFonts w:hint="eastAsia" w:cs="Times New Roman"/>
          <w:sz w:val="33"/>
          <w:szCs w:val="33"/>
          <w:lang w:val="en-US" w:eastAsia="zh-CN"/>
        </w:rPr>
        <w:t>结余66.91万元，其中60.37万元回收财政，</w:t>
      </w:r>
      <w:r>
        <w:rPr>
          <w:rFonts w:hint="default" w:ascii="Times New Roman" w:hAnsi="Times New Roman" w:eastAsia="仿宋_GB2312" w:cs="Times New Roman"/>
          <w:b w:val="0"/>
          <w:bCs w:val="0"/>
          <w:color w:val="000000"/>
          <w:kern w:val="0"/>
          <w:sz w:val="33"/>
          <w:szCs w:val="33"/>
          <w:highlight w:val="none"/>
          <w:shd w:val="clear" w:color="auto" w:fill="FFFFFF"/>
          <w:lang w:val="en-US" w:eastAsia="zh-CN"/>
        </w:rPr>
        <w:t>结转</w:t>
      </w:r>
      <w:r>
        <w:rPr>
          <w:rFonts w:hint="eastAsia" w:cs="Times New Roman"/>
          <w:b w:val="0"/>
          <w:bCs w:val="0"/>
          <w:color w:val="000000"/>
          <w:kern w:val="0"/>
          <w:sz w:val="33"/>
          <w:szCs w:val="33"/>
          <w:highlight w:val="none"/>
          <w:shd w:val="clear" w:color="auto" w:fill="FFFFFF"/>
          <w:lang w:val="en-US" w:eastAsia="zh-CN"/>
        </w:rPr>
        <w:t>中省政法资金6.54万元</w:t>
      </w:r>
      <w:r>
        <w:rPr>
          <w:rFonts w:hint="default" w:ascii="Times New Roman" w:hAnsi="Times New Roman" w:eastAsia="仿宋_GB2312" w:cs="Times New Roman"/>
          <w:b w:val="0"/>
          <w:bCs w:val="0"/>
          <w:color w:val="000000"/>
          <w:kern w:val="0"/>
          <w:sz w:val="33"/>
          <w:szCs w:val="33"/>
          <w:highlight w:val="none"/>
          <w:shd w:val="clear" w:color="auto" w:fill="FFFFFF"/>
          <w:lang w:val="en-US" w:eastAsia="zh-CN"/>
        </w:rPr>
        <w:t>。</w:t>
      </w:r>
    </w:p>
    <w:bookmarkEnd w:id="3"/>
    <w:tbl>
      <w:tblPr>
        <w:tblStyle w:val="13"/>
        <w:tblW w:w="9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2"/>
        <w:gridCol w:w="813"/>
        <w:gridCol w:w="3236"/>
        <w:gridCol w:w="1366"/>
        <w:gridCol w:w="1009"/>
        <w:gridCol w:w="1025"/>
        <w:gridCol w:w="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15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6"/>
                <w:szCs w:val="36"/>
                <w:u w:val="none"/>
              </w:rPr>
            </w:pPr>
            <w:bookmarkStart w:id="4" w:name="OLE_LINK4"/>
            <w:r>
              <w:rPr>
                <w:rFonts w:hint="eastAsia" w:ascii="华文中宋" w:hAnsi="华文中宋" w:eastAsia="华文中宋" w:cs="华文中宋"/>
                <w:i w:val="0"/>
                <w:color w:val="000000"/>
                <w:kern w:val="0"/>
                <w:sz w:val="36"/>
                <w:szCs w:val="36"/>
                <w:u w:val="none"/>
                <w:lang w:val="en-US" w:eastAsia="zh-CN" w:bidi="ar"/>
              </w:rPr>
              <w:t>遂宁市拘留所2024年度项目支出情况表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812"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813"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3236"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366"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009"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025"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89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重点任务</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项目类型</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调整预算数</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保证监所安全</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特定目标类</w:t>
            </w:r>
          </w:p>
        </w:tc>
        <w:tc>
          <w:tcPr>
            <w:tcW w:w="3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2022年政法转移资金（公安）</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22.98</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22.98</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16.44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拘留人员伙食费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75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75</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68.98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91.97</w:t>
            </w: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拘留人员医疗费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2.72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2.72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拘留人员衣被费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3.4</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设施设备维修维护费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9.7</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9.7</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辅警专项经费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设施设备购置费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134.38</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134.38</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121.48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90.4%</w:t>
            </w:r>
          </w:p>
        </w:tc>
      </w:tr>
      <w:bookmarkEnd w:id="4"/>
    </w:tbl>
    <w:p>
      <w:pPr>
        <w:pStyle w:val="2"/>
        <w:rPr>
          <w:rFonts w:hint="default"/>
          <w:lang w:val="zh-CN"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部门预算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仿宋_GB2312" w:cs="Times New Roman"/>
          <w:color w:val="000000"/>
          <w:kern w:val="0"/>
          <w:sz w:val="33"/>
          <w:szCs w:val="33"/>
          <w:highlight w:val="none"/>
          <w:shd w:val="clear" w:color="auto" w:fill="FFFFFF"/>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履职效能。</w:t>
      </w:r>
      <w:r>
        <w:rPr>
          <w:rFonts w:hint="eastAsia" w:ascii="仿宋_GB2312" w:hAnsi="仿宋_GB2312" w:eastAsia="仿宋_GB2312" w:cs="仿宋_GB2312"/>
          <w:sz w:val="32"/>
          <w:szCs w:val="32"/>
          <w:lang w:val="en-US" w:eastAsia="zh-CN"/>
        </w:rPr>
        <w:t>2024年</w:t>
      </w:r>
      <w:r>
        <w:rPr>
          <w:rFonts w:hint="eastAsia" w:ascii="Times New Roman" w:hAnsi="Times New Roman" w:eastAsia="仿宋_GB2312" w:cs="Times New Roman"/>
          <w:kern w:val="0"/>
          <w:sz w:val="32"/>
          <w:szCs w:val="32"/>
        </w:rPr>
        <w:t>紧密围绕拘留所“三项重点工作”，</w:t>
      </w:r>
      <w:r>
        <w:rPr>
          <w:rFonts w:hint="eastAsia" w:ascii="仿宋_GB2312" w:hAnsi="仿宋_GB2312" w:eastAsia="仿宋_GB2312" w:cs="仿宋_GB2312"/>
          <w:sz w:val="32"/>
          <w:szCs w:val="32"/>
        </w:rPr>
        <w:t>继续保持全国一级拘留所，持续推进监所法治化规范化建设</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社会矛盾化解工作成效显著</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4月底前，高标准全面完成14个拘室卫生间、84余张床铺改造。</w:t>
      </w:r>
      <w:r>
        <w:rPr>
          <w:rFonts w:hint="eastAsia" w:ascii="仿宋_GB2312" w:hAnsi="仿宋_GB2312" w:eastAsia="仿宋_GB2312" w:cs="仿宋_GB2312"/>
          <w:color w:val="000000"/>
          <w:sz w:val="32"/>
          <w:szCs w:val="32"/>
          <w:shd w:val="clear" w:color="auto" w:fill="FFFFFF"/>
          <w:lang w:eastAsia="zh-CN"/>
        </w:rPr>
        <w:t>圆满完成了</w:t>
      </w:r>
      <w:r>
        <w:rPr>
          <w:rFonts w:hint="eastAsia" w:ascii="仿宋_GB2312" w:hAnsi="仿宋_GB2312" w:eastAsia="仿宋_GB2312" w:cs="仿宋_GB2312"/>
          <w:color w:val="000000"/>
          <w:sz w:val="32"/>
          <w:szCs w:val="32"/>
          <w:shd w:val="clear" w:color="auto" w:fill="FFFFFF"/>
          <w:lang w:val="en-US" w:eastAsia="zh-CN"/>
        </w:rPr>
        <w:t>2563</w:t>
      </w:r>
      <w:r>
        <w:rPr>
          <w:rFonts w:hint="eastAsia" w:ascii="仿宋_GB2312" w:hAnsi="仿宋_GB2312" w:eastAsia="仿宋_GB2312" w:cs="仿宋_GB2312"/>
          <w:color w:val="000000"/>
          <w:sz w:val="32"/>
          <w:szCs w:val="32"/>
          <w:shd w:val="clear" w:color="auto" w:fill="FFFFFF"/>
          <w:lang w:eastAsia="zh-CN"/>
        </w:rPr>
        <w:t>人的收拘任务，其中司法拘留</w:t>
      </w:r>
      <w:r>
        <w:rPr>
          <w:rFonts w:hint="eastAsia" w:ascii="仿宋_GB2312" w:hAnsi="仿宋_GB2312" w:eastAsia="仿宋_GB2312" w:cs="仿宋_GB2312"/>
          <w:color w:val="000000"/>
          <w:sz w:val="32"/>
          <w:szCs w:val="32"/>
          <w:shd w:val="clear" w:color="auto" w:fill="FFFFFF"/>
          <w:lang w:val="en-US" w:eastAsia="zh-CN"/>
        </w:rPr>
        <w:t>244</w:t>
      </w:r>
      <w:r>
        <w:rPr>
          <w:rFonts w:hint="eastAsia" w:ascii="仿宋_GB2312" w:hAnsi="仿宋_GB2312" w:eastAsia="仿宋_GB2312" w:cs="仿宋_GB2312"/>
          <w:color w:val="000000"/>
          <w:sz w:val="32"/>
          <w:szCs w:val="32"/>
          <w:shd w:val="clear" w:color="auto" w:fill="FFFFFF"/>
          <w:lang w:eastAsia="zh-CN"/>
        </w:rPr>
        <w:t>人，传染病</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lang w:eastAsia="zh-CN"/>
        </w:rPr>
        <w:t>人。</w:t>
      </w:r>
      <w:r>
        <w:rPr>
          <w:rFonts w:hint="eastAsia" w:ascii="仿宋_GB2312" w:hAnsi="仿宋_GB2312" w:eastAsia="仿宋_GB2312" w:cs="仿宋_GB2312"/>
          <w:sz w:val="32"/>
          <w:szCs w:val="32"/>
        </w:rPr>
        <w:t>成功化解社会矛盾</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余起，挽回经济损失300余万元，获得锦旗5面</w:t>
      </w:r>
      <w:r>
        <w:rPr>
          <w:rFonts w:hint="eastAsia" w:ascii="仿宋_GB2312" w:hAnsi="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2.</w:t>
      </w:r>
      <w:r>
        <w:rPr>
          <w:rFonts w:hint="default" w:ascii="Times New Roman" w:hAnsi="Times New Roman" w:eastAsia="楷体_GB2312" w:cs="楷体_GB2312"/>
          <w:color w:val="000000"/>
          <w:kern w:val="0"/>
          <w:sz w:val="33"/>
          <w:szCs w:val="33"/>
          <w:highlight w:val="none"/>
          <w:shd w:val="clear" w:color="auto" w:fill="FFFFFF"/>
          <w:lang w:val="zh-CN"/>
        </w:rPr>
        <w:t>预算管理</w:t>
      </w:r>
      <w:r>
        <w:rPr>
          <w:rFonts w:hint="eastAsia" w:ascii="Times New Roman" w:hAnsi="Times New Roman" w:eastAsia="楷体_GB2312" w:cs="楷体_GB2312"/>
          <w:color w:val="000000"/>
          <w:kern w:val="0"/>
          <w:sz w:val="33"/>
          <w:szCs w:val="33"/>
          <w:highlight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0" w:firstLineChars="200"/>
        <w:contextualSpacing/>
        <w:jc w:val="both"/>
        <w:textAlignment w:val="auto"/>
        <w:outlineLvl w:val="9"/>
        <w:rPr>
          <w:rFonts w:hint="eastAsia" w:ascii="Times New Roman" w:hAnsi="Times New Roman" w:eastAsia="楷体_GB2312" w:cs="Times New Roman"/>
          <w:b w:val="0"/>
          <w:bCs w:val="0"/>
          <w:color w:val="000000"/>
          <w:kern w:val="0"/>
          <w:sz w:val="33"/>
          <w:szCs w:val="33"/>
          <w:highlight w:val="none"/>
          <w:shd w:val="clear" w:color="auto" w:fill="FFFFFF"/>
          <w:lang w:val="zh-CN" w:eastAsia="zh-CN"/>
        </w:rPr>
      </w:pPr>
      <w:bookmarkStart w:id="5" w:name="OLE_LINK20"/>
      <w:r>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t>（</w:t>
      </w:r>
      <w:bookmarkStart w:id="6" w:name="OLE_LINK19"/>
      <w:r>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t>1）</w:t>
      </w:r>
      <w:bookmarkEnd w:id="5"/>
      <w:bookmarkEnd w:id="6"/>
      <w:r>
        <w:rPr>
          <w:rFonts w:hint="eastAsia" w:ascii="Times New Roman" w:hAnsi="Times New Roman" w:eastAsia="楷体_GB2312" w:cs="Times New Roman"/>
          <w:b w:val="0"/>
          <w:bCs w:val="0"/>
          <w:color w:val="000000"/>
          <w:kern w:val="0"/>
          <w:sz w:val="33"/>
          <w:szCs w:val="33"/>
          <w:highlight w:val="none"/>
          <w:shd w:val="clear" w:color="auto" w:fill="FFFFFF"/>
          <w:lang w:val="zh-CN" w:eastAsia="zh-CN"/>
        </w:rPr>
        <w:t>预算编制质量</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olor w:val="auto"/>
          <w:highlight w:val="none"/>
          <w:lang w:val="en-US" w:eastAsia="zh-CN"/>
        </w:rPr>
      </w:pPr>
      <w:r>
        <w:rPr>
          <w:rFonts w:hint="eastAsia" w:ascii="Times New Roman" w:hAnsi="Times New Roman" w:cs="Times New Roman"/>
          <w:color w:val="auto"/>
          <w:highlight w:val="none"/>
          <w:lang w:val="en-US" w:eastAsia="zh-CN"/>
        </w:rPr>
        <w:t>根据年初预算批复文件</w:t>
      </w:r>
      <w:r>
        <w:rPr>
          <w:rFonts w:hint="eastAsia"/>
          <w:color w:val="auto"/>
          <w:highlight w:val="none"/>
          <w:lang w:val="en-US" w:eastAsia="zh-CN"/>
        </w:rPr>
        <w:t>及2024年1-12月预算可执行情况表。</w:t>
      </w:r>
      <w:r>
        <w:rPr>
          <w:rFonts w:hint="eastAsia" w:ascii="Times New Roman" w:hAnsi="Times New Roman" w:cs="Times New Roman"/>
          <w:color w:val="auto"/>
          <w:highlight w:val="none"/>
          <w:lang w:val="en-US" w:eastAsia="zh-CN"/>
        </w:rPr>
        <w:t>年初预算批复文件</w:t>
      </w:r>
      <w:r>
        <w:rPr>
          <w:rFonts w:hint="eastAsia"/>
          <w:color w:val="auto"/>
          <w:highlight w:val="none"/>
          <w:lang w:val="en-US" w:eastAsia="zh-CN"/>
        </w:rPr>
        <w:t>及2024年1-12月预算可执行情况表。根据《部门整体支出绩效自评打分表》的评分说明本项指标权重8分、得分7.44分。</w:t>
      </w:r>
    </w:p>
    <w:p>
      <w:pPr>
        <w:pStyle w:val="2"/>
        <w:ind w:left="0" w:leftChars="0" w:firstLine="0" w:firstLineChars="0"/>
        <w:rPr>
          <w:rFonts w:hint="eastAsia"/>
          <w:lang w:val="en-US" w:eastAsia="zh-CN"/>
        </w:rPr>
      </w:pPr>
    </w:p>
    <w:tbl>
      <w:tblPr>
        <w:tblStyle w:val="13"/>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62"/>
        <w:gridCol w:w="1704"/>
        <w:gridCol w:w="1704"/>
        <w:gridCol w:w="3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1" w:hRule="atLeast"/>
        </w:trPr>
        <w:tc>
          <w:tcPr>
            <w:tcW w:w="9800"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华文中宋" w:hAnsi="华文中宋" w:eastAsia="华文中宋" w:cs="华文中宋"/>
                <w:i w:val="0"/>
                <w:color w:val="000000"/>
                <w:kern w:val="0"/>
                <w:sz w:val="36"/>
                <w:szCs w:val="3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ind w:firstLine="1440" w:firstLineChars="400"/>
              <w:jc w:val="both"/>
              <w:textAlignment w:val="center"/>
              <w:rPr>
                <w:rFonts w:ascii="华文中宋" w:hAnsi="华文中宋" w:eastAsia="华文中宋" w:cs="华文中宋"/>
                <w:i w:val="0"/>
                <w:color w:val="000000"/>
                <w:sz w:val="36"/>
                <w:szCs w:val="36"/>
                <w:u w:val="none"/>
              </w:rPr>
            </w:pPr>
            <w:r>
              <w:rPr>
                <w:rFonts w:hint="eastAsia" w:ascii="华文中宋" w:hAnsi="华文中宋" w:eastAsia="华文中宋" w:cs="华文中宋"/>
                <w:i w:val="0"/>
                <w:color w:val="000000"/>
                <w:kern w:val="0"/>
                <w:sz w:val="36"/>
                <w:szCs w:val="36"/>
                <w:u w:val="none"/>
                <w:lang w:val="en-US" w:eastAsia="zh-CN" w:bidi="ar"/>
              </w:rPr>
              <w:t>遂宁市拘留所2024年度项目支出情况表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财政拨款预算偏离度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568.15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4"/>
                <w:szCs w:val="24"/>
                <w:u w:val="none"/>
                <w:lang w:val="en-US" w:eastAsia="zh-CN" w:bidi="ar"/>
              </w:rPr>
              <w:t>551.94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预算编制质量行分计算</w:t>
            </w:r>
          </w:p>
        </w:tc>
        <w:tc>
          <w:tcPr>
            <w:tcW w:w="34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(1-财政拨款预算偏离度)*100%*4+(1-资产配置预算偏离度)*100%x1+(1-政府采购预算偏离度）*100%*1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0" w:firstLineChars="200"/>
        <w:contextualSpacing/>
        <w:jc w:val="both"/>
        <w:textAlignment w:val="auto"/>
        <w:outlineLvl w:val="9"/>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pPr>
      <w:bookmarkStart w:id="7" w:name="OLE_LINK38"/>
      <w:r>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t>（2）支出执行进度</w:t>
      </w:r>
    </w:p>
    <w:p>
      <w:pPr>
        <w:keepNext w:val="0"/>
        <w:keepLines w:val="0"/>
        <w:pageBreakBefore w:val="0"/>
        <w:widowControl/>
        <w:numPr>
          <w:ilvl w:val="0"/>
          <w:numId w:val="0"/>
        </w:numPr>
        <w:kinsoku/>
        <w:wordWrap/>
        <w:overflowPunct/>
        <w:topLinePunct w:val="0"/>
        <w:autoSpaceDE/>
        <w:autoSpaceDN/>
        <w:bidi w:val="0"/>
        <w:adjustRightInd/>
        <w:snapToGrid/>
        <w:spacing w:line="576" w:lineRule="atLeast"/>
        <w:ind w:right="0" w:rightChars="0" w:firstLine="640" w:firstLineChars="200"/>
        <w:contextualSpacing/>
        <w:jc w:val="both"/>
        <w:textAlignment w:val="auto"/>
        <w:outlineLvl w:val="9"/>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根据年初预算批复文件及2024年1-12月预算可执行情况表。</w:t>
      </w:r>
      <w:bookmarkStart w:id="8" w:name="OLE_LINK6"/>
      <w:bookmarkStart w:id="9" w:name="OLE_LINK5"/>
      <w:r>
        <w:rPr>
          <w:rFonts w:hint="eastAsia" w:ascii="Times New Roman" w:hAnsi="Times New Roman" w:cs="Times New Roman"/>
          <w:color w:val="auto"/>
          <w:highlight w:val="none"/>
          <w:lang w:val="en-US" w:eastAsia="zh-CN"/>
        </w:rPr>
        <w:t>根据《部门整体支出绩效自评打分表》的评分说明本项指标权重9分、得分</w:t>
      </w:r>
      <w:r>
        <w:rPr>
          <w:rFonts w:hint="eastAsia" w:cs="Times New Roman"/>
          <w:color w:val="auto"/>
          <w:highlight w:val="none"/>
          <w:lang w:val="en-US" w:eastAsia="zh-CN"/>
        </w:rPr>
        <w:t>7.63</w:t>
      </w:r>
      <w:r>
        <w:rPr>
          <w:rFonts w:hint="eastAsia" w:ascii="Times New Roman" w:hAnsi="Times New Roman" w:cs="Times New Roman"/>
          <w:color w:val="auto"/>
          <w:highlight w:val="none"/>
          <w:lang w:val="en-US" w:eastAsia="zh-CN"/>
        </w:rPr>
        <w:t>分。</w:t>
      </w:r>
      <w:bookmarkEnd w:id="7"/>
      <w:bookmarkEnd w:id="8"/>
      <w:r>
        <w:rPr>
          <w:rFonts w:hint="eastAsia" w:ascii="Times New Roman" w:hAnsi="Times New Roman" w:cs="Times New Roman"/>
          <w:color w:val="auto"/>
          <w:highlight w:val="none"/>
          <w:lang w:val="en-US" w:eastAsia="zh-CN"/>
        </w:rPr>
        <w:t>本单位</w:t>
      </w:r>
      <w:bookmarkStart w:id="10" w:name="OLE_LINK22"/>
      <w:r>
        <w:rPr>
          <w:rFonts w:hint="eastAsia" w:ascii="Times New Roman" w:hAnsi="Times New Roman" w:cs="Times New Roman"/>
          <w:color w:val="auto"/>
          <w:highlight w:val="none"/>
          <w:lang w:val="en-US" w:eastAsia="zh-CN"/>
        </w:rPr>
        <w:t>2024年</w:t>
      </w:r>
      <w:bookmarkStart w:id="11" w:name="OLE_LINK23"/>
      <w:r>
        <w:rPr>
          <w:rFonts w:hint="eastAsia" w:ascii="Times New Roman" w:hAnsi="Times New Roman" w:cs="Times New Roman"/>
          <w:color w:val="auto"/>
          <w:highlight w:val="none"/>
          <w:lang w:val="en-US" w:eastAsia="zh-CN"/>
        </w:rPr>
        <w:t>支出执行进度</w:t>
      </w:r>
      <w:bookmarkEnd w:id="10"/>
      <w:bookmarkEnd w:id="11"/>
      <w:r>
        <w:rPr>
          <w:rFonts w:hint="eastAsia" w:ascii="Times New Roman" w:hAnsi="Times New Roman" w:cs="Times New Roman"/>
          <w:color w:val="auto"/>
          <w:highlight w:val="none"/>
          <w:lang w:val="en-US" w:eastAsia="zh-CN"/>
        </w:rPr>
        <w:t>具体如下：</w:t>
      </w:r>
    </w:p>
    <w:bookmarkEnd w:id="9"/>
    <w:tbl>
      <w:tblPr>
        <w:tblStyle w:val="13"/>
        <w:tblW w:w="9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2"/>
        <w:gridCol w:w="813"/>
        <w:gridCol w:w="3236"/>
        <w:gridCol w:w="1366"/>
        <w:gridCol w:w="1009"/>
        <w:gridCol w:w="1025"/>
        <w:gridCol w:w="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15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6"/>
                <w:szCs w:val="36"/>
                <w:u w:val="none"/>
              </w:rPr>
            </w:pPr>
            <w:r>
              <w:rPr>
                <w:rFonts w:hint="eastAsia" w:ascii="华文中宋" w:hAnsi="华文中宋" w:eastAsia="华文中宋" w:cs="华文中宋"/>
                <w:i w:val="0"/>
                <w:color w:val="000000"/>
                <w:kern w:val="0"/>
                <w:sz w:val="36"/>
                <w:szCs w:val="36"/>
                <w:u w:val="none"/>
                <w:lang w:val="en-US" w:eastAsia="zh-CN" w:bidi="ar"/>
              </w:rPr>
              <w:t>遂宁市拘留所2024年度项目支出情况表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812"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813"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3236"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366"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009"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1025"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89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重点任务</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项目类型</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调整预算数</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保证监所安全</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特定目标类</w:t>
            </w:r>
          </w:p>
        </w:tc>
        <w:tc>
          <w:tcPr>
            <w:tcW w:w="3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2022年政法转移资金（公安）</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22.98</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22.98</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16.44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拘留人员伙食费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75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75</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68.98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91.97</w:t>
            </w: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拘留人员医疗费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2.72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2.72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拘留人员衣被费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3.4</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设施设备维修维护费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9.7</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9.7</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9.7</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辅警专项经费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设施设备购置费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2.3</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97.65%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134.38</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134.38</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121.48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90.4%</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0" w:firstLineChars="200"/>
        <w:contextualSpacing/>
        <w:jc w:val="both"/>
        <w:textAlignment w:val="auto"/>
        <w:outlineLvl w:val="9"/>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pPr>
      <w:r>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t>（3）预算年终结余</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highlight w:val="none"/>
          <w:lang w:val="en-US" w:eastAsia="zh-CN"/>
        </w:rPr>
      </w:pPr>
      <w:r>
        <w:rPr>
          <w:rFonts w:hint="eastAsia" w:ascii="Times New Roman" w:hAnsi="Times New Roman" w:cs="Times New Roman"/>
          <w:highlight w:val="none"/>
          <w:lang w:val="en-US" w:eastAsia="zh-CN"/>
        </w:rPr>
        <w:t>根据年初预算批复文件、20</w:t>
      </w:r>
      <w:r>
        <w:rPr>
          <w:rFonts w:hint="eastAsia"/>
          <w:highlight w:val="none"/>
          <w:lang w:val="en-US" w:eastAsia="zh-CN"/>
        </w:rPr>
        <w:t>24年1-12月预算可执行情况表及2024年部门决算表。</w:t>
      </w:r>
      <w:r>
        <w:rPr>
          <w:rFonts w:hint="eastAsia" w:cs="Times New Roman"/>
          <w:sz w:val="33"/>
          <w:szCs w:val="33"/>
          <w:lang w:val="en-US" w:eastAsia="zh-CN"/>
        </w:rPr>
        <w:t>遂宁市拘留所</w:t>
      </w:r>
      <w:r>
        <w:rPr>
          <w:rFonts w:hint="eastAsia" w:ascii="Times New Roman" w:hAnsi="Times New Roman" w:cs="Times New Roman"/>
          <w:sz w:val="33"/>
          <w:szCs w:val="33"/>
          <w:lang w:val="en-US" w:eastAsia="zh-CN"/>
        </w:rPr>
        <w:t>202</w:t>
      </w:r>
      <w:r>
        <w:rPr>
          <w:rFonts w:hint="eastAsia" w:cs="Times New Roman"/>
          <w:sz w:val="33"/>
          <w:szCs w:val="33"/>
          <w:lang w:val="en-US" w:eastAsia="zh-CN"/>
        </w:rPr>
        <w:t>4</w:t>
      </w:r>
      <w:r>
        <w:rPr>
          <w:rFonts w:hint="eastAsia" w:ascii="Times New Roman" w:hAnsi="Times New Roman" w:cs="Times New Roman"/>
          <w:sz w:val="33"/>
          <w:szCs w:val="33"/>
          <w:lang w:val="en-US" w:eastAsia="zh-CN"/>
        </w:rPr>
        <w:t>年</w:t>
      </w:r>
      <w:r>
        <w:rPr>
          <w:rFonts w:hint="eastAsia" w:cs="Times New Roman"/>
          <w:sz w:val="33"/>
          <w:szCs w:val="33"/>
          <w:lang w:val="en-US" w:eastAsia="zh-CN"/>
        </w:rPr>
        <w:t>结余66.91万元，其中60.37万元回收财政，</w:t>
      </w:r>
      <w:r>
        <w:rPr>
          <w:rFonts w:hint="default" w:ascii="Times New Roman" w:hAnsi="Times New Roman" w:eastAsia="仿宋_GB2312" w:cs="Times New Roman"/>
          <w:b w:val="0"/>
          <w:bCs w:val="0"/>
          <w:color w:val="000000"/>
          <w:kern w:val="0"/>
          <w:sz w:val="33"/>
          <w:szCs w:val="33"/>
          <w:highlight w:val="none"/>
          <w:shd w:val="clear" w:color="auto" w:fill="FFFFFF"/>
          <w:lang w:val="en-US" w:eastAsia="zh-CN"/>
        </w:rPr>
        <w:t>结转</w:t>
      </w:r>
      <w:r>
        <w:rPr>
          <w:rFonts w:hint="eastAsia" w:cs="Times New Roman"/>
          <w:b w:val="0"/>
          <w:bCs w:val="0"/>
          <w:color w:val="000000"/>
          <w:kern w:val="0"/>
          <w:sz w:val="33"/>
          <w:szCs w:val="33"/>
          <w:highlight w:val="none"/>
          <w:shd w:val="clear" w:color="auto" w:fill="FFFFFF"/>
          <w:lang w:val="en-US" w:eastAsia="zh-CN"/>
        </w:rPr>
        <w:t>中省政法资金6.54万元</w:t>
      </w:r>
      <w:r>
        <w:rPr>
          <w:rFonts w:hint="default" w:ascii="Times New Roman" w:hAnsi="Times New Roman" w:eastAsia="仿宋_GB2312" w:cs="Times New Roman"/>
          <w:b w:val="0"/>
          <w:bCs w:val="0"/>
          <w:color w:val="000000"/>
          <w:kern w:val="0"/>
          <w:sz w:val="33"/>
          <w:szCs w:val="33"/>
          <w:highlight w:val="none"/>
          <w:shd w:val="clear" w:color="auto" w:fill="FFFFFF"/>
          <w:lang w:val="en-US" w:eastAsia="zh-CN"/>
        </w:rPr>
        <w:t>。</w:t>
      </w:r>
      <w:bookmarkStart w:id="12" w:name="OLE_LINK9"/>
      <w:r>
        <w:rPr>
          <w:rFonts w:hint="eastAsia" w:ascii="Times New Roman" w:hAnsi="Times New Roman" w:cs="Times New Roman"/>
          <w:color w:val="auto"/>
          <w:highlight w:val="none"/>
          <w:lang w:val="en-US" w:eastAsia="zh-CN"/>
        </w:rPr>
        <w:t>根据《部门整体支出绩效自评打分表》的评分说明本项指标权重</w:t>
      </w:r>
      <w:r>
        <w:rPr>
          <w:rFonts w:hint="eastAsia" w:cs="Times New Roman"/>
          <w:color w:val="auto"/>
          <w:highlight w:val="none"/>
          <w:lang w:val="en-US" w:eastAsia="zh-CN"/>
        </w:rPr>
        <w:t>8</w:t>
      </w:r>
      <w:r>
        <w:rPr>
          <w:rFonts w:hint="eastAsia" w:ascii="Times New Roman" w:hAnsi="Times New Roman" w:cs="Times New Roman"/>
          <w:color w:val="auto"/>
          <w:highlight w:val="none"/>
          <w:lang w:val="en-US" w:eastAsia="zh-CN"/>
        </w:rPr>
        <w:t>分、得分</w:t>
      </w:r>
      <w:r>
        <w:rPr>
          <w:rFonts w:hint="eastAsia" w:cs="Times New Roman"/>
          <w:color w:val="auto"/>
          <w:highlight w:val="none"/>
          <w:lang w:val="en-US" w:eastAsia="zh-CN"/>
        </w:rPr>
        <w:t>7.63</w:t>
      </w:r>
      <w:r>
        <w:rPr>
          <w:rFonts w:hint="eastAsia" w:ascii="Times New Roman" w:hAnsi="Times New Roman" w:cs="Times New Roman"/>
          <w:color w:val="auto"/>
          <w:highlight w:val="none"/>
          <w:lang w:val="en-US" w:eastAsia="zh-CN"/>
        </w:rPr>
        <w:t>分。</w:t>
      </w:r>
    </w:p>
    <w:bookmarkEnd w:id="12"/>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0" w:firstLineChars="200"/>
        <w:contextualSpacing/>
        <w:jc w:val="both"/>
        <w:textAlignment w:val="auto"/>
        <w:outlineLvl w:val="9"/>
        <w:rPr>
          <w:rFonts w:hint="default" w:ascii="Times New Roman" w:hAnsi="Times New Roman" w:eastAsia="楷体_GB2312" w:cs="Times New Roman"/>
          <w:b w:val="0"/>
          <w:bCs w:val="0"/>
          <w:color w:val="000000"/>
          <w:kern w:val="0"/>
          <w:sz w:val="33"/>
          <w:szCs w:val="33"/>
          <w:highlight w:val="none"/>
          <w:shd w:val="clear" w:color="auto" w:fill="FFFFFF"/>
          <w:lang w:val="en-US" w:eastAsia="zh-CN"/>
        </w:rPr>
      </w:pPr>
      <w:bookmarkStart w:id="13" w:name="OLE_LINK26"/>
      <w:r>
        <w:rPr>
          <w:rFonts w:hint="eastAsia" w:eastAsia="楷体_GB2312" w:cs="Times New Roman"/>
          <w:b w:val="0"/>
          <w:bCs w:val="0"/>
          <w:color w:val="000000"/>
          <w:kern w:val="0"/>
          <w:sz w:val="33"/>
          <w:szCs w:val="33"/>
          <w:highlight w:val="none"/>
          <w:shd w:val="clear" w:color="auto" w:fill="FFFFFF"/>
          <w:lang w:val="en-US" w:eastAsia="zh-CN"/>
        </w:rPr>
        <w:t>（4）</w:t>
      </w:r>
      <w:r>
        <w:rPr>
          <w:rFonts w:hint="default" w:ascii="Times New Roman" w:hAnsi="Times New Roman" w:eastAsia="楷体_GB2312" w:cs="Times New Roman"/>
          <w:b w:val="0"/>
          <w:bCs w:val="0"/>
          <w:color w:val="000000"/>
          <w:kern w:val="0"/>
          <w:sz w:val="33"/>
          <w:szCs w:val="33"/>
          <w:highlight w:val="none"/>
          <w:shd w:val="clear" w:color="auto" w:fill="FFFFFF"/>
          <w:lang w:val="en-US" w:eastAsia="zh-CN"/>
        </w:rPr>
        <w:t>严控一般性支出</w:t>
      </w:r>
      <w:bookmarkEnd w:id="13"/>
    </w:p>
    <w:tbl>
      <w:tblPr>
        <w:tblStyle w:val="13"/>
        <w:tblpPr w:leftFromText="180" w:rightFromText="180" w:vertAnchor="text" w:horzAnchor="page" w:tblpX="1588" w:tblpY="2610"/>
        <w:tblOverlap w:val="never"/>
        <w:tblW w:w="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576"/>
        <w:gridCol w:w="1046"/>
        <w:gridCol w:w="793"/>
        <w:gridCol w:w="1046"/>
        <w:gridCol w:w="793"/>
        <w:gridCol w:w="1046"/>
        <w:gridCol w:w="1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994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28"/>
                <w:szCs w:val="28"/>
                <w:u w:val="none"/>
              </w:rPr>
            </w:pPr>
            <w:r>
              <w:rPr>
                <w:rFonts w:hint="eastAsia" w:ascii="华文中宋" w:hAnsi="华文中宋" w:eastAsia="华文中宋" w:cs="华文中宋"/>
                <w:i w:val="0"/>
                <w:color w:val="000000"/>
                <w:kern w:val="0"/>
                <w:sz w:val="28"/>
                <w:szCs w:val="28"/>
                <w:u w:val="none"/>
                <w:lang w:val="en-US" w:eastAsia="zh-CN" w:bidi="ar"/>
              </w:rPr>
              <w:t>遂宁市拘留所2024年度严控一般性支出表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57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8"/>
                <w:szCs w:val="28"/>
                <w:u w:val="none"/>
              </w:rPr>
            </w:pPr>
          </w:p>
        </w:tc>
        <w:tc>
          <w:tcPr>
            <w:tcW w:w="104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8"/>
                <w:szCs w:val="28"/>
                <w:u w:val="none"/>
              </w:rPr>
            </w:pPr>
          </w:p>
        </w:tc>
        <w:tc>
          <w:tcPr>
            <w:tcW w:w="79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8"/>
                <w:szCs w:val="28"/>
                <w:u w:val="none"/>
              </w:rPr>
            </w:pPr>
          </w:p>
        </w:tc>
        <w:tc>
          <w:tcPr>
            <w:tcW w:w="104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4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5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一般性支出指标</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2023年</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2024年</w:t>
            </w:r>
          </w:p>
        </w:tc>
        <w:tc>
          <w:tcPr>
            <w:tcW w:w="2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较上年增减变化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5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华文仿宋" w:hAnsi="华文仿宋" w:eastAsia="华文仿宋" w:cs="华文仿宋"/>
                <w:i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年初预算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决算数</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年初预算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决算数</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年初预算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一、“三公”经费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3.5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0.67</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0.83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-71.43%</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23.88%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(一)公务接待费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0.24</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-100.00%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(二)因公出国(境)</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(三)公务用车购置及运行维护费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0.43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0.83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-66.67%</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93.02%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其中:1.公务用车购置费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 xml:space="preserve">        2.公务用车维护费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0.43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0.83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-66.67%</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93.02%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二、会议费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三、培训费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lang w:val="en-US" w:eastAsia="zh-CN"/>
              </w:rPr>
            </w:pPr>
            <w:r>
              <w:rPr>
                <w:rFonts w:hint="eastAsia" w:ascii="华文仿宋" w:hAnsi="华文仿宋" w:eastAsia="华文仿宋" w:cs="华文仿宋"/>
                <w:i w:val="0"/>
                <w:color w:val="000000"/>
                <w:sz w:val="22"/>
                <w:szCs w:val="22"/>
                <w:u w:val="none"/>
                <w:lang w:val="en-US" w:eastAsia="zh-CN"/>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lang w:val="en-US" w:eastAsia="zh-CN"/>
              </w:rPr>
            </w:pPr>
            <w:r>
              <w:rPr>
                <w:rFonts w:hint="eastAsia" w:ascii="华文仿宋" w:hAnsi="华文仿宋" w:eastAsia="华文仿宋" w:cs="华文仿宋"/>
                <w:i w:val="0"/>
                <w:color w:val="000000"/>
                <w:sz w:val="22"/>
                <w:szCs w:val="22"/>
                <w:u w:val="none"/>
                <w:lang w:val="en-US" w:eastAsia="zh-CN"/>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lang w:val="en-US" w:eastAsia="zh-CN"/>
              </w:rPr>
            </w:pPr>
            <w:r>
              <w:rPr>
                <w:rFonts w:hint="eastAsia" w:ascii="华文仿宋" w:hAnsi="华文仿宋" w:eastAsia="华文仿宋" w:cs="华文仿宋"/>
                <w:i w:val="0"/>
                <w:color w:val="000000"/>
                <w:sz w:val="22"/>
                <w:szCs w:val="22"/>
                <w:u w:val="none"/>
                <w:lang w:val="en-US" w:eastAsia="zh-CN"/>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四、差旅费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eastAsia="zh-CN"/>
              </w:rPr>
            </w:pPr>
            <w:r>
              <w:rPr>
                <w:rFonts w:hint="eastAsia" w:ascii="华文仿宋" w:hAnsi="华文仿宋" w:eastAsia="华文仿宋" w:cs="华文仿宋"/>
                <w:i w:val="0"/>
                <w:color w:val="000000"/>
                <w:sz w:val="22"/>
                <w:szCs w:val="22"/>
                <w:u w:val="none"/>
                <w:lang w:val="en-US" w:eastAsia="zh-CN"/>
              </w:rPr>
              <w:t>1.98</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eastAsia="zh-CN"/>
              </w:rPr>
            </w:pPr>
            <w:r>
              <w:rPr>
                <w:rFonts w:hint="eastAsia" w:ascii="华文仿宋" w:hAnsi="华文仿宋" w:eastAsia="华文仿宋" w:cs="华文仿宋"/>
                <w:i w:val="0"/>
                <w:color w:val="000000"/>
                <w:sz w:val="22"/>
                <w:szCs w:val="22"/>
                <w:u w:val="none"/>
                <w:lang w:val="en-US" w:eastAsia="zh-CN"/>
              </w:rPr>
              <w:t>1.39</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-29.80%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五、办节办展费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六、办公设备购置费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七、信息网络及软件购置更新</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（一)信息网络费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（二)信息化软硬件维护费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（三)软件购置费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0.00%</w:t>
            </w:r>
          </w:p>
        </w:tc>
      </w:tr>
    </w:tbl>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highlight w:val="none"/>
          <w:lang w:val="en-US" w:eastAsia="zh-CN"/>
        </w:rPr>
      </w:pPr>
      <w:r>
        <w:rPr>
          <w:rFonts w:hint="eastAsia" w:ascii="Times New Roman" w:hAnsi="Times New Roman" w:cs="Times New Roman"/>
          <w:color w:val="auto"/>
          <w:highlight w:val="none"/>
          <w:lang w:val="en-US" w:eastAsia="zh-CN"/>
        </w:rPr>
        <w:t>根据《部门整体支出绩效自评打分表》的评分说明本项指标权重</w:t>
      </w:r>
      <w:r>
        <w:rPr>
          <w:rFonts w:hint="eastAsia" w:cs="Times New Roman"/>
          <w:color w:val="auto"/>
          <w:highlight w:val="none"/>
          <w:lang w:val="en-US" w:eastAsia="zh-CN"/>
        </w:rPr>
        <w:t>6</w:t>
      </w:r>
      <w:r>
        <w:rPr>
          <w:rFonts w:hint="eastAsia" w:ascii="Times New Roman" w:hAnsi="Times New Roman" w:cs="Times New Roman"/>
          <w:color w:val="auto"/>
          <w:highlight w:val="none"/>
          <w:lang w:val="en-US" w:eastAsia="zh-CN"/>
        </w:rPr>
        <w:t>分、得分</w:t>
      </w:r>
      <w:r>
        <w:rPr>
          <w:rFonts w:hint="eastAsia" w:cs="Times New Roman"/>
          <w:color w:val="auto"/>
          <w:highlight w:val="none"/>
          <w:lang w:val="en-US" w:eastAsia="zh-CN"/>
        </w:rPr>
        <w:t>4</w:t>
      </w:r>
      <w:r>
        <w:rPr>
          <w:rFonts w:hint="eastAsia" w:ascii="Times New Roman" w:hAnsi="Times New Roman" w:cs="Times New Roman"/>
          <w:color w:val="auto"/>
          <w:highlight w:val="none"/>
          <w:lang w:val="en-US" w:eastAsia="zh-CN"/>
        </w:rPr>
        <w:t>分。</w:t>
      </w:r>
    </w:p>
    <w:p>
      <w:pPr>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zh-CN"/>
        </w:rPr>
        <w:t>资产管理。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30" w:firstLineChars="100"/>
        <w:contextualSpacing/>
        <w:jc w:val="both"/>
        <w:textAlignment w:val="auto"/>
        <w:outlineLvl w:val="9"/>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pPr>
      <w:r>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t>（1）人均资产变化率</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640" w:firstLineChars="200"/>
        <w:contextualSpacing/>
        <w:jc w:val="both"/>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根据2024年部门决算报表、部门预算报表及部门行政事业性国有资产报表资料，</w:t>
      </w:r>
      <w:bookmarkStart w:id="14" w:name="OLE_LINK28"/>
      <w:r>
        <w:rPr>
          <w:rFonts w:hint="eastAsia" w:ascii="Times New Roman" w:hAnsi="Times New Roman" w:cs="Times New Roman"/>
          <w:highlight w:val="none"/>
          <w:lang w:val="en-US" w:eastAsia="zh-CN"/>
        </w:rPr>
        <w:t>本单位年末固定资产净值</w:t>
      </w:r>
      <w:r>
        <w:rPr>
          <w:rFonts w:hint="eastAsia" w:cs="Times New Roman"/>
          <w:highlight w:val="none"/>
          <w:lang w:val="en-US" w:eastAsia="zh-CN"/>
        </w:rPr>
        <w:t>61.01</w:t>
      </w:r>
      <w:r>
        <w:rPr>
          <w:rFonts w:hint="eastAsia" w:ascii="Times New Roman" w:hAnsi="Times New Roman" w:cs="Times New Roman"/>
          <w:highlight w:val="none"/>
          <w:lang w:val="en-US" w:eastAsia="zh-CN"/>
        </w:rPr>
        <w:t>万元，无形资产净值</w:t>
      </w:r>
      <w:r>
        <w:rPr>
          <w:rFonts w:hint="eastAsia" w:cs="Times New Roman"/>
          <w:highlight w:val="none"/>
          <w:lang w:val="en-US" w:eastAsia="zh-CN"/>
        </w:rPr>
        <w:t>0</w:t>
      </w:r>
      <w:r>
        <w:rPr>
          <w:rFonts w:hint="eastAsia" w:ascii="Times New Roman" w:hAnsi="Times New Roman" w:cs="Times New Roman"/>
          <w:highlight w:val="none"/>
          <w:lang w:val="en-US" w:eastAsia="zh-CN"/>
        </w:rPr>
        <w:t>万元，本年度人均资产变化率</w:t>
      </w:r>
      <w:r>
        <w:rPr>
          <w:rFonts w:hint="eastAsia" w:cs="Times New Roman"/>
          <w:highlight w:val="none"/>
          <w:lang w:val="en-US" w:eastAsia="zh-CN"/>
        </w:rPr>
        <w:t>-49.82</w:t>
      </w:r>
      <w:r>
        <w:rPr>
          <w:rFonts w:hint="eastAsia" w:ascii="Times New Roman" w:hAnsi="Times New Roman" w:cs="Times New Roman"/>
          <w:highlight w:val="none"/>
          <w:lang w:val="en-US" w:eastAsia="zh-CN"/>
        </w:rPr>
        <w:t>%。</w:t>
      </w:r>
    </w:p>
    <w:bookmarkEnd w:id="14"/>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color w:val="auto"/>
          <w:highlight w:val="none"/>
          <w:lang w:val="en-US" w:eastAsia="zh-CN"/>
        </w:rPr>
      </w:pPr>
    </w:p>
    <w:tbl>
      <w:tblPr>
        <w:tblStyle w:val="13"/>
        <w:tblW w:w="9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92"/>
        <w:gridCol w:w="1192"/>
        <w:gridCol w:w="1192"/>
        <w:gridCol w:w="1192"/>
        <w:gridCol w:w="1192"/>
        <w:gridCol w:w="1192"/>
        <w:gridCol w:w="1192"/>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2"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年份</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固定资产净值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无形资产净值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总资产</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编制内实有人数</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人均资产</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人均资产变化率</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人均资产增长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93.96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30" w:firstLineChars="100"/>
        <w:contextualSpacing/>
        <w:jc w:val="both"/>
        <w:textAlignment w:val="auto"/>
        <w:outlineLvl w:val="9"/>
        <w:rPr>
          <w:rFonts w:hint="default" w:ascii="Times New Roman" w:hAnsi="Times New Roman" w:eastAsia="楷体_GB2312" w:cs="Times New Roman"/>
          <w:b w:val="0"/>
          <w:bCs w:val="0"/>
          <w:color w:val="000000"/>
          <w:kern w:val="0"/>
          <w:sz w:val="33"/>
          <w:szCs w:val="33"/>
          <w:highlight w:val="none"/>
          <w:shd w:val="clear" w:color="auto" w:fill="FFFFFF"/>
          <w:lang w:val="en-US" w:eastAsia="zh-CN"/>
        </w:rPr>
      </w:pPr>
      <w:r>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t>（2）资产利用率</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40" w:firstLineChars="200"/>
        <w:contextualSpacing/>
        <w:jc w:val="both"/>
        <w:textAlignment w:val="auto"/>
        <w:outlineLvl w:val="9"/>
        <w:rPr>
          <w:rFonts w:hint="default"/>
          <w:highlight w:val="none"/>
          <w:lang w:val="en-US" w:eastAsia="zh-CN"/>
        </w:rPr>
      </w:pPr>
      <w:r>
        <w:rPr>
          <w:rFonts w:hint="eastAsia"/>
          <w:highlight w:val="none"/>
          <w:lang w:val="en-US" w:eastAsia="zh-CN"/>
        </w:rPr>
        <w:t>根据遂宁市拘留所截至2024年12月31日本单位资产93.96万元，所有资产均可使用，暂无资产利用率。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30" w:firstLineChars="100"/>
        <w:contextualSpacing/>
        <w:jc w:val="both"/>
        <w:textAlignment w:val="auto"/>
        <w:outlineLvl w:val="9"/>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pPr>
      <w:r>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t>（3）资产盘活率</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40" w:firstLineChars="200"/>
        <w:contextualSpacing/>
        <w:jc w:val="both"/>
        <w:textAlignment w:val="auto"/>
        <w:outlineLvl w:val="9"/>
        <w:rPr>
          <w:rFonts w:hint="eastAsia"/>
          <w:highlight w:val="none"/>
          <w:lang w:val="en-US" w:eastAsia="zh-CN"/>
        </w:rPr>
      </w:pPr>
      <w:r>
        <w:rPr>
          <w:rFonts w:hint="eastAsia"/>
          <w:highlight w:val="none"/>
          <w:lang w:val="en-US" w:eastAsia="zh-CN"/>
        </w:rPr>
        <w:t>根据遂宁市拘留所截至2024年12月31日固定资产卡片明细数据，</w:t>
      </w:r>
      <w:r>
        <w:rPr>
          <w:rFonts w:hint="eastAsia" w:ascii="Times New Roman" w:hAnsi="Times New Roman" w:cs="Times New Roman"/>
          <w:color w:val="auto"/>
          <w:highlight w:val="none"/>
          <w:lang w:val="en-US" w:eastAsia="zh-CN"/>
        </w:rPr>
        <w:t>2024年邀请第三方专业公司对全所资产进行全面清理盘点，建立了资产管理台账，对历史遗留问题进行梳理形成了报告。</w:t>
      </w:r>
      <w:r>
        <w:rPr>
          <w:rFonts w:hint="eastAsia"/>
          <w:highlight w:val="none"/>
          <w:lang w:val="en-US" w:eastAsia="zh-CN"/>
        </w:rPr>
        <w:t>2024年</w:t>
      </w:r>
      <w:r>
        <w:rPr>
          <w:rFonts w:hint="eastAsia"/>
          <w:highlight w:val="none"/>
          <w:lang w:val="zh-CN" w:eastAsia="zh-CN"/>
        </w:rPr>
        <w:t>单位</w:t>
      </w:r>
      <w:r>
        <w:rPr>
          <w:rFonts w:hint="eastAsia"/>
          <w:highlight w:val="none"/>
          <w:lang w:val="en-US" w:eastAsia="zh-CN"/>
        </w:rPr>
        <w:t>无</w:t>
      </w:r>
      <w:r>
        <w:rPr>
          <w:rFonts w:hint="eastAsia"/>
          <w:highlight w:val="none"/>
          <w:lang w:val="zh-CN" w:eastAsia="zh-CN"/>
        </w:rPr>
        <w:t>闲置资产占比变化率</w:t>
      </w:r>
      <w:r>
        <w:rPr>
          <w:rFonts w:hint="eastAsia"/>
          <w:highlight w:val="none"/>
          <w:lang w:val="en-US" w:eastAsia="zh-CN"/>
        </w:rPr>
        <w:t>，根据《部门整体</w:t>
      </w:r>
      <w:r>
        <w:rPr>
          <w:rFonts w:hint="eastAsia"/>
          <w:highlight w:val="none"/>
          <w:lang w:val="en-US" w:eastAsia="zh-CN"/>
        </w:rPr>
        <w:t>支出绩效自评打分表》的评分说明本项指标权重3分、得分3分。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eastAsia="楷体_GB2312" w:cs="楷体_GB2312"/>
          <w:color w:val="000000"/>
          <w:kern w:val="0"/>
          <w:sz w:val="33"/>
          <w:szCs w:val="33"/>
          <w:highlight w:val="none"/>
          <w:shd w:val="clear" w:color="auto" w:fill="FFFFFF"/>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663" w:firstLineChars="200"/>
        <w:contextualSpacing/>
        <w:jc w:val="both"/>
        <w:textAlignment w:val="auto"/>
        <w:outlineLvl w:val="9"/>
        <w:rPr>
          <w:rFonts w:hint="eastAsia" w:ascii="Times New Roman" w:hAnsi="Times New Roman" w:cs="Times New Roman"/>
          <w:highlight w:val="none"/>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采购管理</w:t>
      </w:r>
      <w:r>
        <w:rPr>
          <w:rFonts w:hint="eastAsia" w:ascii="Times New Roman" w:hAnsi="Times New Roman" w:eastAsia="楷体_GB2312" w:cs="Times New Roman"/>
          <w:b/>
          <w:bCs/>
          <w:color w:val="000000"/>
          <w:kern w:val="0"/>
          <w:sz w:val="33"/>
          <w:szCs w:val="33"/>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30" w:firstLineChars="100"/>
        <w:contextualSpacing/>
        <w:jc w:val="both"/>
        <w:textAlignment w:val="auto"/>
        <w:outlineLvl w:val="9"/>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pPr>
      <w:r>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t>（1）支持中小企业发展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cs="Times New Roman"/>
          <w:highlight w:val="none"/>
          <w:lang w:val="en-US" w:eastAsia="zh-CN"/>
        </w:rPr>
      </w:pPr>
      <w:r>
        <w:rPr>
          <w:rFonts w:hint="eastAsia"/>
          <w:highlight w:val="none"/>
          <w:lang w:val="en-US" w:eastAsia="zh-CN"/>
        </w:rPr>
        <w:t>本单位2024年采购共计2.3万元，其</w:t>
      </w:r>
      <w:r>
        <w:rPr>
          <w:rFonts w:hint="eastAsia" w:ascii="Times New Roman" w:hAnsi="Times New Roman" w:cs="Times New Roman"/>
          <w:highlight w:val="none"/>
          <w:lang w:val="en-US" w:eastAsia="zh-CN"/>
        </w:rPr>
        <w:t>中，面向小微企业采购</w:t>
      </w:r>
      <w:r>
        <w:rPr>
          <w:rFonts w:hint="eastAsia" w:cs="Times New Roman"/>
          <w:highlight w:val="none"/>
          <w:lang w:val="en-US" w:eastAsia="zh-CN"/>
        </w:rPr>
        <w:t>2.3</w:t>
      </w:r>
      <w:r>
        <w:rPr>
          <w:rFonts w:hint="eastAsia" w:ascii="Times New Roman" w:hAnsi="Times New Roman" w:cs="Times New Roman"/>
          <w:highlight w:val="none"/>
          <w:lang w:val="en-US" w:eastAsia="zh-CN"/>
        </w:rPr>
        <w:t>万元，占</w:t>
      </w:r>
      <w:r>
        <w:rPr>
          <w:rFonts w:hint="eastAsia" w:cs="Times New Roman"/>
          <w:highlight w:val="none"/>
          <w:lang w:val="en-US" w:eastAsia="zh-CN"/>
        </w:rPr>
        <w:t>100</w:t>
      </w:r>
      <w:r>
        <w:rPr>
          <w:rFonts w:hint="eastAsia" w:ascii="Times New Roman" w:hAnsi="Times New Roman" w:cs="Times New Roman"/>
          <w:highlight w:val="none"/>
          <w:lang w:val="en-US" w:eastAsia="zh-CN"/>
        </w:rPr>
        <w:t>%。符合财政部工业和信息化部《关于印发〈政府采购促进中小企业发展管理办法〉的通知》（财库〔2020〕46号）有关要求。</w:t>
      </w:r>
      <w:r>
        <w:rPr>
          <w:rFonts w:hint="eastAsia"/>
          <w:highlight w:val="none"/>
          <w:lang w:val="en-US" w:eastAsia="zh-CN"/>
        </w:rPr>
        <w:t>根据《部门整体支出绩效自评打分表》的评分说明本项指标权重3分、得分3分。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30" w:firstLineChars="100"/>
        <w:contextualSpacing/>
        <w:jc w:val="both"/>
        <w:textAlignment w:val="auto"/>
        <w:outlineLvl w:val="9"/>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pPr>
      <w:r>
        <w:rPr>
          <w:rFonts w:hint="eastAsia" w:ascii="Times New Roman" w:hAnsi="Times New Roman" w:eastAsia="楷体_GB2312" w:cs="Times New Roman"/>
          <w:b w:val="0"/>
          <w:bCs w:val="0"/>
          <w:color w:val="000000"/>
          <w:kern w:val="0"/>
          <w:sz w:val="33"/>
          <w:szCs w:val="33"/>
          <w:highlight w:val="none"/>
          <w:shd w:val="clear" w:color="auto" w:fill="FFFFFF"/>
          <w:lang w:val="en-US" w:eastAsia="zh-CN"/>
        </w:rPr>
        <w:t>（2）采购执行率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20" w:firstLineChars="100"/>
        <w:contextualSpacing/>
        <w:jc w:val="both"/>
        <w:textAlignment w:val="auto"/>
        <w:outlineLvl w:val="9"/>
        <w:rPr>
          <w:rFonts w:hint="eastAsia"/>
          <w:lang w:val="en-US" w:eastAsia="zh-CN"/>
        </w:rPr>
      </w:pPr>
      <w:r>
        <w:rPr>
          <w:rFonts w:hint="eastAsia" w:ascii="Times New Roman" w:hAnsi="Times New Roman" w:cs="Times New Roman"/>
          <w:highlight w:val="none"/>
          <w:lang w:val="en-US" w:eastAsia="zh-CN"/>
        </w:rPr>
        <w:t>根据《部门整体支出绩效自评打分表》的评分说明本项指标权重3分、得分3分。本</w:t>
      </w:r>
      <w:r>
        <w:rPr>
          <w:rFonts w:hint="eastAsia" w:cs="Times New Roman"/>
          <w:highlight w:val="none"/>
          <w:lang w:val="en-US" w:eastAsia="zh-CN"/>
        </w:rPr>
        <w:t>单位</w:t>
      </w:r>
      <w:r>
        <w:rPr>
          <w:rFonts w:hint="eastAsia" w:ascii="Times New Roman" w:hAnsi="Times New Roman" w:cs="Times New Roman"/>
          <w:highlight w:val="none"/>
          <w:lang w:val="en-US" w:eastAsia="zh-CN"/>
        </w:rPr>
        <w:t>2024年采购执行率100%。</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p>
    <w:p>
      <w:pPr>
        <w:numPr>
          <w:ilvl w:val="0"/>
          <w:numId w:val="0"/>
        </w:numPr>
        <w:spacing w:line="360" w:lineRule="auto"/>
        <w:ind w:firstLine="663" w:firstLineChars="200"/>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5.</w:t>
      </w:r>
      <w:r>
        <w:rPr>
          <w:rFonts w:hint="default" w:ascii="Times New Roman" w:hAnsi="Times New Roman" w:eastAsia="楷体_GB2312" w:cs="Times New Roman"/>
          <w:b/>
          <w:bCs/>
          <w:color w:val="000000"/>
          <w:kern w:val="0"/>
          <w:sz w:val="33"/>
          <w:szCs w:val="33"/>
          <w:highlight w:val="none"/>
          <w:shd w:val="clear" w:color="auto" w:fill="FFFFFF"/>
          <w:lang w:val="zh-CN" w:eastAsia="zh-CN"/>
        </w:rPr>
        <w:t>财务管理</w:t>
      </w:r>
      <w:r>
        <w:rPr>
          <w:rFonts w:hint="eastAsia" w:ascii="Times New Roman" w:hAnsi="Times New Roman" w:eastAsia="楷体_GB2312" w:cs="Times New Roman"/>
          <w:b/>
          <w:bCs/>
          <w:color w:val="000000"/>
          <w:kern w:val="0"/>
          <w:sz w:val="33"/>
          <w:szCs w:val="33"/>
          <w:highlight w:val="none"/>
          <w:shd w:val="clear" w:color="auto" w:fill="FFFFFF"/>
          <w:lang w:val="zh-CN" w:eastAsia="zh-CN"/>
        </w:rPr>
        <w:t>。</w:t>
      </w:r>
      <w:r>
        <w:rPr>
          <w:rFonts w:hint="eastAsia" w:ascii="Times New Roman" w:hAnsi="Times New Roman" w:cs="Times New Roman"/>
          <w:highlight w:val="none"/>
          <w:lang w:val="en-US" w:eastAsia="zh-CN"/>
        </w:rPr>
        <w:t>本单位制定了</w:t>
      </w:r>
      <w:r>
        <w:rPr>
          <w:rFonts w:hint="default" w:ascii="Times New Roman" w:hAnsi="Times New Roman" w:cs="Times New Roman"/>
          <w:highlight w:val="none"/>
          <w:lang w:val="en-US" w:eastAsia="zh-CN"/>
        </w:rPr>
        <w:t>《遂宁市</w:t>
      </w:r>
      <w:r>
        <w:rPr>
          <w:rFonts w:hint="eastAsia" w:ascii="Times New Roman" w:hAnsi="Times New Roman" w:cs="Times New Roman"/>
          <w:highlight w:val="none"/>
          <w:lang w:val="en-US" w:eastAsia="zh-CN"/>
        </w:rPr>
        <w:t>拘留所内控制度及流程</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《遂宁市</w:t>
      </w:r>
      <w:r>
        <w:rPr>
          <w:rFonts w:hint="eastAsia" w:ascii="Times New Roman" w:hAnsi="Times New Roman" w:cs="Times New Roman"/>
          <w:highlight w:val="none"/>
          <w:lang w:val="en-US" w:eastAsia="zh-CN"/>
        </w:rPr>
        <w:t>拘留所财务管理</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等制度，财务工作严格执行有关制度执行。不涉及扣分。</w:t>
      </w:r>
      <w:r>
        <w:rPr>
          <w:rFonts w:hint="eastAsia"/>
          <w:color w:val="auto"/>
          <w:highlight w:val="none"/>
          <w:lang w:val="en-US" w:eastAsia="zh-CN"/>
        </w:rPr>
        <w:t>本单位设置会计、出纳财务工作岗位。会计岗位的职责权限为账务核算与处理，对外报送各项财务资料；出纳岗位的职责权限为对单位资金审核合理后予以录入支付。本单位严格实行不相容岗位分离。不涉及扣分。8月</w:t>
      </w:r>
      <w:r>
        <w:rPr>
          <w:rFonts w:hint="eastAsia" w:ascii="Times New Roman" w:hAnsi="Times New Roman" w:cs="Times New Roman"/>
          <w:highlight w:val="none"/>
          <w:lang w:val="en-US" w:eastAsia="zh-CN"/>
        </w:rPr>
        <w:t>财政局</w:t>
      </w:r>
      <w:r>
        <w:rPr>
          <w:rFonts w:hint="eastAsia" w:cs="Times New Roman"/>
          <w:highlight w:val="none"/>
          <w:lang w:val="en-US" w:eastAsia="zh-CN"/>
        </w:rPr>
        <w:t>审计部门对本单位进行会计监督检查，1月已整改完成，不涉及扣分。</w:t>
      </w:r>
    </w:p>
    <w:p>
      <w:pPr>
        <w:keepNext w:val="0"/>
        <w:keepLines w:val="0"/>
        <w:pageBreakBefore w:val="0"/>
        <w:widowControl/>
        <w:kinsoku/>
        <w:wordWrap/>
        <w:overflowPunct/>
        <w:topLinePunct w:val="0"/>
        <w:autoSpaceDE/>
        <w:autoSpaceDN/>
        <w:bidi w:val="0"/>
        <w:adjustRightInd/>
        <w:snapToGrid/>
        <w:spacing w:line="590" w:lineRule="exact"/>
        <w:ind w:right="0" w:rightChars="0" w:firstLine="663"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eastAsia="zh-CN"/>
        </w:rPr>
      </w:pPr>
      <w:r>
        <w:rPr>
          <w:rFonts w:hint="default" w:ascii="Times New Roman" w:hAnsi="Times New Roman" w:cs="Times New Roman"/>
          <w:color w:val="000000"/>
          <w:kern w:val="0"/>
          <w:sz w:val="33"/>
          <w:szCs w:val="33"/>
          <w:highlight w:val="none"/>
          <w:shd w:val="clear" w:color="auto" w:fill="FFFFFF"/>
          <w:lang w:val="en-US" w:eastAsia="zh-CN"/>
        </w:rPr>
        <w:t>常年项目绩效分析。</w:t>
      </w:r>
      <w:r>
        <w:rPr>
          <w:rFonts w:hint="default" w:ascii="Times New Roman" w:hAnsi="Times New Roman" w:cs="Times New Roman"/>
          <w:color w:val="000000"/>
          <w:kern w:val="0"/>
          <w:sz w:val="33"/>
          <w:szCs w:val="33"/>
          <w:highlight w:val="none"/>
          <w:shd w:val="clear" w:color="auto" w:fill="FFFFFF"/>
          <w:lang w:val="zh-CN" w:eastAsia="zh-CN"/>
        </w:rPr>
        <w:t>该类项目总数</w:t>
      </w:r>
      <w:r>
        <w:rPr>
          <w:rFonts w:hint="eastAsia" w:cs="Times New Roman"/>
          <w:color w:val="000000"/>
          <w:kern w:val="0"/>
          <w:sz w:val="33"/>
          <w:szCs w:val="33"/>
          <w:highlight w:val="none"/>
          <w:shd w:val="clear" w:color="auto" w:fill="FFFFFF"/>
          <w:lang w:val="en-US" w:eastAsia="zh-CN"/>
        </w:rPr>
        <w:t>5</w:t>
      </w:r>
      <w:r>
        <w:rPr>
          <w:rFonts w:hint="default" w:ascii="Times New Roman" w:hAnsi="Times New Roman" w:cs="Times New Roman"/>
          <w:color w:val="000000"/>
          <w:kern w:val="0"/>
          <w:sz w:val="33"/>
          <w:szCs w:val="33"/>
          <w:highlight w:val="none"/>
          <w:shd w:val="clear" w:color="auto" w:fill="FFFFFF"/>
          <w:lang w:val="zh-CN" w:eastAsia="zh-CN"/>
        </w:rPr>
        <w:t>个，涉及预算总金额</w:t>
      </w:r>
      <w:r>
        <w:rPr>
          <w:rFonts w:hint="default" w:ascii="Times New Roman" w:hAnsi="Times New Roman" w:cs="Times New Roman"/>
          <w:color w:val="000000"/>
          <w:kern w:val="0"/>
          <w:sz w:val="33"/>
          <w:szCs w:val="33"/>
          <w:highlight w:val="none"/>
          <w:shd w:val="clear" w:color="auto" w:fill="FFFFFF"/>
          <w:lang w:val="en-US" w:eastAsia="zh-CN"/>
        </w:rPr>
        <w:t xml:space="preserve">   </w:t>
      </w:r>
      <w:r>
        <w:rPr>
          <w:rFonts w:hint="eastAsia" w:cs="Times New Roman"/>
          <w:color w:val="000000"/>
          <w:kern w:val="0"/>
          <w:sz w:val="33"/>
          <w:szCs w:val="33"/>
          <w:highlight w:val="none"/>
          <w:shd w:val="clear" w:color="auto" w:fill="FFFFFF"/>
          <w:lang w:val="en-US" w:eastAsia="zh-CN"/>
        </w:rPr>
        <w:t>109.1</w:t>
      </w:r>
      <w:r>
        <w:rPr>
          <w:rFonts w:hint="default" w:ascii="Times New Roman" w:hAnsi="Times New Roman" w:cs="Times New Roman"/>
          <w:color w:val="000000"/>
          <w:kern w:val="0"/>
          <w:sz w:val="33"/>
          <w:szCs w:val="33"/>
          <w:highlight w:val="none"/>
          <w:shd w:val="clear" w:color="auto" w:fill="FFFFFF"/>
          <w:lang w:val="zh-CN" w:eastAsia="zh-CN"/>
        </w:rPr>
        <w:t>万元，</w:t>
      </w:r>
      <w:r>
        <w:rPr>
          <w:rFonts w:hint="default" w:ascii="Times New Roman" w:hAnsi="Times New Roman" w:cs="Times New Roman"/>
          <w:color w:val="000000"/>
          <w:kern w:val="0"/>
          <w:sz w:val="33"/>
          <w:szCs w:val="33"/>
          <w:highlight w:val="none"/>
          <w:shd w:val="clear" w:color="auto" w:fill="FFFFFF"/>
          <w:lang w:val="zh-CN"/>
        </w:rPr>
        <w:t>1</w:t>
      </w:r>
      <w:r>
        <w:rPr>
          <w:rFonts w:hint="eastAsia" w:ascii="Times New Roman" w:hAnsi="Times New Roman" w:cs="Times New Roman"/>
          <w:color w:val="000000"/>
          <w:kern w:val="0"/>
          <w:sz w:val="33"/>
          <w:szCs w:val="33"/>
          <w:highlight w:val="none"/>
          <w:shd w:val="clear" w:color="auto" w:fill="FFFFFF"/>
          <w:lang w:val="zh-CN" w:eastAsia="zh-CN"/>
        </w:rPr>
        <w:t>—</w:t>
      </w:r>
      <w:r>
        <w:rPr>
          <w:rFonts w:hint="default" w:ascii="Times New Roman" w:hAnsi="Times New Roman" w:cs="Times New Roman"/>
          <w:color w:val="000000"/>
          <w:kern w:val="0"/>
          <w:sz w:val="33"/>
          <w:szCs w:val="33"/>
          <w:highlight w:val="none"/>
          <w:shd w:val="clear" w:color="auto" w:fill="FFFFFF"/>
          <w:lang w:val="zh-CN"/>
        </w:rPr>
        <w:t>1</w:t>
      </w:r>
      <w:r>
        <w:rPr>
          <w:rFonts w:hint="default" w:ascii="Times New Roman" w:hAnsi="Times New Roman" w:cs="Times New Roman"/>
          <w:color w:val="000000"/>
          <w:kern w:val="0"/>
          <w:sz w:val="33"/>
          <w:szCs w:val="33"/>
          <w:highlight w:val="none"/>
          <w:shd w:val="clear" w:color="auto" w:fill="FFFFFF"/>
          <w:lang w:val="en-US" w:eastAsia="zh-CN"/>
        </w:rPr>
        <w:t>2</w:t>
      </w:r>
      <w:r>
        <w:rPr>
          <w:rFonts w:hint="default" w:ascii="Times New Roman" w:hAnsi="Times New Roman" w:cs="Times New Roman"/>
          <w:color w:val="000000"/>
          <w:kern w:val="0"/>
          <w:sz w:val="33"/>
          <w:szCs w:val="33"/>
          <w:highlight w:val="none"/>
          <w:shd w:val="clear" w:color="auto" w:fill="FFFFFF"/>
          <w:lang w:val="zh-CN"/>
        </w:rPr>
        <w:t>月预算执行总体进度为</w:t>
      </w:r>
      <w:r>
        <w:rPr>
          <w:rFonts w:hint="default" w:ascii="Times New Roman" w:hAnsi="Times New Roman" w:cs="Times New Roman"/>
          <w:color w:val="000000"/>
          <w:kern w:val="0"/>
          <w:sz w:val="33"/>
          <w:szCs w:val="33"/>
          <w:highlight w:val="none"/>
          <w:shd w:val="clear" w:color="auto" w:fill="FFFFFF"/>
          <w:lang w:val="en-US" w:eastAsia="zh-CN"/>
        </w:rPr>
        <w:t xml:space="preserve"> </w:t>
      </w:r>
      <w:r>
        <w:rPr>
          <w:rFonts w:hint="eastAsia" w:cs="Times New Roman"/>
          <w:color w:val="000000"/>
          <w:kern w:val="0"/>
          <w:sz w:val="33"/>
          <w:szCs w:val="33"/>
          <w:highlight w:val="none"/>
          <w:shd w:val="clear" w:color="auto" w:fill="FFFFFF"/>
          <w:lang w:val="en-US" w:eastAsia="zh-CN"/>
        </w:rPr>
        <w:t>94.22</w:t>
      </w:r>
      <w:r>
        <w:rPr>
          <w:rFonts w:hint="default" w:ascii="Times New Roman" w:hAnsi="Times New Roman" w:cs="Times New Roman"/>
          <w:color w:val="000000"/>
          <w:kern w:val="0"/>
          <w:sz w:val="33"/>
          <w:szCs w:val="33"/>
          <w:highlight w:val="none"/>
          <w:shd w:val="clear" w:color="auto" w:fill="FFFFFF"/>
          <w:lang w:val="en-US" w:eastAsia="zh-CN"/>
        </w:rPr>
        <w:t xml:space="preserve"> </w:t>
      </w:r>
      <w:r>
        <w:rPr>
          <w:rFonts w:hint="default" w:ascii="Times New Roman" w:hAnsi="Times New Roman" w:cs="Times New Roman"/>
          <w:color w:val="000000"/>
          <w:kern w:val="0"/>
          <w:sz w:val="33"/>
          <w:szCs w:val="33"/>
          <w:highlight w:val="none"/>
          <w:shd w:val="clear" w:color="auto" w:fill="FFFFFF"/>
          <w:lang w:val="zh-CN"/>
        </w:rPr>
        <w:t>%，其中：</w:t>
      </w:r>
      <w:r>
        <w:rPr>
          <w:rFonts w:hint="default" w:ascii="Times New Roman" w:hAnsi="Times New Roman" w:cs="Times New Roman"/>
          <w:color w:val="000000"/>
          <w:kern w:val="0"/>
          <w:sz w:val="33"/>
          <w:szCs w:val="33"/>
          <w:highlight w:val="none"/>
          <w:shd w:val="clear" w:color="auto" w:fill="FFFFFF"/>
          <w:lang w:val="zh-CN" w:eastAsia="zh-CN"/>
        </w:rPr>
        <w:t>预算结余率大于</w:t>
      </w:r>
      <w:r>
        <w:rPr>
          <w:rFonts w:hint="default" w:ascii="Times New Roman" w:hAnsi="Times New Roman" w:cs="Times New Roman"/>
          <w:color w:val="000000"/>
          <w:kern w:val="0"/>
          <w:sz w:val="33"/>
          <w:szCs w:val="33"/>
          <w:highlight w:val="none"/>
          <w:shd w:val="clear" w:color="auto" w:fill="FFFFFF"/>
          <w:lang w:val="en-US" w:eastAsia="zh-CN"/>
        </w:rPr>
        <w:t>10%</w:t>
      </w:r>
      <w:r>
        <w:rPr>
          <w:rFonts w:hint="default" w:ascii="Times New Roman" w:hAnsi="Times New Roman" w:cs="Times New Roman"/>
          <w:color w:val="000000"/>
          <w:kern w:val="0"/>
          <w:sz w:val="33"/>
          <w:szCs w:val="33"/>
          <w:highlight w:val="none"/>
          <w:shd w:val="clear" w:color="auto" w:fill="FFFFFF"/>
          <w:lang w:val="zh-CN" w:eastAsia="zh-CN"/>
        </w:rPr>
        <w:t>的项目共计</w:t>
      </w:r>
      <w:r>
        <w:rPr>
          <w:rFonts w:hint="default" w:ascii="Times New Roman" w:hAnsi="Times New Roman" w:cs="Times New Roman"/>
          <w:color w:val="000000"/>
          <w:kern w:val="0"/>
          <w:sz w:val="33"/>
          <w:szCs w:val="33"/>
          <w:highlight w:val="none"/>
          <w:shd w:val="clear" w:color="auto" w:fill="FFFFFF"/>
          <w:lang w:val="en-US" w:eastAsia="zh-CN"/>
        </w:rPr>
        <w:t xml:space="preserve"> </w:t>
      </w:r>
      <w:r>
        <w:rPr>
          <w:rFonts w:hint="eastAsia" w:cs="Times New Roman"/>
          <w:color w:val="000000"/>
          <w:kern w:val="0"/>
          <w:sz w:val="33"/>
          <w:szCs w:val="33"/>
          <w:highlight w:val="none"/>
          <w:shd w:val="clear" w:color="auto" w:fill="FFFFFF"/>
          <w:lang w:val="en-US" w:eastAsia="zh-CN"/>
        </w:rPr>
        <w:t>0</w:t>
      </w:r>
      <w:r>
        <w:rPr>
          <w:rFonts w:hint="default" w:ascii="Times New Roman" w:hAnsi="Times New Roman" w:cs="Times New Roman"/>
          <w:color w:val="000000"/>
          <w:kern w:val="0"/>
          <w:sz w:val="33"/>
          <w:szCs w:val="33"/>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eastAsia="zh-CN"/>
        </w:rPr>
      </w:pPr>
      <w:r>
        <w:rPr>
          <w:rFonts w:hint="default" w:ascii="Times New Roman" w:hAnsi="Times New Roman" w:cs="Times New Roman"/>
          <w:color w:val="000000"/>
          <w:kern w:val="0"/>
          <w:sz w:val="33"/>
          <w:szCs w:val="33"/>
          <w:highlight w:val="none"/>
          <w:shd w:val="clear" w:color="auto" w:fill="FFFFFF"/>
          <w:lang w:val="en-US" w:eastAsia="zh-CN"/>
        </w:rPr>
        <w:t>阶段</w:t>
      </w:r>
      <w:r>
        <w:rPr>
          <w:rFonts w:hint="eastAsia" w:ascii="Times New Roman" w:hAnsi="Times New Roman" w:cs="Times New Roman"/>
          <w:color w:val="000000"/>
          <w:kern w:val="0"/>
          <w:sz w:val="33"/>
          <w:szCs w:val="33"/>
          <w:highlight w:val="none"/>
          <w:shd w:val="clear" w:color="auto" w:fill="FFFFFF"/>
          <w:lang w:val="en-US" w:eastAsia="zh-CN"/>
        </w:rPr>
        <w:t>（</w:t>
      </w:r>
      <w:r>
        <w:rPr>
          <w:rFonts w:hint="default" w:ascii="Times New Roman" w:hAnsi="Times New Roman" w:cs="Times New Roman"/>
          <w:color w:val="000000"/>
          <w:kern w:val="0"/>
          <w:sz w:val="33"/>
          <w:szCs w:val="33"/>
          <w:highlight w:val="none"/>
          <w:shd w:val="clear" w:color="auto" w:fill="FFFFFF"/>
          <w:lang w:val="en-US" w:eastAsia="zh-CN"/>
        </w:rPr>
        <w:t>一次性</w:t>
      </w:r>
      <w:r>
        <w:rPr>
          <w:rFonts w:hint="eastAsia" w:ascii="Times New Roman" w:hAnsi="Times New Roman" w:cs="Times New Roman"/>
          <w:color w:val="000000"/>
          <w:kern w:val="0"/>
          <w:sz w:val="33"/>
          <w:szCs w:val="33"/>
          <w:highlight w:val="none"/>
          <w:shd w:val="clear" w:color="auto" w:fill="FFFFFF"/>
          <w:lang w:val="en-US" w:eastAsia="zh-CN"/>
        </w:rPr>
        <w:t>）</w:t>
      </w:r>
      <w:r>
        <w:rPr>
          <w:rFonts w:hint="default" w:ascii="Times New Roman" w:hAnsi="Times New Roman" w:cs="Times New Roman"/>
          <w:color w:val="000000"/>
          <w:kern w:val="0"/>
          <w:sz w:val="33"/>
          <w:szCs w:val="33"/>
          <w:highlight w:val="none"/>
          <w:shd w:val="clear" w:color="auto" w:fill="FFFFFF"/>
          <w:lang w:val="en-US" w:eastAsia="zh-CN"/>
        </w:rPr>
        <w:t>项目绩效分析。</w:t>
      </w:r>
      <w:r>
        <w:rPr>
          <w:rFonts w:hint="default" w:ascii="Times New Roman" w:hAnsi="Times New Roman" w:cs="Times New Roman"/>
          <w:color w:val="000000"/>
          <w:kern w:val="0"/>
          <w:sz w:val="33"/>
          <w:szCs w:val="33"/>
          <w:highlight w:val="none"/>
          <w:shd w:val="clear" w:color="auto" w:fill="FFFFFF"/>
          <w:lang w:val="zh-CN" w:eastAsia="zh-CN"/>
        </w:rPr>
        <w:t>该类项目总数</w:t>
      </w:r>
      <w:r>
        <w:rPr>
          <w:rFonts w:hint="default" w:ascii="Times New Roman" w:hAnsi="Times New Roman" w:cs="Times New Roman"/>
          <w:color w:val="000000"/>
          <w:kern w:val="0"/>
          <w:sz w:val="33"/>
          <w:szCs w:val="33"/>
          <w:highlight w:val="none"/>
          <w:shd w:val="clear" w:color="auto" w:fill="FFFFFF"/>
          <w:lang w:val="en-US" w:eastAsia="zh-CN"/>
        </w:rPr>
        <w:t xml:space="preserve"> </w:t>
      </w:r>
      <w:r>
        <w:rPr>
          <w:rFonts w:hint="eastAsia" w:cs="Times New Roman"/>
          <w:color w:val="000000"/>
          <w:kern w:val="0"/>
          <w:sz w:val="33"/>
          <w:szCs w:val="33"/>
          <w:highlight w:val="none"/>
          <w:shd w:val="clear" w:color="auto" w:fill="FFFFFF"/>
          <w:lang w:val="en-US" w:eastAsia="zh-CN"/>
        </w:rPr>
        <w:t>1</w:t>
      </w:r>
      <w:r>
        <w:rPr>
          <w:rFonts w:hint="default" w:ascii="Times New Roman" w:hAnsi="Times New Roman" w:cs="Times New Roman"/>
          <w:color w:val="000000"/>
          <w:kern w:val="0"/>
          <w:sz w:val="33"/>
          <w:szCs w:val="33"/>
          <w:highlight w:val="none"/>
          <w:shd w:val="clear" w:color="auto" w:fill="FFFFFF"/>
          <w:lang w:val="en-US" w:eastAsia="zh-CN"/>
        </w:rPr>
        <w:t xml:space="preserve"> </w:t>
      </w:r>
      <w:r>
        <w:rPr>
          <w:rFonts w:hint="default" w:ascii="Times New Roman" w:hAnsi="Times New Roman" w:cs="Times New Roman"/>
          <w:color w:val="000000"/>
          <w:kern w:val="0"/>
          <w:sz w:val="33"/>
          <w:szCs w:val="33"/>
          <w:highlight w:val="none"/>
          <w:shd w:val="clear" w:color="auto" w:fill="FFFFFF"/>
          <w:lang w:val="zh-CN" w:eastAsia="zh-CN"/>
        </w:rPr>
        <w:t>个，涉及预算总金额</w:t>
      </w:r>
      <w:r>
        <w:rPr>
          <w:rFonts w:hint="default" w:ascii="Times New Roman" w:hAnsi="Times New Roman" w:cs="Times New Roman"/>
          <w:color w:val="000000"/>
          <w:kern w:val="0"/>
          <w:sz w:val="33"/>
          <w:szCs w:val="33"/>
          <w:highlight w:val="none"/>
          <w:shd w:val="clear" w:color="auto" w:fill="FFFFFF"/>
          <w:lang w:val="en-US" w:eastAsia="zh-CN"/>
        </w:rPr>
        <w:t xml:space="preserve"> </w:t>
      </w:r>
      <w:r>
        <w:rPr>
          <w:rFonts w:hint="eastAsia" w:cs="Times New Roman"/>
          <w:color w:val="000000"/>
          <w:kern w:val="0"/>
          <w:sz w:val="33"/>
          <w:szCs w:val="33"/>
          <w:highlight w:val="none"/>
          <w:shd w:val="clear" w:color="auto" w:fill="FFFFFF"/>
          <w:lang w:val="en-US" w:eastAsia="zh-CN"/>
        </w:rPr>
        <w:t>2.3</w:t>
      </w:r>
      <w:r>
        <w:rPr>
          <w:rFonts w:hint="default" w:ascii="Times New Roman" w:hAnsi="Times New Roman" w:cs="Times New Roman"/>
          <w:color w:val="000000"/>
          <w:kern w:val="0"/>
          <w:sz w:val="33"/>
          <w:szCs w:val="33"/>
          <w:highlight w:val="none"/>
          <w:shd w:val="clear" w:color="auto" w:fill="FFFFFF"/>
          <w:lang w:val="zh-CN" w:eastAsia="zh-CN"/>
        </w:rPr>
        <w:t>万元，</w:t>
      </w:r>
      <w:r>
        <w:rPr>
          <w:rFonts w:hint="default" w:ascii="Times New Roman" w:hAnsi="Times New Roman" w:cs="Times New Roman"/>
          <w:color w:val="000000"/>
          <w:kern w:val="0"/>
          <w:sz w:val="33"/>
          <w:szCs w:val="33"/>
          <w:highlight w:val="none"/>
          <w:shd w:val="clear" w:color="auto" w:fill="FFFFFF"/>
          <w:lang w:val="zh-CN"/>
        </w:rPr>
        <w:t>1</w:t>
      </w:r>
      <w:r>
        <w:rPr>
          <w:rFonts w:hint="eastAsia" w:ascii="Times New Roman" w:hAnsi="Times New Roman" w:cs="Times New Roman"/>
          <w:color w:val="000000"/>
          <w:kern w:val="0"/>
          <w:sz w:val="33"/>
          <w:szCs w:val="33"/>
          <w:highlight w:val="none"/>
          <w:shd w:val="clear" w:color="auto" w:fill="FFFFFF"/>
          <w:lang w:val="zh-CN" w:eastAsia="zh-CN"/>
        </w:rPr>
        <w:t>—</w:t>
      </w:r>
      <w:r>
        <w:rPr>
          <w:rFonts w:hint="default" w:ascii="Times New Roman" w:hAnsi="Times New Roman" w:cs="Times New Roman"/>
          <w:color w:val="000000"/>
          <w:kern w:val="0"/>
          <w:sz w:val="33"/>
          <w:szCs w:val="33"/>
          <w:highlight w:val="none"/>
          <w:shd w:val="clear" w:color="auto" w:fill="FFFFFF"/>
          <w:lang w:val="zh-CN"/>
        </w:rPr>
        <w:t>1</w:t>
      </w:r>
      <w:r>
        <w:rPr>
          <w:rFonts w:hint="default" w:ascii="Times New Roman" w:hAnsi="Times New Roman" w:cs="Times New Roman"/>
          <w:color w:val="000000"/>
          <w:kern w:val="0"/>
          <w:sz w:val="33"/>
          <w:szCs w:val="33"/>
          <w:highlight w:val="none"/>
          <w:shd w:val="clear" w:color="auto" w:fill="FFFFFF"/>
          <w:lang w:val="en-US" w:eastAsia="zh-CN"/>
        </w:rPr>
        <w:t>2</w:t>
      </w:r>
      <w:r>
        <w:rPr>
          <w:rFonts w:hint="default" w:ascii="Times New Roman" w:hAnsi="Times New Roman" w:cs="Times New Roman"/>
          <w:color w:val="000000"/>
          <w:kern w:val="0"/>
          <w:sz w:val="33"/>
          <w:szCs w:val="33"/>
          <w:highlight w:val="none"/>
          <w:shd w:val="clear" w:color="auto" w:fill="FFFFFF"/>
          <w:lang w:val="zh-CN"/>
        </w:rPr>
        <w:t>月预算执行总体进度为</w:t>
      </w:r>
      <w:r>
        <w:rPr>
          <w:rFonts w:hint="default" w:ascii="Times New Roman" w:hAnsi="Times New Roman" w:cs="Times New Roman"/>
          <w:color w:val="000000"/>
          <w:kern w:val="0"/>
          <w:sz w:val="33"/>
          <w:szCs w:val="33"/>
          <w:highlight w:val="none"/>
          <w:shd w:val="clear" w:color="auto" w:fill="FFFFFF"/>
          <w:lang w:val="en-US" w:eastAsia="zh-CN"/>
        </w:rPr>
        <w:t xml:space="preserve"> </w:t>
      </w:r>
      <w:r>
        <w:rPr>
          <w:rFonts w:hint="eastAsia" w:cs="Times New Roman"/>
          <w:color w:val="000000"/>
          <w:kern w:val="0"/>
          <w:sz w:val="33"/>
          <w:szCs w:val="33"/>
          <w:highlight w:val="none"/>
          <w:shd w:val="clear" w:color="auto" w:fill="FFFFFF"/>
          <w:lang w:val="en-US" w:eastAsia="zh-CN"/>
        </w:rPr>
        <w:t>97.65</w:t>
      </w:r>
      <w:r>
        <w:rPr>
          <w:rFonts w:hint="default" w:ascii="Times New Roman" w:hAnsi="Times New Roman" w:cs="Times New Roman"/>
          <w:color w:val="000000"/>
          <w:kern w:val="0"/>
          <w:sz w:val="33"/>
          <w:szCs w:val="33"/>
          <w:highlight w:val="none"/>
          <w:shd w:val="clear" w:color="auto" w:fill="FFFFFF"/>
          <w:lang w:val="zh-CN"/>
        </w:rPr>
        <w:t>%，其中：</w:t>
      </w:r>
      <w:r>
        <w:rPr>
          <w:rFonts w:hint="default" w:ascii="Times New Roman" w:hAnsi="Times New Roman" w:cs="Times New Roman"/>
          <w:color w:val="000000"/>
          <w:kern w:val="0"/>
          <w:sz w:val="33"/>
          <w:szCs w:val="33"/>
          <w:highlight w:val="none"/>
          <w:shd w:val="clear" w:color="auto" w:fill="FFFFFF"/>
          <w:lang w:val="zh-CN" w:eastAsia="zh-CN"/>
        </w:rPr>
        <w:t>预算结余率大于</w:t>
      </w:r>
      <w:r>
        <w:rPr>
          <w:rFonts w:hint="default" w:ascii="Times New Roman" w:hAnsi="Times New Roman" w:cs="Times New Roman"/>
          <w:color w:val="000000"/>
          <w:kern w:val="0"/>
          <w:sz w:val="33"/>
          <w:szCs w:val="33"/>
          <w:highlight w:val="none"/>
          <w:shd w:val="clear" w:color="auto" w:fill="FFFFFF"/>
          <w:lang w:val="en-US" w:eastAsia="zh-CN"/>
        </w:rPr>
        <w:t>10%</w:t>
      </w:r>
      <w:r>
        <w:rPr>
          <w:rFonts w:hint="default" w:ascii="Times New Roman" w:hAnsi="Times New Roman" w:cs="Times New Roman"/>
          <w:color w:val="000000"/>
          <w:kern w:val="0"/>
          <w:sz w:val="33"/>
          <w:szCs w:val="33"/>
          <w:highlight w:val="none"/>
          <w:shd w:val="clear" w:color="auto" w:fill="FFFFFF"/>
          <w:lang w:val="zh-CN" w:eastAsia="zh-CN"/>
        </w:rPr>
        <w:t>的项目共计</w:t>
      </w:r>
      <w:r>
        <w:rPr>
          <w:rFonts w:hint="default" w:ascii="Times New Roman" w:hAnsi="Times New Roman" w:cs="Times New Roman"/>
          <w:color w:val="000000"/>
          <w:kern w:val="0"/>
          <w:sz w:val="33"/>
          <w:szCs w:val="33"/>
          <w:highlight w:val="none"/>
          <w:shd w:val="clear" w:color="auto" w:fill="FFFFFF"/>
          <w:lang w:val="en-US" w:eastAsia="zh-CN"/>
        </w:rPr>
        <w:t xml:space="preserve"> </w:t>
      </w:r>
      <w:r>
        <w:rPr>
          <w:rFonts w:hint="eastAsia" w:cs="Times New Roman"/>
          <w:color w:val="000000"/>
          <w:kern w:val="0"/>
          <w:sz w:val="33"/>
          <w:szCs w:val="33"/>
          <w:highlight w:val="none"/>
          <w:shd w:val="clear" w:color="auto" w:fill="FFFFFF"/>
          <w:lang w:val="en-US" w:eastAsia="zh-CN"/>
        </w:rPr>
        <w:t>0</w:t>
      </w:r>
      <w:r>
        <w:rPr>
          <w:rFonts w:hint="default" w:ascii="Times New Roman" w:hAnsi="Times New Roman" w:cs="Times New Roman"/>
          <w:color w:val="000000"/>
          <w:kern w:val="0"/>
          <w:sz w:val="33"/>
          <w:szCs w:val="33"/>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contextualSpacing/>
        <w:jc w:val="both"/>
        <w:textAlignment w:val="auto"/>
        <w:outlineLvl w:val="9"/>
        <w:rPr>
          <w:rFonts w:hint="eastAsia"/>
          <w:highlight w:val="none"/>
          <w:lang w:val="en-US" w:eastAsia="zh-CN"/>
        </w:rPr>
      </w:pPr>
      <w:r>
        <w:rPr>
          <w:rFonts w:hint="eastAsia"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项目决策。</w:t>
      </w:r>
      <w:r>
        <w:rPr>
          <w:rFonts w:hint="eastAsia" w:ascii="Times New Roman" w:hAnsi="Times New Roman" w:cs="Times New Roman"/>
          <w:color w:val="000000"/>
          <w:kern w:val="0"/>
          <w:sz w:val="33"/>
          <w:szCs w:val="33"/>
          <w:highlight w:val="none"/>
          <w:shd w:val="clear" w:color="auto" w:fill="FFFFFF"/>
          <w:lang w:val="en-US" w:eastAsia="zh-CN"/>
        </w:rPr>
        <w:t>根据</w:t>
      </w:r>
      <w:r>
        <w:rPr>
          <w:rFonts w:hint="default" w:ascii="Times New Roman" w:hAnsi="Times New Roman" w:cs="Times New Roman"/>
          <w:color w:val="000000"/>
          <w:kern w:val="0"/>
          <w:sz w:val="33"/>
          <w:szCs w:val="33"/>
          <w:highlight w:val="none"/>
          <w:shd w:val="clear" w:color="auto" w:fill="FFFFFF"/>
          <w:lang w:val="en-US" w:eastAsia="zh-CN"/>
        </w:rPr>
        <w:t>事前绩效评估管理</w:t>
      </w:r>
      <w:r>
        <w:rPr>
          <w:rFonts w:hint="eastAsia" w:cs="Times New Roman"/>
          <w:color w:val="000000"/>
          <w:kern w:val="0"/>
          <w:sz w:val="33"/>
          <w:szCs w:val="33"/>
          <w:highlight w:val="none"/>
          <w:shd w:val="clear" w:color="auto" w:fill="FFFFFF"/>
          <w:lang w:val="en-US" w:eastAsia="zh-CN"/>
        </w:rPr>
        <w:t>相关规定，本单位所有项目均</w:t>
      </w:r>
      <w:r>
        <w:rPr>
          <w:rFonts w:hint="eastAsia"/>
          <w:highlight w:val="none"/>
          <w:lang w:val="en-US" w:eastAsia="zh-CN"/>
        </w:rPr>
        <w:t>开展事前绩效评估。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0" w:firstLineChars="200"/>
        <w:textAlignment w:val="auto"/>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2.项目执行</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default" w:ascii="Times New Roman" w:hAnsi="Times New Roman" w:cs="Times New Roman"/>
          <w:highlight w:val="none"/>
          <w:lang w:val="en-US" w:eastAsia="zh-CN"/>
        </w:rPr>
        <w:t>202</w:t>
      </w:r>
      <w:r>
        <w:rPr>
          <w:rFonts w:hint="eastAsia" w:ascii="Times New Roman" w:hAnsi="Times New Roman" w:cs="Times New Roman"/>
          <w:highlight w:val="none"/>
          <w:lang w:val="en-US" w:eastAsia="zh-CN"/>
        </w:rPr>
        <w:t>4年本单位共实施</w:t>
      </w:r>
      <w:r>
        <w:rPr>
          <w:rFonts w:hint="eastAsia" w:cs="Times New Roman"/>
          <w:highlight w:val="none"/>
          <w:lang w:val="en-US" w:eastAsia="zh-CN"/>
        </w:rPr>
        <w:t>6</w:t>
      </w:r>
      <w:r>
        <w:rPr>
          <w:rFonts w:hint="eastAsia" w:ascii="Times New Roman" w:hAnsi="Times New Roman" w:cs="Times New Roman"/>
          <w:highlight w:val="none"/>
          <w:lang w:val="en-US" w:eastAsia="zh-CN"/>
        </w:rPr>
        <w:t>个项目，其中：常年项目</w:t>
      </w:r>
      <w:r>
        <w:rPr>
          <w:rFonts w:hint="eastAsia" w:cs="Times New Roman"/>
          <w:highlight w:val="none"/>
          <w:lang w:val="en-US" w:eastAsia="zh-CN"/>
        </w:rPr>
        <w:t>5</w:t>
      </w:r>
      <w:r>
        <w:rPr>
          <w:rFonts w:hint="eastAsia" w:ascii="Times New Roman" w:hAnsi="Times New Roman" w:cs="Times New Roman"/>
          <w:highlight w:val="none"/>
          <w:lang w:val="en-US" w:eastAsia="zh-CN"/>
        </w:rPr>
        <w:t>个，一次性项目和阶段项目</w:t>
      </w:r>
      <w:r>
        <w:rPr>
          <w:rFonts w:hint="eastAsia" w:cs="Times New Roman"/>
          <w:highlight w:val="none"/>
          <w:lang w:val="en-US" w:eastAsia="zh-CN"/>
        </w:rPr>
        <w:t>1</w:t>
      </w:r>
      <w:r>
        <w:rPr>
          <w:rFonts w:hint="eastAsia" w:ascii="Times New Roman" w:hAnsi="Times New Roman" w:cs="Times New Roman"/>
          <w:highlight w:val="none"/>
          <w:lang w:val="en-US" w:eastAsia="zh-CN"/>
        </w:rPr>
        <w:t>个。根据一体化系统预算可执行情况表，共0个常年项目预算结余率小于</w:t>
      </w:r>
      <w:r>
        <w:rPr>
          <w:rFonts w:hint="default" w:ascii="Times New Roman" w:hAnsi="Times New Roman" w:cs="Times New Roman"/>
          <w:highlight w:val="none"/>
          <w:lang w:val="en-US" w:eastAsia="zh-CN"/>
        </w:rPr>
        <w:t>10</w:t>
      </w:r>
      <w:r>
        <w:rPr>
          <w:rFonts w:hint="eastAsia" w:ascii="Times New Roman" w:hAnsi="Times New Roman" w:cs="Times New Roman"/>
          <w:highlight w:val="none"/>
          <w:lang w:val="en-US" w:eastAsia="zh-CN"/>
        </w:rPr>
        <w:t>%，0个常年项目预算结余率大于</w:t>
      </w:r>
      <w:r>
        <w:rPr>
          <w:rFonts w:hint="default" w:ascii="Times New Roman" w:hAnsi="Times New Roman" w:cs="Times New Roman"/>
          <w:highlight w:val="none"/>
          <w:lang w:val="en-US" w:eastAsia="zh-CN"/>
        </w:rPr>
        <w:t>10</w:t>
      </w:r>
      <w:r>
        <w:rPr>
          <w:rFonts w:hint="eastAsia" w:ascii="Times New Roman" w:hAnsi="Times New Roman" w:cs="Times New Roman"/>
          <w:highlight w:val="none"/>
          <w:lang w:val="en-US" w:eastAsia="zh-CN"/>
        </w:rPr>
        <w:t>%；共0个一次性项目和阶段项目预算结余率小于</w:t>
      </w:r>
      <w:r>
        <w:rPr>
          <w:rFonts w:hint="default" w:ascii="Times New Roman" w:hAnsi="Times New Roman" w:cs="Times New Roman"/>
          <w:highlight w:val="none"/>
          <w:lang w:val="en-US" w:eastAsia="zh-CN"/>
        </w:rPr>
        <w:t>10</w:t>
      </w:r>
      <w:r>
        <w:rPr>
          <w:rFonts w:hint="eastAsia" w:ascii="Times New Roman" w:hAnsi="Times New Roman" w:cs="Times New Roman"/>
          <w:highlight w:val="none"/>
          <w:lang w:val="en-US" w:eastAsia="zh-CN"/>
        </w:rPr>
        <w:t>%，0个一次性项目和阶段年项目预算结余率大于</w:t>
      </w:r>
      <w:r>
        <w:rPr>
          <w:rFonts w:hint="default" w:ascii="Times New Roman" w:hAnsi="Times New Roman" w:cs="Times New Roman"/>
          <w:highlight w:val="none"/>
          <w:lang w:val="en-US" w:eastAsia="zh-CN"/>
        </w:rPr>
        <w:t>10</w:t>
      </w:r>
      <w:r>
        <w:rPr>
          <w:rFonts w:hint="eastAsia" w:ascii="Times New Roman" w:hAnsi="Times New Roman" w:cs="Times New Roman"/>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0" w:firstLineChars="200"/>
        <w:textAlignment w:val="auto"/>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3.</w:t>
      </w:r>
      <w:r>
        <w:rPr>
          <w:rFonts w:hint="eastAsia" w:ascii="Times New Roman" w:hAnsi="Times New Roman" w:eastAsia="楷体_GB2312" w:cs="楷体_GB2312"/>
          <w:color w:val="000000"/>
          <w:kern w:val="0"/>
          <w:sz w:val="33"/>
          <w:szCs w:val="33"/>
          <w:highlight w:val="none"/>
          <w:shd w:val="clear" w:color="auto" w:fill="FFFFFF"/>
          <w:lang w:val="zh-CN"/>
        </w:rPr>
        <w:t>目标实现。</w:t>
      </w:r>
      <w:r>
        <w:rPr>
          <w:rFonts w:hint="eastAsia" w:ascii="Times New Roman" w:hAnsi="Times New Roman" w:cs="Times New Roman"/>
          <w:highlight w:val="none"/>
          <w:lang w:val="en-US" w:eastAsia="zh-CN"/>
        </w:rPr>
        <w:t>202</w:t>
      </w:r>
      <w:r>
        <w:rPr>
          <w:rFonts w:hint="eastAsia" w:cs="Times New Roman"/>
          <w:highlight w:val="none"/>
          <w:lang w:val="en-US" w:eastAsia="zh-CN"/>
        </w:rPr>
        <w:t>4</w:t>
      </w:r>
      <w:r>
        <w:rPr>
          <w:rFonts w:hint="eastAsia" w:ascii="Times New Roman" w:hAnsi="Times New Roman" w:cs="Times New Roman"/>
          <w:highlight w:val="none"/>
          <w:lang w:val="en-US" w:eastAsia="zh-CN"/>
        </w:rPr>
        <w:t>年本单位共实施</w:t>
      </w:r>
      <w:r>
        <w:rPr>
          <w:rFonts w:hint="eastAsia" w:cs="Times New Roman"/>
          <w:highlight w:val="none"/>
          <w:lang w:val="en-US" w:eastAsia="zh-CN"/>
        </w:rPr>
        <w:t>6</w:t>
      </w:r>
      <w:r>
        <w:rPr>
          <w:rFonts w:hint="eastAsia" w:ascii="Times New Roman" w:hAnsi="Times New Roman" w:cs="Times New Roman"/>
          <w:highlight w:val="none"/>
          <w:lang w:val="en-US" w:eastAsia="zh-CN"/>
        </w:rPr>
        <w:t>个项目。指标均完成目标值。根据《部门整体支出绩效自</w:t>
      </w:r>
      <w:r>
        <w:rPr>
          <w:rFonts w:hint="eastAsia"/>
          <w:highlight w:val="none"/>
          <w:lang w:val="en-US" w:eastAsia="zh-CN"/>
        </w:rPr>
        <w:t>评打分表》的评分说明本项指标权重6分、得分6分。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default" w:ascii="Times New Roman" w:hAnsi="Times New Roman" w:eastAsia="仿宋_GB2312" w:cs="Times New Roman"/>
          <w:sz w:val="33"/>
          <w:szCs w:val="33"/>
          <w:highlight w:val="none"/>
          <w:u w:val="none"/>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r>
        <w:rPr>
          <w:rFonts w:hint="eastAsia" w:cs="Times New Roman"/>
          <w:highlight w:val="none"/>
          <w:lang w:val="en-US" w:eastAsia="zh-CN"/>
        </w:rPr>
        <w:t>遂宁市拘留所</w:t>
      </w:r>
      <w:r>
        <w:rPr>
          <w:rFonts w:hint="eastAsia" w:ascii="Times New Roman" w:hAnsi="Times New Roman" w:eastAsia="仿宋_GB2312" w:cs="Times New Roman"/>
          <w:sz w:val="33"/>
          <w:szCs w:val="33"/>
          <w:highlight w:val="none"/>
          <w:u w:val="none"/>
          <w:lang w:val="en-US" w:eastAsia="zh-CN"/>
        </w:rPr>
        <w:t>202</w:t>
      </w:r>
      <w:r>
        <w:rPr>
          <w:rFonts w:hint="eastAsia" w:cs="Times New Roman"/>
          <w:sz w:val="33"/>
          <w:szCs w:val="33"/>
          <w:highlight w:val="none"/>
          <w:u w:val="none"/>
          <w:lang w:val="en-US" w:eastAsia="zh-CN"/>
        </w:rPr>
        <w:t>4</w:t>
      </w:r>
      <w:r>
        <w:rPr>
          <w:rFonts w:hint="eastAsia" w:ascii="Times New Roman" w:hAnsi="Times New Roman" w:eastAsia="仿宋_GB2312" w:cs="Times New Roman"/>
          <w:sz w:val="33"/>
          <w:szCs w:val="33"/>
          <w:highlight w:val="none"/>
          <w:u w:val="none"/>
          <w:lang w:val="en-US" w:eastAsia="zh-CN"/>
        </w:rPr>
        <w:t>年度</w:t>
      </w:r>
      <w:r>
        <w:rPr>
          <w:rFonts w:hint="eastAsia" w:cs="Times New Roman"/>
          <w:sz w:val="33"/>
          <w:szCs w:val="33"/>
          <w:highlight w:val="none"/>
          <w:u w:val="none"/>
          <w:lang w:val="en-US" w:eastAsia="zh-CN"/>
        </w:rPr>
        <w:t>不</w:t>
      </w:r>
      <w:r>
        <w:rPr>
          <w:rFonts w:hint="default" w:ascii="Times New Roman" w:hAnsi="Times New Roman" w:eastAsia="仿宋_GB2312" w:cs="Times New Roman"/>
          <w:sz w:val="33"/>
          <w:szCs w:val="33"/>
          <w:highlight w:val="none"/>
          <w:u w:val="none"/>
        </w:rPr>
        <w:t>涉及国有资本、行政事业性国有资产、债券</w:t>
      </w:r>
      <w:r>
        <w:rPr>
          <w:rFonts w:hint="default" w:ascii="Times New Roman" w:hAnsi="Times New Roman" w:eastAsia="仿宋_GB2312" w:cs="Times New Roman"/>
          <w:sz w:val="33"/>
          <w:szCs w:val="33"/>
          <w:highlight w:val="none"/>
          <w:u w:val="none"/>
          <w:lang w:eastAsia="zh-CN"/>
        </w:rPr>
        <w:t>资金、政府采购和政府购买服务等重点领域</w:t>
      </w:r>
      <w:r>
        <w:rPr>
          <w:rFonts w:hint="eastAsia" w:ascii="Times New Roman" w:hAnsi="Times New Roman" w:eastAsia="仿宋_GB2312" w:cs="Times New Roman"/>
          <w:sz w:val="33"/>
          <w:szCs w:val="33"/>
          <w:highlight w:val="none"/>
          <w:u w:val="none"/>
          <w:lang w:eastAsia="zh-CN"/>
        </w:rPr>
        <w:t>。</w:t>
      </w:r>
    </w:p>
    <w:p>
      <w:pPr>
        <w:pStyle w:val="27"/>
        <w:spacing w:line="580" w:lineRule="exact"/>
        <w:ind w:firstLine="640"/>
        <w:rPr>
          <w:color w:val="000000"/>
          <w:szCs w:val="32"/>
          <w:shd w:val="clear" w:color="auto" w:fill="FFFFFF"/>
        </w:rPr>
      </w:pPr>
      <w:r>
        <w:rPr>
          <w:rFonts w:hint="default" w:ascii="Times New Roman" w:hAnsi="Times New Roman" w:eastAsia="楷体_GB2312" w:cs="Times New Roman"/>
          <w:b/>
          <w:bCs/>
          <w:color w:val="000000"/>
          <w:kern w:val="0"/>
          <w:sz w:val="33"/>
          <w:szCs w:val="33"/>
          <w:highlight w:val="none"/>
          <w:shd w:val="clear" w:color="auto" w:fill="FFFFFF"/>
          <w:lang w:val="zh-CN"/>
        </w:rPr>
        <w:t>（四）绩效结果应用情况</w:t>
      </w:r>
      <w:r>
        <w:rPr>
          <w:rFonts w:hint="eastAsia" w:ascii="Times New Roman" w:hAnsi="Times New Roman" w:eastAsia="楷体_GB2312" w:cs="Times New Roman"/>
          <w:b/>
          <w:bCs/>
          <w:color w:val="000000"/>
          <w:kern w:val="0"/>
          <w:sz w:val="33"/>
          <w:szCs w:val="33"/>
          <w:highlight w:val="none"/>
          <w:shd w:val="clear" w:color="auto" w:fill="FFFFFF"/>
          <w:lang w:val="zh-CN"/>
        </w:rPr>
        <w:t>。</w:t>
      </w:r>
      <w:r>
        <w:rPr>
          <w:rFonts w:hint="eastAsia" w:ascii="仿宋" w:hAnsi="仿宋" w:eastAsia="仿宋"/>
        </w:rPr>
        <w:t>我所</w:t>
      </w:r>
      <w:r>
        <w:rPr>
          <w:rFonts w:ascii="仿宋" w:hAnsi="仿宋" w:eastAsia="仿宋"/>
        </w:rPr>
        <w:t>严格按照要求在</w:t>
      </w:r>
      <w:r>
        <w:rPr>
          <w:rFonts w:hint="eastAsia" w:ascii="仿宋" w:hAnsi="仿宋" w:eastAsia="仿宋"/>
        </w:rPr>
        <w:t>市</w:t>
      </w:r>
      <w:r>
        <w:rPr>
          <w:rFonts w:ascii="仿宋" w:hAnsi="仿宋" w:eastAsia="仿宋"/>
        </w:rPr>
        <w:t>财政部门批复二十日后，根据</w:t>
      </w:r>
      <w:r>
        <w:rPr>
          <w:rFonts w:hint="eastAsia" w:ascii="仿宋" w:hAnsi="仿宋" w:eastAsia="仿宋"/>
        </w:rPr>
        <w:t>市</w:t>
      </w:r>
      <w:r>
        <w:rPr>
          <w:rFonts w:ascii="仿宋" w:hAnsi="仿宋" w:eastAsia="仿宋"/>
        </w:rPr>
        <w:t>财政要求按时在网上公示本</w:t>
      </w:r>
      <w:r>
        <w:rPr>
          <w:rFonts w:hint="eastAsia" w:ascii="仿宋" w:hAnsi="仿宋" w:eastAsia="仿宋"/>
        </w:rPr>
        <w:t>绩效目标</w:t>
      </w:r>
      <w:r>
        <w:rPr>
          <w:rFonts w:ascii="仿宋" w:hAnsi="仿宋" w:eastAsia="仿宋"/>
        </w:rPr>
        <w:t>情况</w:t>
      </w:r>
      <w:r>
        <w:rPr>
          <w:rFonts w:hint="eastAsia" w:ascii="仿宋" w:hAnsi="仿宋" w:eastAsia="仿宋"/>
        </w:rPr>
        <w:t>。同时</w:t>
      </w:r>
      <w:r>
        <w:rPr>
          <w:rFonts w:ascii="仿宋" w:hAnsi="仿宋" w:eastAsia="仿宋"/>
        </w:rPr>
        <w:t>部门整体支出绩效自评报告及其他按要求应公开的绩效信息</w:t>
      </w:r>
      <w:r>
        <w:rPr>
          <w:rFonts w:hint="eastAsia" w:ascii="仿宋" w:hAnsi="仿宋" w:eastAsia="仿宋"/>
        </w:rPr>
        <w:t>均已信息公开，</w:t>
      </w:r>
      <w:r>
        <w:rPr>
          <w:color w:val="000000"/>
          <w:szCs w:val="32"/>
          <w:shd w:val="clear" w:color="auto" w:fill="FFFFFF"/>
        </w:rPr>
        <w:t>对自评结果及时进行整改反馈</w:t>
      </w:r>
      <w:r>
        <w:rPr>
          <w:rFonts w:hint="eastAsia"/>
          <w:color w:val="000000"/>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default" w:ascii="Times New Roman" w:hAnsi="Times New Roman" w:eastAsia="仿宋_GB2312" w:cs="仿宋_GB2312"/>
          <w:b/>
          <w:bCs w:val="0"/>
          <w:sz w:val="33"/>
          <w:szCs w:val="33"/>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63" w:firstLineChars="200"/>
        <w:contextualSpacing/>
        <w:jc w:val="both"/>
        <w:textAlignment w:val="auto"/>
        <w:outlineLvl w:val="9"/>
        <w:rPr>
          <w:rFonts w:hint="eastAsia" w:ascii="仿宋" w:hAnsi="仿宋" w:eastAsia="仿宋" w:cs="仿宋"/>
          <w:b/>
          <w:bCs/>
          <w:sz w:val="28"/>
          <w:szCs w:val="28"/>
          <w:highlight w:val="yellow"/>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r>
        <w:rPr>
          <w:rFonts w:hint="eastAsia" w:ascii="Times New Roman" w:hAnsi="Times New Roman" w:cs="Times New Roman"/>
          <w:color w:val="000000"/>
          <w:kern w:val="0"/>
          <w:szCs w:val="32"/>
          <w:highlight w:val="none"/>
          <w:shd w:val="clear" w:color="auto" w:fill="FFFFFF"/>
          <w:lang w:val="en-US" w:eastAsia="zh-CN"/>
        </w:rPr>
        <w:t>2024年，我单位认真履行职能职责，基本完成了各项目标任务。依照《部门整体支出绩效自评打分表》，从评价情况来看，我单位部门预算整体绩效总体合格，预算编制质量较高，绩效目标明确，预算执行及综合管理较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default" w:ascii="Times New Roman" w:hAnsi="Times New Roman" w:eastAsia="仿宋_GB2312" w:cs="Times New Roman"/>
          <w:sz w:val="33"/>
          <w:szCs w:val="33"/>
          <w:highlight w:val="none"/>
          <w:u w:val="none"/>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r>
        <w:rPr>
          <w:rFonts w:hint="eastAsia" w:cs="Times New Roman"/>
          <w:sz w:val="33"/>
          <w:szCs w:val="33"/>
          <w:highlight w:val="none"/>
          <w:u w:val="none"/>
          <w:lang w:val="en-US" w:eastAsia="zh-CN"/>
        </w:rPr>
        <w:t>单位</w:t>
      </w:r>
      <w:r>
        <w:rPr>
          <w:rFonts w:hint="eastAsia" w:ascii="Times New Roman" w:hAnsi="Times New Roman" w:eastAsia="仿宋_GB2312" w:cs="Times New Roman"/>
          <w:sz w:val="33"/>
          <w:szCs w:val="33"/>
          <w:highlight w:val="none"/>
          <w:u w:val="none"/>
          <w:lang w:val="en-US" w:eastAsia="zh-CN"/>
        </w:rPr>
        <w:t>预算执行执行进度不均衡，</w:t>
      </w:r>
      <w:r>
        <w:rPr>
          <w:rFonts w:hint="eastAsia" w:ascii="Times New Roman" w:hAnsi="Times New Roman" w:cs="Times New Roman"/>
          <w:sz w:val="33"/>
          <w:szCs w:val="33"/>
          <w:highlight w:val="none"/>
          <w:u w:val="none"/>
          <w:lang w:val="en-US" w:eastAsia="zh-CN"/>
        </w:rPr>
        <w:t>中省政法资金项目执行率低于90%。</w:t>
      </w:r>
    </w:p>
    <w:p>
      <w:pPr>
        <w:snapToGrid w:val="0"/>
        <w:spacing w:line="580" w:lineRule="exact"/>
        <w:ind w:firstLine="663" w:firstLineChars="200"/>
        <w:rPr>
          <w:rFonts w:hint="eastAsia" w:ascii="仿宋_GB2312"/>
          <w:szCs w:val="32"/>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bookmarkStart w:id="15" w:name="_Hlk110546638"/>
      <w:r>
        <w:rPr>
          <w:rFonts w:hint="eastAsia" w:ascii="仿宋_GB2312"/>
          <w:szCs w:val="32"/>
        </w:rPr>
        <w:t>科学决策、合理预算，严格按照预算执行，确保预算资金使用规范、高效、合理。</w:t>
      </w:r>
      <w:r>
        <w:rPr>
          <w:rFonts w:hint="eastAsia" w:ascii="Times New Roman" w:hAnsi="Times New Roman" w:eastAsia="仿宋_GB2312" w:cs="Times New Roman"/>
          <w:sz w:val="33"/>
          <w:szCs w:val="33"/>
          <w:highlight w:val="none"/>
          <w:u w:val="none"/>
          <w:lang w:val="en-US" w:eastAsia="zh-CN"/>
        </w:rPr>
        <w:t>完善绩效评价体系，加强监督检查和考核工作。</w:t>
      </w:r>
      <w:r>
        <w:rPr>
          <w:rFonts w:hint="eastAsia" w:ascii="仿宋_GB231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仿宋_GB2312" w:cs="仿宋_GB2312"/>
          <w:b w:val="0"/>
          <w:bCs w:val="0"/>
          <w:kern w:val="0"/>
          <w:position w:val="0"/>
          <w:sz w:val="33"/>
          <w:szCs w:val="33"/>
          <w:highlight w:val="none"/>
          <w:lang w:val="en" w:eastAsia="zh-CN" w:bidi="ar-SA"/>
        </w:rPr>
      </w:pPr>
    </w:p>
    <w:bookmarkEnd w:id="15"/>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仿宋_GB2312" w:cs="仿宋_GB2312"/>
          <w:b w:val="0"/>
          <w:bCs w:val="0"/>
          <w:kern w:val="0"/>
          <w:position w:val="0"/>
          <w:sz w:val="33"/>
          <w:szCs w:val="33"/>
          <w:highlight w:val="none"/>
          <w:lang w:val="zh-CN" w:eastAsia="zh-CN" w:bidi="ar-SA"/>
        </w:rPr>
      </w:pPr>
    </w:p>
    <w:p>
      <w:pPr>
        <w:keepNext w:val="0"/>
        <w:keepLines w:val="0"/>
        <w:pageBreakBefore w:val="0"/>
        <w:kinsoku/>
        <w:wordWrap/>
        <w:overflowPunct/>
        <w:topLinePunct w:val="0"/>
        <w:autoSpaceDE/>
        <w:autoSpaceDN/>
        <w:bidi w:val="0"/>
        <w:adjustRightInd/>
        <w:snapToGrid/>
        <w:spacing w:line="590" w:lineRule="exact"/>
        <w:ind w:left="0" w:leftChars="0" w:right="0" w:rightChars="0"/>
        <w:contextualSpacing/>
        <w:jc w:val="both"/>
        <w:textAlignment w:val="auto"/>
        <w:outlineLvl w:val="9"/>
        <w:rPr>
          <w:rFonts w:hint="default" w:ascii="Times New Roman" w:hAnsi="Times New Roman" w:eastAsia="黑体" w:cs="Times New Roman"/>
          <w:sz w:val="33"/>
          <w:szCs w:val="33"/>
          <w:highlight w:val="none"/>
          <w:lang w:val="en-US" w:eastAsia="zh-CN"/>
        </w:rPr>
      </w:pPr>
    </w:p>
    <w:p>
      <w:pPr>
        <w:keepNext w:val="0"/>
        <w:keepLines w:val="0"/>
        <w:pageBreakBefore w:val="0"/>
        <w:kinsoku/>
        <w:wordWrap/>
        <w:overflowPunct/>
        <w:topLinePunct w:val="0"/>
        <w:autoSpaceDE/>
        <w:autoSpaceDN/>
        <w:bidi w:val="0"/>
        <w:adjustRightInd/>
        <w:snapToGrid/>
        <w:spacing w:line="590" w:lineRule="exact"/>
        <w:ind w:left="0" w:leftChars="0" w:right="0" w:rightChars="0" w:firstLine="66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cs="Times New Roman"/>
          <w:color w:val="000000"/>
          <w:kern w:val="0"/>
          <w:sz w:val="33"/>
          <w:szCs w:val="33"/>
          <w:highlight w:val="none"/>
          <w:shd w:val="clear" w:color="auto" w:fill="FFFFFF"/>
          <w:lang w:val="en-US" w:eastAsia="zh-CN"/>
        </w:rPr>
        <w:t>附表：</w:t>
      </w:r>
      <w:r>
        <w:rPr>
          <w:rFonts w:hint="default" w:ascii="Times New Roman" w:hAnsi="Times New Roman" w:cs="Times New Roman"/>
          <w:color w:val="000000"/>
          <w:kern w:val="0"/>
          <w:sz w:val="33"/>
          <w:szCs w:val="33"/>
          <w:highlight w:val="none"/>
          <w:shd w:val="clear" w:color="auto" w:fill="FFFFFF"/>
          <w:lang w:val="en-US" w:eastAsia="zh-CN"/>
        </w:rPr>
        <w:t>部门整体支出绩效目标完成情况自评表</w:t>
      </w:r>
      <w:r>
        <w:rPr>
          <w:rFonts w:hint="default" w:ascii="Times New Roman" w:hAnsi="Times New Roman" w:cs="Times New Roman"/>
          <w:color w:val="000000"/>
          <w:kern w:val="0"/>
          <w:sz w:val="33"/>
          <w:szCs w:val="33"/>
          <w:highlight w:val="none"/>
          <w:shd w:val="clear" w:color="auto" w:fill="FFFFFF"/>
          <w:lang w:val="en-US" w:eastAsia="zh-CN"/>
        </w:rPr>
        <w:br w:type="page"/>
      </w:r>
      <w:r>
        <w:rPr>
          <w:rFonts w:hint="eastAsia" w:ascii="Times New Roman" w:hAnsi="Times New Roman" w:eastAsia="黑体" w:cs="黑体"/>
          <w:kern w:val="2"/>
          <w:sz w:val="32"/>
          <w:szCs w:val="24"/>
          <w:highlight w:val="none"/>
          <w:lang w:val="en-US" w:eastAsia="zh-CN" w:bidi="ar-SA"/>
        </w:rPr>
        <w:t>附表</w:t>
      </w:r>
    </w:p>
    <w:tbl>
      <w:tblPr>
        <w:tblStyle w:val="13"/>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遂宁市拘留所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635.05</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635.05</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zh-CN" w:eastAsia="zh-CN" w:bidi="ar"/>
              </w:rPr>
              <w:t>完成了</w:t>
            </w:r>
            <w:r>
              <w:rPr>
                <w:rFonts w:hint="eastAsia" w:ascii="Times New Roman" w:hAnsi="Times New Roman" w:eastAsia="宋体" w:cs="Times New Roman"/>
                <w:i w:val="0"/>
                <w:color w:val="000000"/>
                <w:kern w:val="0"/>
                <w:sz w:val="24"/>
                <w:szCs w:val="24"/>
                <w:u w:val="none"/>
                <w:lang w:val="en-US" w:eastAsia="zh-CN" w:bidi="ar"/>
              </w:rPr>
              <w:t>船山区、河东新区、经济开发区、高新区、安居区、蓬溪县和市本级行政拘留和司法拘留任务，</w:t>
            </w:r>
            <w:r>
              <w:rPr>
                <w:rFonts w:hint="eastAsia" w:ascii="Times New Roman" w:hAnsi="Times New Roman" w:eastAsia="宋体" w:cs="Times New Roman"/>
                <w:i w:val="0"/>
                <w:color w:val="000000"/>
                <w:kern w:val="0"/>
                <w:sz w:val="24"/>
                <w:szCs w:val="24"/>
                <w:u w:val="none"/>
                <w:lang w:val="zh-CN" w:eastAsia="zh-CN" w:bidi="ar"/>
              </w:rPr>
              <w:t>有效履行机构职能职责，保证监所安全。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1.保障部门人员工资福利；</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2.部门行政运行</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1.全</w:t>
            </w:r>
            <w:r>
              <w:rPr>
                <w:rFonts w:hint="eastAsia" w:ascii="Times New Roman" w:hAnsi="Times New Roman" w:eastAsia="宋体" w:cs="Times New Roman"/>
                <w:i w:val="0"/>
                <w:color w:val="000000"/>
                <w:kern w:val="0"/>
                <w:sz w:val="24"/>
                <w:szCs w:val="24"/>
                <w:u w:val="none"/>
                <w:lang w:val="en-US" w:eastAsia="zh-CN" w:bidi="ar"/>
              </w:rPr>
              <w:t>所</w:t>
            </w:r>
            <w:r>
              <w:rPr>
                <w:rFonts w:hint="default" w:ascii="Times New Roman" w:hAnsi="Times New Roman" w:eastAsia="宋体" w:cs="Times New Roman"/>
                <w:i w:val="0"/>
                <w:color w:val="000000"/>
                <w:kern w:val="0"/>
                <w:sz w:val="24"/>
                <w:szCs w:val="24"/>
                <w:u w:val="none"/>
                <w:lang w:val="en-US" w:eastAsia="zh-CN" w:bidi="ar"/>
              </w:rPr>
              <w:t>干警职工工资福利、社会保障缴费等支出；2.保障部门正常运转</w:t>
            </w:r>
            <w:r>
              <w:rPr>
                <w:rFonts w:hint="eastAsia" w:eastAsia="宋体"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收拘人数</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0"/>
                <w:szCs w:val="20"/>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11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监所安全</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安全</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项</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本年度</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优</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公众安全感</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0"/>
                <w:szCs w:val="20"/>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群众满意度</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0"/>
                <w:szCs w:val="20"/>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bookmarkStart w:id="16" w:name="OLE_LINK3"/>
            <w:r>
              <w:rPr>
                <w:rFonts w:hint="eastAsia" w:eastAsia="宋体" w:cs="Times New Roman"/>
                <w:i w:val="0"/>
                <w:color w:val="000000"/>
                <w:sz w:val="24"/>
                <w:szCs w:val="24"/>
                <w:u w:val="none"/>
                <w:lang w:val="en-US" w:eastAsia="zh-CN"/>
              </w:rPr>
              <w:t>%</w:t>
            </w:r>
            <w:bookmarkEnd w:id="16"/>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r>
    </w:tbl>
    <w:p>
      <w:pPr>
        <w:pStyle w:val="12"/>
        <w:ind w:left="0" w:leftChars="0" w:firstLine="0" w:firstLineChars="0"/>
        <w:rPr>
          <w:rFonts w:hint="default" w:ascii="Times New Roman" w:hAnsi="Times New Roman" w:eastAsia="黑体" w:cs="Times New Roman"/>
          <w:sz w:val="24"/>
          <w:szCs w:val="24"/>
          <w:highlight w:val="none"/>
          <w:lang w:val="en-US" w:eastAsia="zh-CN"/>
        </w:rPr>
      </w:pPr>
    </w:p>
    <w:sectPr>
      <w:headerReference r:id="rId3" w:type="default"/>
      <w:footerReference r:id="rId4" w:type="default"/>
      <w:pgSz w:w="11906" w:h="16838"/>
      <w:pgMar w:top="2041" w:right="1474" w:bottom="1701" w:left="1587" w:header="851" w:footer="1417" w:gutter="0"/>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- 1 -</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- 1 -</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6469D"/>
    <w:multiLevelType w:val="singleLevel"/>
    <w:tmpl w:val="FBA6469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60"/>
  <w:drawingGridVerticalSpacing w:val="21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MTI1NjU2NDk1ZDQ4MmRhMjdjNDU1MjBhOGUxODgifQ=="/>
    <w:docVar w:name="KSO_WPS_MARK_KEY" w:val="873dafb2-d990-43a4-890d-77b63ff1ba92"/>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197887"/>
    <w:rsid w:val="023965CA"/>
    <w:rsid w:val="02EC5100"/>
    <w:rsid w:val="03E0453E"/>
    <w:rsid w:val="03FB7374"/>
    <w:rsid w:val="07A221E9"/>
    <w:rsid w:val="08EC41AE"/>
    <w:rsid w:val="0A842AB9"/>
    <w:rsid w:val="0CFD19FB"/>
    <w:rsid w:val="0DC31556"/>
    <w:rsid w:val="0DE454AF"/>
    <w:rsid w:val="170235E8"/>
    <w:rsid w:val="1A3D6143"/>
    <w:rsid w:val="1C013801"/>
    <w:rsid w:val="1DFD8D3B"/>
    <w:rsid w:val="1EEB7A66"/>
    <w:rsid w:val="1F2C00EB"/>
    <w:rsid w:val="1FB79DC9"/>
    <w:rsid w:val="1FBFC3F2"/>
    <w:rsid w:val="1FFFE033"/>
    <w:rsid w:val="26A54F0B"/>
    <w:rsid w:val="26FA1D3F"/>
    <w:rsid w:val="27F352A6"/>
    <w:rsid w:val="29064F88"/>
    <w:rsid w:val="291D4488"/>
    <w:rsid w:val="2D527252"/>
    <w:rsid w:val="2DDC1740"/>
    <w:rsid w:val="2EAE55F2"/>
    <w:rsid w:val="2EDF4302"/>
    <w:rsid w:val="2EFE1A04"/>
    <w:rsid w:val="35BBF80F"/>
    <w:rsid w:val="3B736F08"/>
    <w:rsid w:val="3BE3D531"/>
    <w:rsid w:val="3D431A40"/>
    <w:rsid w:val="3DCC38B4"/>
    <w:rsid w:val="3EFF42CA"/>
    <w:rsid w:val="3FD5AF3D"/>
    <w:rsid w:val="3FFED8BE"/>
    <w:rsid w:val="3FFF43BB"/>
    <w:rsid w:val="41974D30"/>
    <w:rsid w:val="42D072DF"/>
    <w:rsid w:val="433DCF8E"/>
    <w:rsid w:val="45FF973D"/>
    <w:rsid w:val="472D176C"/>
    <w:rsid w:val="47550EBA"/>
    <w:rsid w:val="4A40038B"/>
    <w:rsid w:val="4AE43C9A"/>
    <w:rsid w:val="4BF7E09D"/>
    <w:rsid w:val="53BB74FC"/>
    <w:rsid w:val="55FDDF92"/>
    <w:rsid w:val="55FFBC03"/>
    <w:rsid w:val="56CDA72E"/>
    <w:rsid w:val="576F5916"/>
    <w:rsid w:val="577FDAE2"/>
    <w:rsid w:val="57FBE2C7"/>
    <w:rsid w:val="58D47500"/>
    <w:rsid w:val="5B335734"/>
    <w:rsid w:val="5B7F322F"/>
    <w:rsid w:val="5BCAB023"/>
    <w:rsid w:val="5CEB4ECA"/>
    <w:rsid w:val="5DDA9B94"/>
    <w:rsid w:val="5EAB810D"/>
    <w:rsid w:val="5EFF9DA6"/>
    <w:rsid w:val="5F7751B9"/>
    <w:rsid w:val="5F9F7232"/>
    <w:rsid w:val="5F9F9588"/>
    <w:rsid w:val="5FBD32D2"/>
    <w:rsid w:val="5FD450B0"/>
    <w:rsid w:val="5FEF60CD"/>
    <w:rsid w:val="5FFB203D"/>
    <w:rsid w:val="5FFB8CF9"/>
    <w:rsid w:val="610857DD"/>
    <w:rsid w:val="63DBAF21"/>
    <w:rsid w:val="6636451A"/>
    <w:rsid w:val="670D2EF0"/>
    <w:rsid w:val="67DE80AA"/>
    <w:rsid w:val="697E3B47"/>
    <w:rsid w:val="69BF132E"/>
    <w:rsid w:val="6A1F4FB1"/>
    <w:rsid w:val="6BA052C9"/>
    <w:rsid w:val="6BFEE5F3"/>
    <w:rsid w:val="6CAFF34E"/>
    <w:rsid w:val="6CFFCF4F"/>
    <w:rsid w:val="6DFFF8B6"/>
    <w:rsid w:val="6E82467D"/>
    <w:rsid w:val="6EEDE807"/>
    <w:rsid w:val="6EEE4BE4"/>
    <w:rsid w:val="6EF65E9C"/>
    <w:rsid w:val="6F3D9197"/>
    <w:rsid w:val="6FAB3EC4"/>
    <w:rsid w:val="6FB6AF41"/>
    <w:rsid w:val="6FD894C8"/>
    <w:rsid w:val="6FE36A9E"/>
    <w:rsid w:val="6FEFB2D1"/>
    <w:rsid w:val="6FFF97E6"/>
    <w:rsid w:val="71397E03"/>
    <w:rsid w:val="71FB5B08"/>
    <w:rsid w:val="73FB87D9"/>
    <w:rsid w:val="75EF0FBA"/>
    <w:rsid w:val="7607C293"/>
    <w:rsid w:val="76DFA4E8"/>
    <w:rsid w:val="778720BD"/>
    <w:rsid w:val="77A7D615"/>
    <w:rsid w:val="77CF4EC7"/>
    <w:rsid w:val="77FF366A"/>
    <w:rsid w:val="77FF8C96"/>
    <w:rsid w:val="77FFA8F9"/>
    <w:rsid w:val="7976604B"/>
    <w:rsid w:val="79F3BC78"/>
    <w:rsid w:val="7A5B6CAA"/>
    <w:rsid w:val="7A9314AC"/>
    <w:rsid w:val="7B4F6850"/>
    <w:rsid w:val="7BABD5C4"/>
    <w:rsid w:val="7BB12055"/>
    <w:rsid w:val="7BBFADBA"/>
    <w:rsid w:val="7BFF492D"/>
    <w:rsid w:val="7C631402"/>
    <w:rsid w:val="7C978C63"/>
    <w:rsid w:val="7CA35AD0"/>
    <w:rsid w:val="7CDF8BC3"/>
    <w:rsid w:val="7CE51B13"/>
    <w:rsid w:val="7CEB72A5"/>
    <w:rsid w:val="7D18750B"/>
    <w:rsid w:val="7DDFDC39"/>
    <w:rsid w:val="7E140770"/>
    <w:rsid w:val="7E5D92FB"/>
    <w:rsid w:val="7EA95CF3"/>
    <w:rsid w:val="7EF51D64"/>
    <w:rsid w:val="7EFFF488"/>
    <w:rsid w:val="7F0F61C2"/>
    <w:rsid w:val="7F574612"/>
    <w:rsid w:val="7F7F4920"/>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F6311D7"/>
    <w:rsid w:val="9FF54399"/>
    <w:rsid w:val="A46D76C1"/>
    <w:rsid w:val="A7FF43C2"/>
    <w:rsid w:val="ABF66286"/>
    <w:rsid w:val="AD9E3F04"/>
    <w:rsid w:val="ADA70464"/>
    <w:rsid w:val="AEF767A0"/>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CFCC735"/>
    <w:rsid w:val="CEEB8A74"/>
    <w:rsid w:val="D37FB642"/>
    <w:rsid w:val="D7BCD4BF"/>
    <w:rsid w:val="D7F99798"/>
    <w:rsid w:val="D7FF400C"/>
    <w:rsid w:val="DBED1CD4"/>
    <w:rsid w:val="DBFBB328"/>
    <w:rsid w:val="DDD7453A"/>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BB4792"/>
    <w:rsid w:val="FCCB27AA"/>
    <w:rsid w:val="FCFF8F4B"/>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5">
    <w:name w:val="Document Map"/>
    <w:basedOn w:val="1"/>
    <w:link w:val="20"/>
    <w:qFormat/>
    <w:uiPriority w:val="0"/>
    <w:rPr>
      <w:rFonts w:ascii="宋体" w:eastAsia="宋体"/>
      <w:sz w:val="18"/>
      <w:szCs w:val="18"/>
    </w:r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Chars="200"/>
    </w:pPr>
    <w:rPr>
      <w:rFonts w:ascii="仿宋_GB2312"/>
      <w:szCs w:val="32"/>
    </w:rPr>
  </w:style>
  <w:style w:type="paragraph" w:styleId="8">
    <w:name w:val="Balloon Text"/>
    <w:basedOn w:val="1"/>
    <w:semiHidden/>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rFonts w:eastAsia="宋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1">
    <w:name w:val="toc 1"/>
    <w:basedOn w:val="1"/>
    <w:next w:val="1"/>
    <w:qFormat/>
    <w:uiPriority w:val="0"/>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8">
    <w:name w:val="四号正文"/>
    <w:basedOn w:val="1"/>
    <w:link w:val="19"/>
    <w:qFormat/>
    <w:uiPriority w:val="0"/>
    <w:pPr>
      <w:spacing w:line="360" w:lineRule="auto"/>
    </w:pPr>
    <w:rPr>
      <w:rFonts w:ascii="??" w:hAnsi="??" w:eastAsia="宋体" w:cs="宋体"/>
      <w:color w:val="000000"/>
      <w:kern w:val="0"/>
      <w:sz w:val="28"/>
      <w:szCs w:val="21"/>
    </w:rPr>
  </w:style>
  <w:style w:type="character" w:customStyle="1" w:styleId="19">
    <w:name w:val="四号正文 Char"/>
    <w:basedOn w:val="15"/>
    <w:link w:val="18"/>
    <w:qFormat/>
    <w:uiPriority w:val="0"/>
    <w:rPr>
      <w:rFonts w:ascii="??" w:hAnsi="??" w:eastAsia="宋体" w:cs="宋体"/>
      <w:color w:val="000000"/>
      <w:sz w:val="28"/>
      <w:szCs w:val="21"/>
      <w:lang w:val="en-US" w:eastAsia="zh-CN" w:bidi="ar-SA"/>
    </w:rPr>
  </w:style>
  <w:style w:type="character" w:customStyle="1" w:styleId="20">
    <w:name w:val="文档结构图 Char"/>
    <w:basedOn w:val="15"/>
    <w:link w:val="5"/>
    <w:qFormat/>
    <w:uiPriority w:val="0"/>
    <w:rPr>
      <w:rFonts w:ascii="宋体"/>
      <w:kern w:val="2"/>
      <w:sz w:val="18"/>
      <w:szCs w:val="18"/>
    </w:rPr>
  </w:style>
  <w:style w:type="paragraph" w:customStyle="1" w:styleId="21">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2">
    <w:name w:val="页脚 Char"/>
    <w:basedOn w:val="15"/>
    <w:link w:val="9"/>
    <w:qFormat/>
    <w:uiPriority w:val="99"/>
    <w:rPr>
      <w:kern w:val="2"/>
      <w:sz w:val="18"/>
      <w:szCs w:val="18"/>
    </w:rPr>
  </w:style>
  <w:style w:type="character" w:customStyle="1" w:styleId="23">
    <w:name w:val="font31"/>
    <w:basedOn w:val="15"/>
    <w:qFormat/>
    <w:uiPriority w:val="0"/>
    <w:rPr>
      <w:rFonts w:hint="eastAsia" w:ascii="宋体" w:hAnsi="宋体" w:eastAsia="宋体" w:cs="宋体"/>
      <w:color w:val="000000"/>
      <w:sz w:val="24"/>
      <w:szCs w:val="24"/>
      <w:u w:val="none"/>
    </w:rPr>
  </w:style>
  <w:style w:type="character" w:customStyle="1" w:styleId="24">
    <w:name w:val="font51"/>
    <w:basedOn w:val="15"/>
    <w:qFormat/>
    <w:uiPriority w:val="0"/>
    <w:rPr>
      <w:rFonts w:hint="default" w:ascii="Wingdings 2" w:hAnsi="Wingdings 2" w:eastAsia="Wingdings 2" w:cs="Wingdings 2"/>
      <w:color w:val="000000"/>
      <w:sz w:val="18"/>
      <w:szCs w:val="18"/>
      <w:u w:val="none"/>
    </w:rPr>
  </w:style>
  <w:style w:type="character" w:customStyle="1" w:styleId="25">
    <w:name w:val="font01"/>
    <w:basedOn w:val="15"/>
    <w:qFormat/>
    <w:uiPriority w:val="0"/>
    <w:rPr>
      <w:rFonts w:ascii="宋体" w:hAnsi="宋体" w:eastAsia="宋体" w:cs="宋体"/>
      <w:color w:val="000000"/>
      <w:sz w:val="18"/>
      <w:szCs w:val="18"/>
      <w:u w:val="none"/>
    </w:rPr>
  </w:style>
  <w:style w:type="character" w:customStyle="1" w:styleId="26">
    <w:name w:val="font41"/>
    <w:basedOn w:val="15"/>
    <w:qFormat/>
    <w:uiPriority w:val="0"/>
    <w:rPr>
      <w:rFonts w:ascii="宋体" w:hAnsi="宋体" w:eastAsia="宋体" w:cs="宋体"/>
      <w:color w:val="000000"/>
      <w:sz w:val="18"/>
      <w:szCs w:val="18"/>
      <w:u w:val="none"/>
    </w:rPr>
  </w:style>
  <w:style w:type="paragraph" w:customStyle="1" w:styleId="27">
    <w:name w:val="汇政正文-最终版"/>
    <w:basedOn w:val="1"/>
    <w:qFormat/>
    <w:uiPriority w:val="3"/>
    <w:pPr>
      <w:spacing w:line="600" w:lineRule="exact"/>
      <w:ind w:firstLine="200" w:firstLineChars="200"/>
    </w:pPr>
    <w:rPr>
      <w:kern w:val="0"/>
      <w:szCs w:val="28"/>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10</Pages>
  <Words>3579</Words>
  <Characters>4387</Characters>
  <Lines>2</Lines>
  <Paragraphs>1</Paragraphs>
  <TotalTime>0</TotalTime>
  <ScaleCrop>false</ScaleCrop>
  <LinksUpToDate>false</LinksUpToDate>
  <CharactersWithSpaces>4408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2019-05-29T11:06:00Z</dcterms:created>
  <dc:creator>陈萍</dc:creator>
  <cp:lastModifiedBy>Administrator</cp:lastModifiedBy>
  <cp:lastPrinted>2016-02-16T00:25:00Z</cp:lastPrinted>
  <dcterms:modified xsi:type="dcterms:W3CDTF">2025-05-29T03:03:19Z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C0FCC9F4C15575AD2FD1F567C9881326</vt:lpwstr>
  </property>
</Properties>
</file>