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98B54">
      <w:pPr>
        <w:spacing w:line="600" w:lineRule="exact"/>
        <w:jc w:val="left"/>
        <w:outlineLvl w:val="0"/>
        <w:rPr>
          <w:rFonts w:ascii="方正小标宋简体" w:hAnsi="宋体" w:eastAsia="方正小标宋简体"/>
          <w:szCs w:val="21"/>
        </w:rPr>
      </w:pPr>
      <w:bookmarkStart w:id="0" w:name="_Toc15306267"/>
    </w:p>
    <w:p w14:paraId="01248AAE">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7193"/>
      <w:bookmarkStart w:id="4" w:name="_Toc15378441"/>
      <w:bookmarkStart w:id="5" w:name="_Toc15396475"/>
    </w:p>
    <w:p w14:paraId="50A05A7A">
      <w:pPr>
        <w:adjustRightInd w:val="0"/>
        <w:snapToGrid w:val="0"/>
        <w:spacing w:line="360" w:lineRule="auto"/>
        <w:jc w:val="center"/>
        <w:outlineLvl w:val="0"/>
        <w:rPr>
          <w:rFonts w:ascii="方正小标宋简体" w:hAnsi="方正小标宋简体" w:eastAsia="方正小标宋简体" w:cs="方正小标宋简体"/>
          <w:sz w:val="72"/>
          <w:szCs w:val="72"/>
        </w:rPr>
      </w:pPr>
    </w:p>
    <w:p w14:paraId="1CD7FA8A">
      <w:pPr>
        <w:adjustRightInd w:val="0"/>
        <w:snapToGrid w:val="0"/>
        <w:spacing w:line="360" w:lineRule="auto"/>
        <w:jc w:val="center"/>
        <w:outlineLvl w:val="0"/>
        <w:rPr>
          <w:rFonts w:ascii="仿宋" w:hAnsi="仿宋" w:eastAsia="仿宋" w:cs="仿宋"/>
          <w:sz w:val="72"/>
          <w:szCs w:val="72"/>
        </w:rPr>
      </w:pPr>
      <w:r>
        <w:rPr>
          <w:rFonts w:hint="eastAsia" w:ascii="仿宋" w:hAnsi="仿宋" w:eastAsia="仿宋" w:cs="仿宋"/>
          <w:sz w:val="72"/>
          <w:szCs w:val="72"/>
        </w:rPr>
        <w:t>2022年度</w:t>
      </w:r>
      <w:bookmarkEnd w:id="1"/>
      <w:bookmarkEnd w:id="2"/>
      <w:bookmarkEnd w:id="3"/>
      <w:bookmarkEnd w:id="4"/>
      <w:bookmarkEnd w:id="5"/>
      <w:bookmarkStart w:id="6" w:name="_Toc15377426"/>
      <w:bookmarkStart w:id="7" w:name="_Toc15396598"/>
      <w:bookmarkStart w:id="8" w:name="_Toc15377194"/>
      <w:bookmarkStart w:id="9" w:name="_Toc15396476"/>
      <w:bookmarkStart w:id="10" w:name="_Toc15378442"/>
      <w:r>
        <w:rPr>
          <w:rFonts w:hint="eastAsia" w:ascii="仿宋" w:hAnsi="仿宋" w:eastAsia="仿宋" w:cs="仿宋"/>
          <w:sz w:val="72"/>
          <w:szCs w:val="72"/>
        </w:rPr>
        <w:t>遂宁市</w:t>
      </w:r>
      <w:bookmarkEnd w:id="0"/>
      <w:bookmarkStart w:id="11" w:name="_Toc15306268"/>
      <w:r>
        <w:rPr>
          <w:rFonts w:hint="eastAsia" w:ascii="仿宋" w:hAnsi="仿宋" w:eastAsia="仿宋" w:cs="仿宋"/>
          <w:sz w:val="72"/>
          <w:szCs w:val="72"/>
        </w:rPr>
        <w:t>公安局交通警察支队单位决算</w:t>
      </w:r>
      <w:bookmarkEnd w:id="6"/>
      <w:bookmarkEnd w:id="7"/>
      <w:bookmarkEnd w:id="8"/>
      <w:bookmarkEnd w:id="9"/>
      <w:bookmarkEnd w:id="10"/>
      <w:bookmarkEnd w:id="11"/>
    </w:p>
    <w:p w14:paraId="5D8282F6">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D3BB3A2">
      <w:pPr>
        <w:widowControl/>
        <w:jc w:val="center"/>
        <w:rPr>
          <w:rFonts w:ascii="黑体" w:hAnsi="黑体" w:eastAsia="黑体" w:cstheme="minorBidi"/>
          <w:sz w:val="28"/>
          <w:szCs w:val="28"/>
        </w:rPr>
      </w:pPr>
    </w:p>
    <w:p w14:paraId="1D0BFDC2">
      <w:pPr>
        <w:pStyle w:val="10"/>
        <w:rPr>
          <w:b/>
        </w:rPr>
      </w:pPr>
      <w:r>
        <w:rPr>
          <w:rFonts w:hint="eastAsia"/>
          <w:b/>
        </w:rPr>
        <w:t>公开时间：2023年8月17日</w:t>
      </w:r>
    </w:p>
    <w:p w14:paraId="40FBBA72"/>
    <w:sdt>
      <w:sdtPr>
        <w:rPr>
          <w:lang w:val="zh-CN"/>
        </w:rPr>
        <w:id w:val="175845560"/>
        <w:docPartObj>
          <w:docPartGallery w:val="Table of Contents"/>
          <w:docPartUnique/>
        </w:docPartObj>
      </w:sdtPr>
      <w:sdtEndPr>
        <w:rPr>
          <w:rFonts w:ascii="Times New Roman" w:hAnsi="Times New Roman" w:eastAsia="宋体" w:cs="Times New Roman"/>
          <w:bCs w:val="0"/>
          <w:color w:val="auto"/>
          <w:kern w:val="2"/>
          <w:sz w:val="21"/>
          <w:szCs w:val="24"/>
          <w:lang w:val="zh-CN"/>
        </w:rPr>
      </w:sdtEndPr>
      <w:sdtContent>
        <w:p w14:paraId="70215244">
          <w:pPr>
            <w:pStyle w:val="37"/>
          </w:pPr>
          <w:r>
            <w:rPr>
              <w:lang w:val="zh-CN"/>
            </w:rPr>
            <w:t>目录</w:t>
          </w:r>
        </w:p>
        <w:p w14:paraId="7D56E3F3">
          <w:pPr>
            <w:pStyle w:val="10"/>
            <w:rPr>
              <w:rFonts w:hint="eastAsia" w:ascii="仿宋_GB2312" w:eastAsia="仿宋_GB2312"/>
              <w:sz w:val="30"/>
              <w:szCs w:val="30"/>
            </w:rPr>
          </w:pPr>
          <w:r>
            <w:rPr>
              <w:rFonts w:hint="eastAsia" w:ascii="仿宋_GB2312" w:eastAsia="仿宋_GB2312"/>
              <w:b/>
              <w:sz w:val="30"/>
              <w:szCs w:val="30"/>
            </w:rPr>
            <w:t>第一部分单位概况</w:t>
          </w:r>
          <w:r>
            <w:rPr>
              <w:rFonts w:hint="eastAsia" w:ascii="仿宋_GB2312" w:eastAsia="仿宋_GB2312"/>
              <w:sz w:val="30"/>
              <w:szCs w:val="30"/>
            </w:rPr>
            <w:ptab w:relativeTo="margin" w:alignment="right" w:leader="dot"/>
          </w:r>
          <w:r>
            <w:rPr>
              <w:rFonts w:hint="eastAsia" w:ascii="仿宋_GB2312" w:eastAsia="仿宋_GB2312"/>
              <w:b/>
              <w:sz w:val="30"/>
              <w:szCs w:val="30"/>
              <w:lang w:val="zh-CN"/>
            </w:rPr>
            <w:t>4</w:t>
          </w:r>
        </w:p>
        <w:p w14:paraId="2DBE9475">
          <w:pPr>
            <w:pStyle w:val="11"/>
            <w:ind w:left="0" w:leftChars="0" w:firstLine="600" w:firstLineChars="200"/>
            <w:rPr>
              <w:rFonts w:hint="eastAsia" w:ascii="仿宋_GB2312" w:eastAsia="仿宋_GB2312"/>
              <w:sz w:val="30"/>
              <w:szCs w:val="30"/>
              <w:lang w:val="zh-CN"/>
            </w:rPr>
          </w:pPr>
          <w:r>
            <w:rPr>
              <w:rFonts w:hint="eastAsia" w:ascii="仿宋_GB2312" w:eastAsia="仿宋_GB2312"/>
              <w:sz w:val="30"/>
              <w:szCs w:val="30"/>
            </w:rPr>
            <w:t>一、主要职责</w:t>
          </w:r>
          <w:r>
            <w:rPr>
              <w:rFonts w:hint="eastAsia" w:ascii="仿宋_GB2312" w:eastAsia="仿宋_GB2312"/>
              <w:sz w:val="30"/>
              <w:szCs w:val="30"/>
            </w:rPr>
            <w:ptab w:relativeTo="margin" w:alignment="right" w:leader="dot"/>
          </w:r>
          <w:r>
            <w:rPr>
              <w:rFonts w:hint="eastAsia" w:ascii="仿宋_GB2312" w:eastAsia="仿宋_GB2312"/>
              <w:sz w:val="30"/>
              <w:szCs w:val="30"/>
              <w:lang w:val="zh-CN"/>
            </w:rPr>
            <w:t>4</w:t>
          </w:r>
        </w:p>
        <w:p w14:paraId="0CBC2504">
          <w:pPr>
            <w:ind w:firstLine="600" w:firstLineChars="200"/>
            <w:rPr>
              <w:rFonts w:hint="eastAsia" w:ascii="仿宋_GB2312" w:eastAsia="仿宋_GB2312"/>
              <w:sz w:val="30"/>
              <w:szCs w:val="30"/>
              <w:lang w:val="zh-CN"/>
            </w:rPr>
          </w:pPr>
          <w:r>
            <w:rPr>
              <w:rFonts w:hint="eastAsia" w:ascii="仿宋_GB2312" w:eastAsia="仿宋_GB2312"/>
              <w:sz w:val="30"/>
              <w:szCs w:val="30"/>
            </w:rPr>
            <w:t>二、机构设置</w:t>
          </w:r>
          <w:r>
            <w:rPr>
              <w:rFonts w:hint="eastAsia" w:ascii="仿宋_GB2312" w:eastAsia="仿宋_GB2312"/>
              <w:sz w:val="30"/>
              <w:szCs w:val="30"/>
            </w:rPr>
            <w:ptab w:relativeTo="margin" w:alignment="right" w:leader="dot"/>
          </w:r>
          <w:r>
            <w:rPr>
              <w:rFonts w:hint="eastAsia" w:ascii="仿宋_GB2312" w:eastAsia="仿宋_GB2312"/>
              <w:sz w:val="30"/>
              <w:szCs w:val="30"/>
              <w:lang w:val="zh-CN"/>
            </w:rPr>
            <w:t>5</w:t>
          </w:r>
        </w:p>
        <w:p w14:paraId="56A28FC3">
          <w:pPr>
            <w:pStyle w:val="10"/>
            <w:rPr>
              <w:rFonts w:hint="eastAsia" w:ascii="仿宋_GB2312" w:eastAsia="仿宋_GB2312"/>
              <w:sz w:val="30"/>
              <w:szCs w:val="30"/>
            </w:rPr>
          </w:pPr>
          <w:r>
            <w:rPr>
              <w:rFonts w:hint="eastAsia" w:ascii="仿宋_GB2312" w:eastAsia="仿宋_GB2312"/>
              <w:b/>
              <w:sz w:val="30"/>
              <w:szCs w:val="30"/>
            </w:rPr>
            <w:t>第二部分 2022年度单位决算情况说明</w:t>
          </w:r>
          <w:r>
            <w:rPr>
              <w:rFonts w:hint="eastAsia" w:ascii="仿宋_GB2312" w:eastAsia="仿宋_GB2312"/>
              <w:sz w:val="30"/>
              <w:szCs w:val="30"/>
            </w:rPr>
            <w:ptab w:relativeTo="margin" w:alignment="right" w:leader="dot"/>
          </w:r>
          <w:r>
            <w:rPr>
              <w:rFonts w:hint="eastAsia" w:ascii="仿宋_GB2312" w:eastAsia="仿宋_GB2312"/>
              <w:b/>
              <w:sz w:val="30"/>
              <w:szCs w:val="30"/>
              <w:lang w:val="zh-CN"/>
            </w:rPr>
            <w:t>6</w:t>
          </w:r>
        </w:p>
        <w:p w14:paraId="39B414CD">
          <w:pPr>
            <w:pStyle w:val="11"/>
            <w:ind w:left="0" w:leftChars="0" w:firstLine="600" w:firstLineChars="200"/>
            <w:rPr>
              <w:rFonts w:hint="eastAsia" w:ascii="仿宋_GB2312" w:eastAsia="仿宋_GB2312"/>
              <w:sz w:val="30"/>
              <w:szCs w:val="30"/>
            </w:rPr>
          </w:pPr>
          <w:r>
            <w:rPr>
              <w:rFonts w:hint="eastAsia" w:ascii="仿宋_GB2312" w:eastAsia="仿宋_GB2312"/>
              <w:sz w:val="30"/>
              <w:szCs w:val="30"/>
            </w:rPr>
            <w:t>一、收入支出决算总体情况说明</w:t>
          </w:r>
          <w:r>
            <w:rPr>
              <w:rFonts w:hint="eastAsia" w:ascii="仿宋_GB2312" w:eastAsia="仿宋_GB2312"/>
              <w:sz w:val="30"/>
              <w:szCs w:val="30"/>
            </w:rPr>
            <w:ptab w:relativeTo="margin" w:alignment="right" w:leader="dot"/>
          </w:r>
          <w:r>
            <w:rPr>
              <w:rFonts w:hint="eastAsia" w:ascii="仿宋_GB2312" w:eastAsia="仿宋_GB2312"/>
              <w:sz w:val="30"/>
              <w:szCs w:val="30"/>
              <w:lang w:val="zh-CN"/>
            </w:rPr>
            <w:t>6</w:t>
          </w:r>
        </w:p>
        <w:p w14:paraId="2F1A81E2">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二、收入决算情况说明</w:t>
          </w:r>
          <w:r>
            <w:rPr>
              <w:rFonts w:hint="eastAsia" w:ascii="仿宋_GB2312" w:eastAsia="仿宋_GB2312"/>
              <w:sz w:val="30"/>
              <w:szCs w:val="30"/>
            </w:rPr>
            <w:ptab w:relativeTo="margin" w:alignment="right" w:leader="dot"/>
          </w:r>
          <w:r>
            <w:rPr>
              <w:rFonts w:hint="eastAsia" w:ascii="仿宋_GB2312" w:eastAsia="仿宋_GB2312"/>
              <w:sz w:val="30"/>
              <w:szCs w:val="30"/>
            </w:rPr>
            <w:t>6</w:t>
          </w:r>
        </w:p>
        <w:p w14:paraId="367C6AAA">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三、支出决算情况说明</w:t>
          </w:r>
          <w:r>
            <w:rPr>
              <w:rFonts w:hint="eastAsia" w:ascii="仿宋_GB2312" w:eastAsia="仿宋_GB2312"/>
              <w:sz w:val="30"/>
              <w:szCs w:val="30"/>
            </w:rPr>
            <w:ptab w:relativeTo="margin" w:alignment="right" w:leader="dot"/>
          </w:r>
          <w:r>
            <w:rPr>
              <w:rFonts w:hint="eastAsia" w:ascii="仿宋_GB2312" w:eastAsia="仿宋_GB2312"/>
              <w:sz w:val="30"/>
              <w:szCs w:val="30"/>
            </w:rPr>
            <w:t>7</w:t>
          </w:r>
        </w:p>
        <w:p w14:paraId="76A0DD54">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四、财政拨款收入支出决算总体情况说明</w:t>
          </w:r>
          <w:r>
            <w:rPr>
              <w:rFonts w:hint="eastAsia" w:ascii="仿宋_GB2312" w:eastAsia="仿宋_GB2312"/>
              <w:sz w:val="30"/>
              <w:szCs w:val="30"/>
            </w:rPr>
            <w:ptab w:relativeTo="margin" w:alignment="right" w:leader="dot"/>
          </w:r>
          <w:r>
            <w:rPr>
              <w:rFonts w:hint="eastAsia" w:ascii="仿宋_GB2312" w:eastAsia="仿宋_GB2312"/>
              <w:sz w:val="30"/>
              <w:szCs w:val="30"/>
            </w:rPr>
            <w:t>8</w:t>
          </w:r>
        </w:p>
        <w:p w14:paraId="673DCA1E">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五、一般公共预算财政拨款支出决算情况说明</w:t>
          </w:r>
          <w:r>
            <w:rPr>
              <w:rFonts w:hint="eastAsia" w:ascii="仿宋_GB2312" w:eastAsia="仿宋_GB2312"/>
              <w:sz w:val="30"/>
              <w:szCs w:val="30"/>
            </w:rPr>
            <w:ptab w:relativeTo="margin" w:alignment="right" w:leader="dot"/>
          </w:r>
          <w:r>
            <w:rPr>
              <w:rFonts w:hint="eastAsia" w:ascii="仿宋_GB2312" w:eastAsia="仿宋_GB2312"/>
              <w:sz w:val="30"/>
              <w:szCs w:val="30"/>
            </w:rPr>
            <w:t>9</w:t>
          </w:r>
        </w:p>
        <w:p w14:paraId="2DE43E62">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六、一般公共预算财政拨款基本支出决算情况说明</w:t>
          </w:r>
          <w:r>
            <w:rPr>
              <w:rFonts w:hint="eastAsia" w:ascii="仿宋_GB2312" w:eastAsia="仿宋_GB2312"/>
              <w:sz w:val="30"/>
              <w:szCs w:val="30"/>
            </w:rPr>
            <w:ptab w:relativeTo="margin" w:alignment="right" w:leader="dot"/>
          </w:r>
          <w:r>
            <w:rPr>
              <w:rFonts w:hint="eastAsia" w:ascii="仿宋_GB2312" w:eastAsia="仿宋_GB2312"/>
              <w:sz w:val="30"/>
              <w:szCs w:val="30"/>
            </w:rPr>
            <w:t>12</w:t>
          </w:r>
        </w:p>
        <w:p w14:paraId="17626C44">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七、财政拨款“三公”经费支出决算情况说明</w:t>
          </w:r>
          <w:r>
            <w:rPr>
              <w:rFonts w:hint="eastAsia" w:ascii="仿宋_GB2312" w:eastAsia="仿宋_GB2312"/>
              <w:sz w:val="30"/>
              <w:szCs w:val="30"/>
            </w:rPr>
            <w:ptab w:relativeTo="margin" w:alignment="right" w:leader="dot"/>
          </w:r>
          <w:r>
            <w:rPr>
              <w:rFonts w:hint="eastAsia" w:ascii="仿宋_GB2312" w:eastAsia="仿宋_GB2312"/>
              <w:sz w:val="30"/>
              <w:szCs w:val="30"/>
            </w:rPr>
            <w:t>13</w:t>
          </w:r>
        </w:p>
        <w:p w14:paraId="6275536E">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八、政府性基金预算支出决算情况说明</w:t>
          </w:r>
          <w:r>
            <w:rPr>
              <w:rFonts w:hint="eastAsia" w:ascii="仿宋_GB2312" w:eastAsia="仿宋_GB2312"/>
              <w:sz w:val="30"/>
              <w:szCs w:val="30"/>
            </w:rPr>
            <w:ptab w:relativeTo="margin" w:alignment="right" w:leader="dot"/>
          </w:r>
          <w:r>
            <w:rPr>
              <w:rFonts w:hint="eastAsia" w:ascii="仿宋_GB2312" w:eastAsia="仿宋_GB2312"/>
              <w:sz w:val="30"/>
              <w:szCs w:val="30"/>
            </w:rPr>
            <w:t>15</w:t>
          </w:r>
        </w:p>
        <w:p w14:paraId="3A20C8B4">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九、国有资本经营预算支出决算情况说明</w:t>
          </w:r>
          <w:r>
            <w:rPr>
              <w:rFonts w:hint="eastAsia" w:ascii="仿宋_GB2312" w:eastAsia="仿宋_GB2312"/>
              <w:sz w:val="30"/>
              <w:szCs w:val="30"/>
            </w:rPr>
            <w:ptab w:relativeTo="margin" w:alignment="right" w:leader="dot"/>
          </w:r>
          <w:r>
            <w:rPr>
              <w:rFonts w:hint="eastAsia" w:ascii="仿宋_GB2312" w:eastAsia="仿宋_GB2312"/>
              <w:sz w:val="30"/>
              <w:szCs w:val="30"/>
            </w:rPr>
            <w:t>15</w:t>
          </w:r>
        </w:p>
        <w:p w14:paraId="26761F00">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十、其他重要事项的情况说明</w:t>
          </w:r>
          <w:r>
            <w:rPr>
              <w:rFonts w:hint="eastAsia" w:ascii="仿宋_GB2312" w:eastAsia="仿宋_GB2312"/>
              <w:sz w:val="30"/>
              <w:szCs w:val="30"/>
            </w:rPr>
            <w:ptab w:relativeTo="margin" w:alignment="right" w:leader="dot"/>
          </w:r>
          <w:r>
            <w:rPr>
              <w:rFonts w:hint="eastAsia" w:ascii="仿宋_GB2312" w:eastAsia="仿宋_GB2312"/>
              <w:sz w:val="30"/>
              <w:szCs w:val="30"/>
            </w:rPr>
            <w:t>15</w:t>
          </w:r>
        </w:p>
        <w:p w14:paraId="25C99859">
          <w:pPr>
            <w:pStyle w:val="10"/>
            <w:rPr>
              <w:rFonts w:hint="eastAsia" w:ascii="仿宋_GB2312" w:eastAsia="仿宋_GB2312"/>
              <w:sz w:val="30"/>
              <w:szCs w:val="30"/>
            </w:rPr>
          </w:pPr>
          <w:r>
            <w:rPr>
              <w:rFonts w:hint="eastAsia" w:ascii="仿宋_GB2312" w:eastAsia="仿宋_GB2312"/>
              <w:b/>
              <w:sz w:val="30"/>
              <w:szCs w:val="30"/>
            </w:rPr>
            <w:t>第三部分名词解释</w:t>
          </w:r>
          <w:r>
            <w:rPr>
              <w:rFonts w:hint="eastAsia" w:ascii="仿宋_GB2312" w:eastAsia="仿宋_GB2312"/>
              <w:sz w:val="30"/>
              <w:szCs w:val="30"/>
            </w:rPr>
            <w:ptab w:relativeTo="margin" w:alignment="right" w:leader="dot"/>
          </w:r>
          <w:r>
            <w:rPr>
              <w:rFonts w:hint="eastAsia" w:ascii="仿宋_GB2312" w:eastAsia="仿宋_GB2312"/>
              <w:b/>
              <w:sz w:val="30"/>
              <w:szCs w:val="30"/>
              <w:lang w:val="zh-CN"/>
            </w:rPr>
            <w:t>18</w:t>
          </w:r>
        </w:p>
        <w:p w14:paraId="186B848F">
          <w:pPr>
            <w:pStyle w:val="10"/>
            <w:rPr>
              <w:rFonts w:hint="eastAsia" w:ascii="仿宋_GB2312" w:eastAsia="仿宋_GB2312"/>
              <w:sz w:val="30"/>
              <w:szCs w:val="30"/>
            </w:rPr>
          </w:pPr>
          <w:r>
            <w:rPr>
              <w:rFonts w:hint="eastAsia" w:ascii="仿宋_GB2312" w:eastAsia="仿宋_GB2312"/>
              <w:b/>
              <w:sz w:val="30"/>
              <w:szCs w:val="30"/>
            </w:rPr>
            <w:t>第四部分附件</w:t>
          </w:r>
          <w:r>
            <w:rPr>
              <w:rFonts w:hint="eastAsia" w:ascii="仿宋_GB2312" w:eastAsia="仿宋_GB2312"/>
              <w:sz w:val="30"/>
              <w:szCs w:val="30"/>
            </w:rPr>
            <w:ptab w:relativeTo="margin" w:alignment="right" w:leader="dot"/>
          </w:r>
          <w:r>
            <w:rPr>
              <w:rFonts w:hint="eastAsia" w:ascii="仿宋_GB2312" w:eastAsia="仿宋_GB2312"/>
              <w:b/>
              <w:sz w:val="30"/>
              <w:szCs w:val="30"/>
            </w:rPr>
            <w:t>19</w:t>
          </w:r>
        </w:p>
        <w:p w14:paraId="5CB37E59">
          <w:pPr>
            <w:pStyle w:val="10"/>
            <w:rPr>
              <w:rFonts w:hint="eastAsia" w:ascii="仿宋_GB2312" w:eastAsia="仿宋_GB2312"/>
              <w:b/>
              <w:sz w:val="30"/>
              <w:szCs w:val="30"/>
            </w:rPr>
          </w:pPr>
          <w:r>
            <w:rPr>
              <w:rFonts w:hint="eastAsia" w:ascii="仿宋_GB2312" w:eastAsia="仿宋_GB2312"/>
              <w:b/>
              <w:sz w:val="30"/>
              <w:szCs w:val="30"/>
            </w:rPr>
            <w:t>第五部分附表</w:t>
          </w:r>
          <w:r>
            <w:rPr>
              <w:rFonts w:hint="eastAsia" w:ascii="仿宋_GB2312" w:eastAsia="仿宋_GB2312"/>
              <w:sz w:val="30"/>
              <w:szCs w:val="30"/>
            </w:rPr>
            <w:ptab w:relativeTo="margin" w:alignment="right" w:leader="dot"/>
          </w:r>
          <w:r>
            <w:rPr>
              <w:rFonts w:hint="eastAsia" w:ascii="仿宋_GB2312" w:eastAsia="仿宋_GB2312"/>
              <w:b/>
              <w:sz w:val="30"/>
              <w:szCs w:val="30"/>
            </w:rPr>
            <w:t>74</w:t>
          </w:r>
        </w:p>
        <w:p w14:paraId="0DD75296">
          <w:pPr>
            <w:pStyle w:val="11"/>
            <w:ind w:left="0" w:leftChars="0" w:firstLine="600" w:firstLineChars="200"/>
            <w:rPr>
              <w:rFonts w:hint="eastAsia" w:ascii="仿宋_GB2312" w:eastAsia="仿宋_GB2312"/>
              <w:sz w:val="30"/>
              <w:szCs w:val="30"/>
            </w:rPr>
          </w:pPr>
          <w:r>
            <w:rPr>
              <w:rFonts w:hint="eastAsia" w:ascii="仿宋_GB2312" w:eastAsia="仿宋_GB2312"/>
              <w:sz w:val="30"/>
              <w:szCs w:val="30"/>
            </w:rPr>
            <w:t>一、收入支出决算总表</w:t>
          </w:r>
          <w:r>
            <w:rPr>
              <w:rFonts w:hint="eastAsia" w:ascii="仿宋_GB2312" w:eastAsia="仿宋_GB2312"/>
              <w:sz w:val="30"/>
              <w:szCs w:val="30"/>
            </w:rPr>
            <w:ptab w:relativeTo="margin" w:alignment="right" w:leader="dot"/>
          </w:r>
          <w:r>
            <w:rPr>
              <w:rFonts w:hint="eastAsia" w:ascii="仿宋_GB2312" w:eastAsia="仿宋_GB2312"/>
              <w:sz w:val="30"/>
              <w:szCs w:val="30"/>
              <w:lang w:val="zh-CN"/>
            </w:rPr>
            <w:t>74</w:t>
          </w:r>
        </w:p>
        <w:p w14:paraId="1BA5C12D">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二、收入决算表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21326750">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三、支出决算表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5354DD62">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四、财政拨款收入支出决算总表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6BF8918B">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五、财政拨款支出决算明细表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4D381EC0">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六、一般公共预算财政拨款支出决算表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279CE317">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七、一般公共预算财政拨款支出决算明细表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5D9AFE99">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八、一般公共预算财政拨款基本支出决算明细表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427183B7">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九、一般公共预算财政拨款项目支出决算表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21079D1C">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十、政府性基金预算财政拨款收入支出决算表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023EC353">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十一、国有资本经营预算财政拨款收入支出决算表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04058A32">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十二、国有资本经营预算财政拨款支出决算表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03495773">
          <w:pPr>
            <w:pStyle w:val="6"/>
            <w:ind w:left="0" w:leftChars="0" w:firstLine="600" w:firstLineChars="200"/>
            <w:rPr>
              <w:rFonts w:hint="eastAsia" w:ascii="仿宋_GB2312" w:eastAsia="仿宋_GB2312"/>
              <w:sz w:val="30"/>
              <w:szCs w:val="30"/>
            </w:rPr>
          </w:pPr>
          <w:r>
            <w:rPr>
              <w:rFonts w:hint="eastAsia" w:ascii="仿宋_GB2312" w:eastAsia="仿宋_GB2312"/>
              <w:sz w:val="30"/>
              <w:szCs w:val="30"/>
            </w:rPr>
            <w:t>十三、财政拨款“三公”经费支出决算表</w:t>
          </w:r>
          <w:r>
            <w:rPr>
              <w:rFonts w:hint="eastAsia" w:ascii="仿宋_GB2312" w:eastAsia="仿宋_GB2312"/>
              <w:sz w:val="30"/>
              <w:szCs w:val="30"/>
            </w:rPr>
            <w:ptab w:relativeTo="margin" w:alignment="right" w:leader="dot"/>
          </w:r>
          <w:r>
            <w:rPr>
              <w:rFonts w:hint="eastAsia" w:ascii="仿宋_GB2312" w:eastAsia="仿宋_GB2312"/>
              <w:sz w:val="30"/>
              <w:szCs w:val="30"/>
            </w:rPr>
            <w:t>74</w:t>
          </w:r>
        </w:p>
        <w:p w14:paraId="710D1366"/>
      </w:sdtContent>
    </w:sdt>
    <w:p w14:paraId="3FB9D66D">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609BC737">
      <w:pPr>
        <w:pStyle w:val="3"/>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14:paraId="3CA56F58">
      <w:pPr>
        <w:widowControl/>
        <w:jc w:val="left"/>
        <w:rPr>
          <w:rFonts w:ascii="黑体" w:eastAsia="黑体"/>
          <w:sz w:val="32"/>
          <w:szCs w:val="32"/>
        </w:rPr>
      </w:pPr>
    </w:p>
    <w:p w14:paraId="60E96419">
      <w:pPr>
        <w:pStyle w:val="2"/>
        <w:numPr>
          <w:ilvl w:val="0"/>
          <w:numId w:val="1"/>
        </w:numPr>
        <w:rPr>
          <w:rStyle w:val="27"/>
          <w:rFonts w:ascii="仿宋" w:hAnsi="仿宋" w:eastAsia="仿宋" w:cs="仿宋"/>
          <w:b/>
          <w:bCs/>
        </w:rPr>
      </w:pPr>
      <w:bookmarkStart w:id="14" w:name="_Toc15377197"/>
      <w:bookmarkStart w:id="15" w:name="_Toc15396600"/>
      <w:r>
        <w:rPr>
          <w:rStyle w:val="27"/>
          <w:rFonts w:hint="eastAsia" w:ascii="仿宋" w:hAnsi="仿宋" w:eastAsia="仿宋" w:cs="仿宋"/>
          <w:b/>
          <w:bCs/>
        </w:rPr>
        <w:t>主要职责</w:t>
      </w:r>
    </w:p>
    <w:p w14:paraId="558CBE4F">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1.贯彻执行国家有关公安交通安全管理工作的路线、方针、政策和法律法规，部署全市公安交通安全管理工作，并组织实施，督促、检查执行情况;</w:t>
      </w:r>
    </w:p>
    <w:p w14:paraId="7192C4D7">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2.分析、研究、预测道路交通安全管理情况并研究对策;</w:t>
      </w:r>
    </w:p>
    <w:p w14:paraId="34B20710">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3.负责道路交通事故的处理和肇事逃逸案件的侦破;</w:t>
      </w:r>
    </w:p>
    <w:p w14:paraId="4CA89175">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4.负责全市机动车辆登记和机动车驾驶人考试、发证等管理工作和非机动车以及行人的交通安全管理工作;</w:t>
      </w:r>
    </w:p>
    <w:p w14:paraId="70C3E27E">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5.负责全市城乡道路交通安全、交通秩序管理工作，依法查处交通违法行为;</w:t>
      </w:r>
    </w:p>
    <w:p w14:paraId="5CE861A7">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6.指导全市公安机关交通管理部门的交通管理业务工作;</w:t>
      </w:r>
    </w:p>
    <w:p w14:paraId="003EF7BC">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7.负责到我市视察工作的党和国家领导人以及重要外宾的交通安全警卫工作;</w:t>
      </w:r>
    </w:p>
    <w:p w14:paraId="41E367C3">
      <w:pPr>
        <w:shd w:val="clear" w:color="auto" w:fill="FFFFFF"/>
        <w:spacing w:line="580" w:lineRule="exact"/>
        <w:ind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 xml:space="preserve">  8.负责全市公安交通管理科技、计算机信息系统的建设与运用，规划和实施全市公安交通管理部门的科技管理工作;</w:t>
      </w:r>
    </w:p>
    <w:p w14:paraId="3DCD0E30">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9.指导、监督和督查全市各级公安机关交通管理部门的执法和警务活动;</w:t>
      </w:r>
    </w:p>
    <w:p w14:paraId="0D5FD85C">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10.负责全市道路交通安全宣传和道路交通安全法律法规知识的普及教育工作;</w:t>
      </w:r>
    </w:p>
    <w:p w14:paraId="39022595">
      <w:pPr>
        <w:shd w:val="clear" w:color="auto" w:fill="FFFFFF"/>
        <w:spacing w:line="580" w:lineRule="exact"/>
        <w:ind w:firstLine="627"/>
        <w:rPr>
          <w:rFonts w:ascii="仿宋" w:hAnsi="仿宋" w:eastAsia="仿宋" w:cs="仿宋"/>
          <w:color w:val="000000"/>
          <w:sz w:val="32"/>
          <w:szCs w:val="32"/>
        </w:rPr>
      </w:pPr>
      <w:r>
        <w:rPr>
          <w:rFonts w:hint="eastAsia" w:ascii="仿宋" w:hAnsi="仿宋" w:eastAsia="仿宋" w:cs="仿宋"/>
          <w:color w:val="000000"/>
          <w:sz w:val="32"/>
          <w:szCs w:val="32"/>
        </w:rPr>
        <w:t>11.完成市委、市府和市公安局以及省公安厅交警总队交办的其他事项。</w:t>
      </w:r>
    </w:p>
    <w:p w14:paraId="33FE6838">
      <w:pPr>
        <w:rPr>
          <w:rFonts w:ascii="华文仿宋" w:hAnsi="华文仿宋" w:eastAsia="华文仿宋" w:cs="华文仿宋"/>
        </w:rPr>
      </w:pPr>
    </w:p>
    <w:p w14:paraId="7BE23F23">
      <w:pPr>
        <w:pStyle w:val="2"/>
        <w:rPr>
          <w:rFonts w:ascii="仿宋" w:hAnsi="仿宋" w:eastAsia="仿宋" w:cs="仿宋"/>
          <w:bCs w:val="0"/>
          <w:sz w:val="30"/>
          <w:szCs w:val="30"/>
        </w:rPr>
      </w:pPr>
      <w:r>
        <w:rPr>
          <w:rFonts w:hint="eastAsia" w:ascii="仿宋" w:hAnsi="仿宋" w:eastAsia="仿宋" w:cs="仿宋"/>
          <w:bCs w:val="0"/>
          <w:sz w:val="30"/>
          <w:szCs w:val="30"/>
        </w:rPr>
        <w:t>二、机构设置</w:t>
      </w:r>
    </w:p>
    <w:bookmarkEnd w:id="14"/>
    <w:bookmarkEnd w:id="15"/>
    <w:p w14:paraId="526D57DB">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单位实行独立财务核算的单位一个，即遂宁市公安局交通警察支队。内设办公室、政工监督科、装备财务科、法制宣传科、交通管理科、交通科技科、交通指挥中心、车辆管理所和三个直属大队，共计11个部门。管辖5个区县(市)交警大队（含</w:t>
      </w:r>
      <w:r>
        <w:rPr>
          <w:rFonts w:hint="eastAsia" w:ascii="仿宋" w:hAnsi="仿宋" w:eastAsia="仿宋" w:cs="仿宋"/>
          <w:color w:val="000000"/>
          <w:sz w:val="32"/>
          <w:szCs w:val="32"/>
        </w:rPr>
        <w:t>射洪市</w:t>
      </w:r>
      <w:r>
        <w:rPr>
          <w:rFonts w:hint="eastAsia" w:ascii="仿宋" w:hAnsi="仿宋" w:eastAsia="仿宋" w:cs="仿宋"/>
          <w:sz w:val="32"/>
          <w:szCs w:val="32"/>
        </w:rPr>
        <w:t>、蓬溪县、大英县3个大队）。</w:t>
      </w:r>
    </w:p>
    <w:p w14:paraId="27C90B0E">
      <w:pPr>
        <w:widowControl/>
        <w:jc w:val="left"/>
        <w:rPr>
          <w:rFonts w:ascii="华文仿宋" w:hAnsi="华文仿宋" w:eastAsia="华文仿宋" w:cs="华文仿宋"/>
          <w:kern w:val="0"/>
          <w:sz w:val="32"/>
          <w:szCs w:val="32"/>
        </w:rPr>
      </w:pPr>
      <w:r>
        <w:rPr>
          <w:rFonts w:hint="eastAsia" w:ascii="华文仿宋" w:hAnsi="华文仿宋" w:eastAsia="华文仿宋" w:cs="华文仿宋"/>
          <w:sz w:val="32"/>
          <w:szCs w:val="32"/>
        </w:rPr>
        <w:br w:type="page"/>
      </w:r>
    </w:p>
    <w:p w14:paraId="7AC8EA88">
      <w:pPr>
        <w:pStyle w:val="3"/>
        <w:ind w:right="440"/>
        <w:jc w:val="center"/>
        <w:rPr>
          <w:rStyle w:val="26"/>
          <w:rFonts w:ascii="仿宋" w:hAnsi="仿宋" w:eastAsia="仿宋" w:cs="仿宋"/>
          <w:b/>
          <w:bCs w:val="0"/>
        </w:rPr>
      </w:pPr>
      <w:bookmarkStart w:id="16" w:name="_Toc15396602"/>
      <w:bookmarkStart w:id="17" w:name="_Toc15377204"/>
      <w:r>
        <w:rPr>
          <w:rFonts w:hint="eastAsia" w:ascii="仿宋" w:hAnsi="仿宋" w:eastAsia="仿宋" w:cs="仿宋"/>
          <w:bCs w:val="0"/>
        </w:rPr>
        <w:t>第二部分 2022年度</w:t>
      </w:r>
      <w:r>
        <w:rPr>
          <w:rStyle w:val="26"/>
          <w:rFonts w:hint="eastAsia" w:ascii="仿宋" w:hAnsi="仿宋" w:eastAsia="仿宋" w:cs="仿宋"/>
          <w:b/>
          <w:bCs w:val="0"/>
        </w:rPr>
        <w:t>单位决算情况说明</w:t>
      </w:r>
      <w:bookmarkEnd w:id="16"/>
      <w:bookmarkEnd w:id="17"/>
    </w:p>
    <w:p w14:paraId="3D26A191">
      <w:pPr>
        <w:rPr>
          <w:rFonts w:ascii="华文仿宋" w:hAnsi="华文仿宋" w:eastAsia="华文仿宋" w:cs="华文仿宋"/>
        </w:rPr>
      </w:pPr>
    </w:p>
    <w:p w14:paraId="68BA3D0A">
      <w:pPr>
        <w:pStyle w:val="25"/>
        <w:numPr>
          <w:ilvl w:val="0"/>
          <w:numId w:val="2"/>
        </w:numPr>
        <w:spacing w:line="600" w:lineRule="exact"/>
        <w:ind w:firstLineChars="0"/>
        <w:outlineLvl w:val="1"/>
        <w:rPr>
          <w:rStyle w:val="27"/>
          <w:rFonts w:ascii="仿宋" w:hAnsi="仿宋" w:eastAsia="仿宋" w:cs="仿宋"/>
        </w:rPr>
      </w:pPr>
      <w:bookmarkStart w:id="18" w:name="_Toc15396603"/>
      <w:bookmarkStart w:id="19" w:name="_Toc15377205"/>
      <w:r>
        <w:rPr>
          <w:rFonts w:hint="eastAsia" w:ascii="仿宋" w:hAnsi="仿宋" w:eastAsia="仿宋" w:cs="仿宋"/>
          <w:b/>
          <w:bCs/>
          <w:sz w:val="32"/>
          <w:szCs w:val="32"/>
        </w:rPr>
        <w:t>收</w:t>
      </w:r>
      <w:r>
        <w:rPr>
          <w:rStyle w:val="27"/>
          <w:rFonts w:hint="eastAsia" w:ascii="仿宋" w:hAnsi="仿宋" w:eastAsia="仿宋" w:cs="仿宋"/>
        </w:rPr>
        <w:t>入支出决算总体情况说明</w:t>
      </w:r>
      <w:bookmarkEnd w:id="18"/>
      <w:bookmarkEnd w:id="19"/>
    </w:p>
    <w:p w14:paraId="14B7C52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2022年度收、支总计7229.55万元。与2021年相比，收、支总计各增加48.4万元，增长0.067%。主要变动原因是项目经费及人员经费的增加。</w:t>
      </w:r>
    </w:p>
    <w:p w14:paraId="48201FCC">
      <w:pPr>
        <w:spacing w:line="600" w:lineRule="exact"/>
        <w:ind w:firstLine="640" w:firstLineChars="200"/>
        <w:rPr>
          <w:rFonts w:ascii="仿宋" w:hAnsi="仿宋" w:eastAsia="仿宋" w:cs="仿宋"/>
        </w:rPr>
      </w:pPr>
      <w:r>
        <w:rPr>
          <w:rFonts w:hint="eastAsia" w:ascii="仿宋" w:hAnsi="仿宋" w:eastAsia="仿宋" w:cs="仿宋"/>
          <w:sz w:val="32"/>
          <w:szCs w:val="32"/>
        </w:rPr>
        <w:t>（图1：收、支决算总计变动情况图）（柱状图）</w:t>
      </w:r>
    </w:p>
    <w:p w14:paraId="3B423616">
      <w:pPr>
        <w:pStyle w:val="17"/>
      </w:pPr>
    </w:p>
    <w:p w14:paraId="1EDE5973">
      <w:r>
        <w:rPr>
          <w:rFonts w:hint="eastAsia"/>
        </w:rPr>
        <w:drawing>
          <wp:inline distT="0" distB="0" distL="114300" distR="114300">
            <wp:extent cx="5080000" cy="3251835"/>
            <wp:effectExtent l="4445" t="4445" r="8255"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C32C2E">
      <w:pPr>
        <w:pStyle w:val="25"/>
        <w:numPr>
          <w:ilvl w:val="0"/>
          <w:numId w:val="2"/>
        </w:numPr>
        <w:spacing w:line="600" w:lineRule="exact"/>
        <w:ind w:firstLineChars="0"/>
        <w:outlineLvl w:val="1"/>
        <w:rPr>
          <w:rStyle w:val="27"/>
          <w:rFonts w:ascii="仿宋" w:hAnsi="仿宋" w:eastAsia="仿宋" w:cs="仿宋"/>
        </w:rPr>
      </w:pPr>
      <w:bookmarkStart w:id="20" w:name="_Toc15396604"/>
      <w:bookmarkStart w:id="21" w:name="_Toc15377206"/>
      <w:r>
        <w:rPr>
          <w:rFonts w:hint="eastAsia" w:ascii="仿宋" w:hAnsi="仿宋" w:eastAsia="仿宋" w:cs="仿宋"/>
          <w:b/>
          <w:bCs/>
          <w:sz w:val="32"/>
          <w:szCs w:val="32"/>
        </w:rPr>
        <w:t>收</w:t>
      </w:r>
      <w:r>
        <w:rPr>
          <w:rStyle w:val="27"/>
          <w:rFonts w:hint="eastAsia" w:ascii="仿宋" w:hAnsi="仿宋" w:eastAsia="仿宋" w:cs="仿宋"/>
        </w:rPr>
        <w:t>入决算情况说明</w:t>
      </w:r>
      <w:bookmarkEnd w:id="20"/>
      <w:bookmarkEnd w:id="21"/>
    </w:p>
    <w:p w14:paraId="3A4993CC">
      <w:pPr>
        <w:spacing w:line="60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2022年本年收入合计7125.23万元，其中：一般公共预算财政拨款收入5536.83万元，占77.71%；政府性基金预算财政拨款收入0万元，占0%；国有资本经营预算财政拨款收入0万元，占0%；上级补助收入0万元，占0%；事业收入0万元，占0%；经营收入0万元，占0%；附属单位上缴收入0万元，占0%；其他收入1588.4万元，占22.29%。</w:t>
      </w:r>
    </w:p>
    <w:p w14:paraId="144D2B1C">
      <w:pPr>
        <w:spacing w:line="600" w:lineRule="exact"/>
        <w:ind w:firstLine="643" w:firstLineChars="200"/>
        <w:outlineLvl w:val="1"/>
        <w:rPr>
          <w:rFonts w:ascii="仿宋" w:hAnsi="仿宋" w:eastAsia="仿宋" w:cs="仿宋"/>
          <w:b/>
          <w:sz w:val="32"/>
          <w:szCs w:val="32"/>
        </w:rPr>
      </w:pPr>
      <w:r>
        <w:rPr>
          <w:rFonts w:hint="eastAsia" w:ascii="仿宋" w:hAnsi="仿宋" w:eastAsia="仿宋" w:cs="仿宋"/>
          <w:b/>
          <w:sz w:val="32"/>
          <w:szCs w:val="32"/>
        </w:rPr>
        <w:t>（注：数据来源于财决01表，仅罗列本单位涉及的收入。）</w:t>
      </w:r>
    </w:p>
    <w:p w14:paraId="0BC96660">
      <w:pPr>
        <w:spacing w:line="600" w:lineRule="exact"/>
        <w:ind w:firstLine="640" w:firstLineChars="200"/>
        <w:outlineLvl w:val="1"/>
        <w:rPr>
          <w:rFonts w:ascii="仿宋" w:hAnsi="仿宋" w:eastAsia="仿宋" w:cs="仿宋"/>
          <w:sz w:val="32"/>
          <w:szCs w:val="32"/>
        </w:rPr>
      </w:pPr>
    </w:p>
    <w:p w14:paraId="4E0F8AB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（图2：收入决算结构图）（饼状图）</w:t>
      </w:r>
    </w:p>
    <w:p w14:paraId="30A64D11">
      <w:pPr>
        <w:pStyle w:val="17"/>
        <w:ind w:firstLine="0" w:firstLineChars="0"/>
        <w:rPr>
          <w:rFonts w:ascii="仿宋" w:hAnsi="仿宋" w:eastAsia="仿宋" w:cs="仿宋"/>
          <w:szCs w:val="32"/>
        </w:rPr>
      </w:pPr>
    </w:p>
    <w:p w14:paraId="71833B34">
      <w:pP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2883535"/>
            <wp:effectExtent l="4445" t="4445" r="825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D73DE9">
      <w:pPr>
        <w:pStyle w:val="17"/>
        <w:rPr>
          <w:rFonts w:ascii="仿宋" w:hAnsi="仿宋" w:eastAsia="仿宋" w:cs="仿宋"/>
          <w:szCs w:val="32"/>
        </w:rPr>
      </w:pPr>
    </w:p>
    <w:p w14:paraId="6D431324">
      <w:pPr>
        <w:pStyle w:val="25"/>
        <w:numPr>
          <w:ilvl w:val="0"/>
          <w:numId w:val="2"/>
        </w:numPr>
        <w:spacing w:line="600" w:lineRule="exact"/>
        <w:ind w:firstLineChars="0"/>
        <w:outlineLvl w:val="1"/>
        <w:rPr>
          <w:rStyle w:val="27"/>
          <w:rFonts w:ascii="仿宋" w:hAnsi="仿宋" w:eastAsia="仿宋" w:cs="仿宋"/>
        </w:rPr>
      </w:pPr>
      <w:bookmarkStart w:id="22" w:name="_Toc15377207"/>
      <w:bookmarkStart w:id="23" w:name="_Toc15396605"/>
      <w:r>
        <w:rPr>
          <w:rFonts w:hint="eastAsia" w:ascii="仿宋" w:hAnsi="仿宋" w:eastAsia="仿宋" w:cs="仿宋"/>
          <w:b/>
          <w:bCs/>
          <w:sz w:val="32"/>
          <w:szCs w:val="32"/>
        </w:rPr>
        <w:t>支</w:t>
      </w:r>
      <w:r>
        <w:rPr>
          <w:rStyle w:val="27"/>
          <w:rFonts w:hint="eastAsia" w:ascii="仿宋" w:hAnsi="仿宋" w:eastAsia="仿宋" w:cs="仿宋"/>
        </w:rPr>
        <w:t>出决算情况说明</w:t>
      </w:r>
      <w:bookmarkEnd w:id="22"/>
      <w:bookmarkEnd w:id="23"/>
    </w:p>
    <w:p w14:paraId="7D2B2846">
      <w:pPr>
        <w:spacing w:line="60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2022年本年支出合计7138.67万元，其中：基本支出3877.99万元，占54.32%；项目支出3260.68万元，占45.68%；上缴上级支出0万元，占0%；经营支出0万元，占0%；对附属单位补助支出0万元，占0%。</w:t>
      </w:r>
    </w:p>
    <w:p w14:paraId="350F29D6">
      <w:pPr>
        <w:spacing w:line="600" w:lineRule="exact"/>
        <w:ind w:firstLine="643" w:firstLineChars="200"/>
        <w:outlineLvl w:val="1"/>
        <w:rPr>
          <w:rFonts w:ascii="仿宋" w:hAnsi="仿宋" w:eastAsia="仿宋" w:cs="仿宋"/>
          <w:b/>
          <w:sz w:val="32"/>
          <w:szCs w:val="32"/>
        </w:rPr>
      </w:pPr>
      <w:r>
        <w:rPr>
          <w:rFonts w:hint="eastAsia" w:ascii="仿宋" w:hAnsi="仿宋" w:eastAsia="仿宋" w:cs="仿宋"/>
          <w:b/>
          <w:sz w:val="32"/>
          <w:szCs w:val="32"/>
        </w:rPr>
        <w:t>（注：数据来源于财决04表，仅罗列本单位涉及的支出。）</w:t>
      </w:r>
    </w:p>
    <w:p w14:paraId="4FDA388E">
      <w:pPr>
        <w:spacing w:line="600" w:lineRule="exact"/>
        <w:ind w:firstLine="640"/>
        <w:rPr>
          <w:rFonts w:ascii="仿宋" w:hAnsi="仿宋" w:eastAsia="仿宋" w:cs="仿宋"/>
          <w:sz w:val="32"/>
          <w:szCs w:val="32"/>
          <w:shd w:val="pct10" w:color="auto" w:fill="FFFFFF"/>
        </w:rPr>
      </w:pPr>
    </w:p>
    <w:p w14:paraId="7396FB4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（图3：支出决算结构图）（饼状图）</w:t>
      </w:r>
    </w:p>
    <w:p w14:paraId="72B85CDE">
      <w:pPr>
        <w:rPr>
          <w:rFonts w:ascii="仿宋" w:hAnsi="仿宋" w:eastAsia="仿宋" w:cs="仿宋"/>
          <w:sz w:val="32"/>
          <w:szCs w:val="32"/>
        </w:rPr>
      </w:pPr>
    </w:p>
    <w:p w14:paraId="58EE95F3">
      <w:pP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2890520"/>
            <wp:effectExtent l="4445" t="4445" r="8255" b="1333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CA694D">
      <w:pPr>
        <w:spacing w:line="600" w:lineRule="exact"/>
        <w:ind w:firstLine="643" w:firstLineChars="200"/>
        <w:outlineLvl w:val="1"/>
        <w:rPr>
          <w:rStyle w:val="27"/>
          <w:rFonts w:ascii="仿宋" w:hAnsi="仿宋" w:eastAsia="仿宋" w:cs="仿宋"/>
        </w:rPr>
      </w:pPr>
      <w:bookmarkStart w:id="24" w:name="_Toc15396606"/>
      <w:bookmarkStart w:id="25" w:name="_Toc15377208"/>
      <w:r>
        <w:rPr>
          <w:rFonts w:hint="eastAsia" w:ascii="仿宋" w:hAnsi="仿宋" w:eastAsia="仿宋" w:cs="仿宋"/>
          <w:b/>
          <w:bCs/>
          <w:sz w:val="32"/>
          <w:szCs w:val="32"/>
        </w:rPr>
        <w:t>四、财</w:t>
      </w:r>
      <w:r>
        <w:rPr>
          <w:rStyle w:val="27"/>
          <w:rFonts w:hint="eastAsia" w:ascii="仿宋" w:hAnsi="仿宋" w:eastAsia="仿宋" w:cs="仿宋"/>
        </w:rPr>
        <w:t>政拨款收入支出决算总体情况说明</w:t>
      </w:r>
      <w:bookmarkEnd w:id="24"/>
      <w:bookmarkEnd w:id="25"/>
    </w:p>
    <w:p w14:paraId="7CF62315">
      <w:pPr>
        <w:spacing w:line="600" w:lineRule="exact"/>
        <w:ind w:firstLine="640"/>
        <w:rPr>
          <w:rFonts w:ascii="仿宋" w:hAnsi="仿宋" w:eastAsia="仿宋" w:cs="仿宋"/>
          <w:sz w:val="32"/>
          <w:szCs w:val="32"/>
        </w:rPr>
      </w:pPr>
      <w:r>
        <w:rPr>
          <w:rFonts w:hint="eastAsia" w:ascii="仿宋" w:hAnsi="仿宋" w:eastAsia="仿宋" w:cs="仿宋"/>
          <w:sz w:val="32"/>
          <w:szCs w:val="32"/>
        </w:rPr>
        <w:t>2022年财政拨款收、支总计5536.83万元。与2021年相比，财政拨款收、支总计各减少424.45万元，下降7.12%。主要变动原因是财政拨款项目经费减少。</w:t>
      </w:r>
    </w:p>
    <w:p w14:paraId="4D987274">
      <w:pPr>
        <w:spacing w:line="600" w:lineRule="exact"/>
        <w:ind w:firstLine="640"/>
        <w:rPr>
          <w:rFonts w:ascii="仿宋" w:hAnsi="仿宋" w:eastAsia="仿宋" w:cs="仿宋"/>
          <w:sz w:val="32"/>
          <w:szCs w:val="32"/>
        </w:rPr>
      </w:pPr>
      <w:r>
        <w:rPr>
          <w:rFonts w:hint="eastAsia" w:ascii="仿宋" w:hAnsi="仿宋" w:eastAsia="仿宋" w:cs="仿宋"/>
          <w:b/>
          <w:sz w:val="32"/>
          <w:szCs w:val="32"/>
        </w:rPr>
        <w:t>（注：数据来源于财决01-1表）</w:t>
      </w:r>
    </w:p>
    <w:p w14:paraId="51E9C998">
      <w:pP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149600"/>
            <wp:effectExtent l="4445" t="4445" r="8255" b="825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4D897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（图4：财政拨款收、支决算总计变动情况）（柱状图）</w:t>
      </w:r>
    </w:p>
    <w:p w14:paraId="620F7498">
      <w:pPr>
        <w:spacing w:line="600" w:lineRule="exact"/>
        <w:ind w:firstLine="640"/>
        <w:rPr>
          <w:rFonts w:ascii="仿宋" w:hAnsi="仿宋" w:eastAsia="仿宋" w:cs="仿宋"/>
          <w:b/>
          <w:sz w:val="32"/>
          <w:szCs w:val="32"/>
        </w:rPr>
      </w:pPr>
    </w:p>
    <w:p w14:paraId="4D4D0D10">
      <w:pPr>
        <w:spacing w:line="600" w:lineRule="exact"/>
        <w:ind w:firstLine="643" w:firstLineChars="200"/>
        <w:outlineLvl w:val="1"/>
        <w:rPr>
          <w:rStyle w:val="27"/>
          <w:rFonts w:ascii="仿宋" w:hAnsi="仿宋" w:eastAsia="仿宋" w:cs="仿宋"/>
          <w:b w:val="0"/>
        </w:rPr>
      </w:pPr>
      <w:bookmarkStart w:id="26" w:name="_Toc15377209"/>
      <w:bookmarkStart w:id="27" w:name="_Toc15396607"/>
      <w:r>
        <w:rPr>
          <w:rFonts w:hint="eastAsia" w:ascii="仿宋" w:hAnsi="仿宋" w:eastAsia="仿宋" w:cs="仿宋"/>
          <w:b/>
          <w:bCs/>
          <w:sz w:val="32"/>
          <w:szCs w:val="32"/>
        </w:rPr>
        <w:t>五、一</w:t>
      </w:r>
      <w:r>
        <w:rPr>
          <w:rStyle w:val="27"/>
          <w:rFonts w:hint="eastAsia" w:ascii="仿宋" w:hAnsi="仿宋" w:eastAsia="仿宋" w:cs="仿宋"/>
        </w:rPr>
        <w:t>般公共预算财政拨款支出决算情况说明</w:t>
      </w:r>
      <w:bookmarkEnd w:id="26"/>
      <w:bookmarkEnd w:id="27"/>
    </w:p>
    <w:p w14:paraId="7B7D1AAF">
      <w:pPr>
        <w:spacing w:line="600" w:lineRule="exact"/>
        <w:ind w:firstLine="643" w:firstLineChars="200"/>
        <w:outlineLvl w:val="2"/>
        <w:rPr>
          <w:rFonts w:ascii="仿宋" w:hAnsi="仿宋" w:eastAsia="仿宋" w:cs="仿宋"/>
          <w:b/>
          <w:sz w:val="32"/>
          <w:szCs w:val="32"/>
        </w:rPr>
      </w:pPr>
      <w:bookmarkStart w:id="28" w:name="_Toc15377210"/>
      <w:r>
        <w:rPr>
          <w:rFonts w:hint="eastAsia" w:ascii="仿宋" w:hAnsi="仿宋" w:eastAsia="仿宋" w:cs="仿宋"/>
          <w:b/>
          <w:sz w:val="32"/>
          <w:szCs w:val="32"/>
        </w:rPr>
        <w:t>（一）一般公共预算财政拨款支出决算总体情况</w:t>
      </w:r>
      <w:bookmarkEnd w:id="28"/>
    </w:p>
    <w:p w14:paraId="5C97BE9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2022年一般公共预算财政拨款支出5536.83万元，占本年支出合计的77.56%。与2021年相比，一般公共预算财政拨款支出减少424.45万元，下降7.12%。主要变动原因是财政拨款项目经费减少。</w:t>
      </w:r>
    </w:p>
    <w:p w14:paraId="2DFCB08C">
      <w:pP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162300"/>
            <wp:effectExtent l="4445" t="4445" r="8255" b="825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BB0BB4">
      <w:pPr>
        <w:rPr>
          <w:rFonts w:ascii="仿宋" w:hAnsi="仿宋" w:eastAsia="仿宋" w:cs="仿宋"/>
          <w:sz w:val="32"/>
          <w:szCs w:val="32"/>
        </w:rPr>
      </w:pPr>
    </w:p>
    <w:p w14:paraId="10F128B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（图5：一般公共预算财政拨款支出决算变动情况）（柱状图）</w:t>
      </w:r>
    </w:p>
    <w:p w14:paraId="16A23EFC">
      <w:pPr>
        <w:spacing w:line="600" w:lineRule="exact"/>
        <w:ind w:firstLine="640" w:firstLineChars="200"/>
        <w:rPr>
          <w:rFonts w:ascii="仿宋" w:hAnsi="仿宋" w:eastAsia="仿宋" w:cs="仿宋"/>
          <w:sz w:val="32"/>
          <w:szCs w:val="32"/>
        </w:rPr>
      </w:pPr>
    </w:p>
    <w:p w14:paraId="2518EB45">
      <w:pPr>
        <w:spacing w:line="600" w:lineRule="exact"/>
        <w:ind w:firstLine="643" w:firstLineChars="200"/>
        <w:outlineLvl w:val="2"/>
        <w:rPr>
          <w:rFonts w:ascii="仿宋" w:hAnsi="仿宋" w:eastAsia="仿宋" w:cs="仿宋"/>
          <w:b/>
          <w:sz w:val="32"/>
          <w:szCs w:val="32"/>
        </w:rPr>
      </w:pPr>
      <w:bookmarkStart w:id="29" w:name="_Toc15377211"/>
      <w:r>
        <w:rPr>
          <w:rFonts w:hint="eastAsia" w:ascii="仿宋" w:hAnsi="仿宋" w:eastAsia="仿宋" w:cs="仿宋"/>
          <w:b/>
          <w:sz w:val="32"/>
          <w:szCs w:val="32"/>
        </w:rPr>
        <w:t>（二）一般公共预算财政拨款支出决算结构情况</w:t>
      </w:r>
      <w:bookmarkEnd w:id="29"/>
    </w:p>
    <w:p w14:paraId="1AF3A758">
      <w:pPr>
        <w:spacing w:line="600" w:lineRule="exact"/>
        <w:ind w:firstLine="640"/>
        <w:rPr>
          <w:rFonts w:ascii="仿宋" w:hAnsi="仿宋" w:eastAsia="仿宋" w:cs="仿宋"/>
          <w:b/>
          <w:sz w:val="32"/>
          <w:szCs w:val="32"/>
        </w:rPr>
      </w:pPr>
      <w:r>
        <w:rPr>
          <w:rFonts w:hint="eastAsia" w:ascii="仿宋" w:hAnsi="仿宋" w:eastAsia="仿宋" w:cs="仿宋"/>
          <w:sz w:val="32"/>
          <w:szCs w:val="32"/>
        </w:rPr>
        <w:t>2022年一般公共预算财政拨款支出5536.83万元，主要用于以下方面:</w:t>
      </w:r>
      <w:r>
        <w:rPr>
          <w:rFonts w:hint="eastAsia" w:ascii="仿宋" w:hAnsi="仿宋" w:eastAsia="仿宋" w:cs="仿宋"/>
          <w:b/>
          <w:sz w:val="32"/>
          <w:szCs w:val="32"/>
        </w:rPr>
        <w:t>公共安全支出（类）</w:t>
      </w:r>
      <w:r>
        <w:rPr>
          <w:rFonts w:hint="eastAsia" w:ascii="仿宋" w:hAnsi="仿宋" w:eastAsia="仿宋" w:cs="仿宋"/>
          <w:sz w:val="32"/>
          <w:szCs w:val="32"/>
        </w:rPr>
        <w:t>支出5045.41万元，占91.13%；</w:t>
      </w:r>
      <w:r>
        <w:rPr>
          <w:rFonts w:hint="eastAsia" w:ascii="仿宋" w:hAnsi="仿宋" w:eastAsia="仿宋" w:cs="仿宋"/>
          <w:b/>
          <w:sz w:val="32"/>
          <w:szCs w:val="32"/>
        </w:rPr>
        <w:t>社会保障和就业支出（类）</w:t>
      </w:r>
      <w:r>
        <w:rPr>
          <w:rFonts w:hint="eastAsia" w:ascii="仿宋" w:hAnsi="仿宋" w:eastAsia="仿宋" w:cs="仿宋"/>
          <w:sz w:val="32"/>
          <w:szCs w:val="32"/>
        </w:rPr>
        <w:t>185.98万元，占3.36%；</w:t>
      </w:r>
      <w:r>
        <w:rPr>
          <w:rFonts w:hint="eastAsia" w:ascii="仿宋" w:hAnsi="仿宋" w:eastAsia="仿宋" w:cs="仿宋"/>
          <w:b/>
          <w:sz w:val="32"/>
          <w:szCs w:val="32"/>
        </w:rPr>
        <w:t>卫生健康支出</w:t>
      </w:r>
      <w:r>
        <w:rPr>
          <w:rFonts w:hint="eastAsia" w:ascii="仿宋" w:hAnsi="仿宋" w:eastAsia="仿宋" w:cs="仿宋"/>
          <w:sz w:val="32"/>
          <w:szCs w:val="32"/>
        </w:rPr>
        <w:t>102.58万元，占1.85%；</w:t>
      </w:r>
      <w:r>
        <w:rPr>
          <w:rFonts w:hint="eastAsia" w:ascii="仿宋" w:hAnsi="仿宋" w:eastAsia="仿宋" w:cs="仿宋"/>
          <w:b/>
          <w:bCs/>
          <w:sz w:val="32"/>
          <w:szCs w:val="32"/>
        </w:rPr>
        <w:t>住房保障支出202.86万元，占3.66%</w:t>
      </w:r>
      <w:r>
        <w:rPr>
          <w:rFonts w:hint="eastAsia" w:ascii="仿宋" w:hAnsi="仿宋" w:eastAsia="仿宋" w:cs="仿宋"/>
          <w:sz w:val="32"/>
          <w:szCs w:val="32"/>
        </w:rPr>
        <w:t>。</w:t>
      </w:r>
    </w:p>
    <w:p w14:paraId="59FC6F23">
      <w:pPr>
        <w:spacing w:line="600" w:lineRule="exact"/>
        <w:ind w:firstLine="640"/>
        <w:rPr>
          <w:rFonts w:ascii="仿宋" w:hAnsi="仿宋" w:eastAsia="仿宋" w:cs="仿宋"/>
          <w:b/>
          <w:sz w:val="32"/>
          <w:szCs w:val="32"/>
        </w:rPr>
      </w:pPr>
      <w:r>
        <w:rPr>
          <w:rFonts w:hint="eastAsia" w:ascii="仿宋" w:hAnsi="仿宋" w:eastAsia="仿宋" w:cs="仿宋"/>
          <w:b/>
          <w:sz w:val="32"/>
          <w:szCs w:val="32"/>
        </w:rPr>
        <w:t>（注：数据来源于财决01-1表，仅罗列本单位涉及的全部功能分类科目，至类级。）</w:t>
      </w:r>
    </w:p>
    <w:p w14:paraId="6CF02192">
      <w:pPr>
        <w:spacing w:line="600" w:lineRule="exact"/>
        <w:ind w:firstLine="640"/>
        <w:rPr>
          <w:rFonts w:ascii="仿宋" w:hAnsi="仿宋" w:eastAsia="仿宋" w:cs="仿宋"/>
          <w:sz w:val="32"/>
          <w:szCs w:val="32"/>
        </w:rPr>
      </w:pPr>
    </w:p>
    <w:p w14:paraId="2BF6926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（图6：一般公共预算财政拨款支出决算结构）（饼状图）</w:t>
      </w:r>
    </w:p>
    <w:p w14:paraId="32D7C1EB">
      <w:pPr>
        <w:pStyle w:val="17"/>
        <w:ind w:firstLine="0" w:firstLineChars="0"/>
        <w:rPr>
          <w:rFonts w:ascii="仿宋" w:hAnsi="仿宋" w:eastAsia="仿宋" w:cs="仿宋"/>
          <w:szCs w:val="32"/>
        </w:rPr>
      </w:pPr>
    </w:p>
    <w:p w14:paraId="1372FE3C">
      <w:pP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175000"/>
            <wp:effectExtent l="4445" t="4445" r="8255" b="825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0B5E4D">
      <w:pPr>
        <w:spacing w:line="600" w:lineRule="exact"/>
        <w:ind w:firstLine="643" w:firstLineChars="200"/>
        <w:outlineLvl w:val="2"/>
        <w:rPr>
          <w:rFonts w:ascii="仿宋" w:hAnsi="仿宋" w:eastAsia="仿宋" w:cs="仿宋"/>
          <w:b/>
          <w:sz w:val="32"/>
          <w:szCs w:val="32"/>
        </w:rPr>
      </w:pPr>
      <w:bookmarkStart w:id="30" w:name="_Toc15377212"/>
      <w:r>
        <w:rPr>
          <w:rFonts w:hint="eastAsia" w:ascii="仿宋" w:hAnsi="仿宋" w:eastAsia="仿宋" w:cs="仿宋"/>
          <w:b/>
          <w:sz w:val="32"/>
          <w:szCs w:val="32"/>
        </w:rPr>
        <w:t>（三）一般公共预算财政拨款支出决算具体情况</w:t>
      </w:r>
      <w:bookmarkEnd w:id="30"/>
    </w:p>
    <w:p w14:paraId="4128CEE3">
      <w:pPr>
        <w:spacing w:line="600" w:lineRule="exact"/>
        <w:ind w:firstLine="643" w:firstLineChars="200"/>
        <w:outlineLvl w:val="2"/>
        <w:rPr>
          <w:rFonts w:ascii="仿宋" w:hAnsi="仿宋" w:eastAsia="仿宋" w:cs="仿宋"/>
          <w:sz w:val="32"/>
          <w:szCs w:val="32"/>
        </w:rPr>
      </w:pPr>
      <w:bookmarkStart w:id="31" w:name="_Toc15377213"/>
      <w:bookmarkStart w:id="32" w:name="_Toc15377444"/>
      <w:bookmarkStart w:id="33" w:name="_Toc15378460"/>
      <w:r>
        <w:rPr>
          <w:rFonts w:hint="eastAsia" w:ascii="仿宋" w:hAnsi="仿宋" w:eastAsia="仿宋" w:cs="仿宋"/>
          <w:b/>
          <w:sz w:val="32"/>
          <w:szCs w:val="32"/>
        </w:rPr>
        <w:t>2022年一般公共预算支出决算数为5536.83</w:t>
      </w:r>
      <w:r>
        <w:rPr>
          <w:rFonts w:hint="eastAsia" w:ascii="仿宋" w:hAnsi="仿宋" w:eastAsia="仿宋" w:cs="仿宋"/>
          <w:sz w:val="32"/>
          <w:szCs w:val="32"/>
        </w:rPr>
        <w:t>，</w:t>
      </w:r>
      <w:r>
        <w:rPr>
          <w:rStyle w:val="15"/>
          <w:rFonts w:hint="eastAsia" w:ascii="仿宋" w:hAnsi="仿宋" w:eastAsia="仿宋" w:cs="仿宋"/>
          <w:bCs/>
          <w:sz w:val="32"/>
          <w:szCs w:val="32"/>
        </w:rPr>
        <w:t>完成预算100%。其中：</w:t>
      </w:r>
      <w:bookmarkEnd w:id="31"/>
      <w:bookmarkEnd w:id="32"/>
      <w:bookmarkEnd w:id="33"/>
    </w:p>
    <w:p w14:paraId="70423978">
      <w:pPr>
        <w:spacing w:line="600" w:lineRule="exact"/>
        <w:ind w:firstLine="643" w:firstLineChars="200"/>
        <w:rPr>
          <w:rStyle w:val="15"/>
          <w:rFonts w:ascii="仿宋" w:hAnsi="仿宋" w:eastAsia="仿宋" w:cs="仿宋"/>
          <w:b w:val="0"/>
          <w:bCs/>
          <w:sz w:val="32"/>
          <w:szCs w:val="32"/>
        </w:rPr>
      </w:pPr>
      <w:r>
        <w:rPr>
          <w:rStyle w:val="15"/>
          <w:rFonts w:hint="eastAsia" w:ascii="仿宋" w:hAnsi="仿宋" w:eastAsia="仿宋" w:cs="仿宋"/>
          <w:bCs/>
          <w:sz w:val="32"/>
          <w:szCs w:val="32"/>
        </w:rPr>
        <w:t>1.公共安全（204）公安（02）行政运行（01）:</w:t>
      </w:r>
      <w:r>
        <w:rPr>
          <w:rStyle w:val="15"/>
          <w:rFonts w:hint="eastAsia" w:ascii="仿宋" w:hAnsi="仿宋" w:eastAsia="仿宋" w:cs="仿宋"/>
          <w:b w:val="0"/>
          <w:bCs/>
          <w:sz w:val="32"/>
          <w:szCs w:val="32"/>
        </w:rPr>
        <w:t>支出决算为3386.57万元，完成预算100%，决算数等于预算数。</w:t>
      </w:r>
    </w:p>
    <w:p w14:paraId="0F0686DE">
      <w:pPr>
        <w:spacing w:line="600" w:lineRule="exact"/>
        <w:ind w:firstLine="643" w:firstLineChars="200"/>
        <w:rPr>
          <w:rFonts w:ascii="仿宋" w:hAnsi="仿宋" w:eastAsia="仿宋" w:cs="仿宋"/>
          <w:b/>
          <w:sz w:val="32"/>
          <w:szCs w:val="32"/>
        </w:rPr>
      </w:pPr>
      <w:r>
        <w:rPr>
          <w:rStyle w:val="15"/>
          <w:rFonts w:hint="eastAsia" w:ascii="仿宋" w:hAnsi="仿宋" w:eastAsia="仿宋" w:cs="仿宋"/>
          <w:bCs/>
          <w:sz w:val="32"/>
          <w:szCs w:val="32"/>
        </w:rPr>
        <w:t>2.公共安全（204）公安（02）一般行政管理事务（02）:</w:t>
      </w:r>
      <w:r>
        <w:rPr>
          <w:rStyle w:val="15"/>
          <w:rFonts w:hint="eastAsia" w:ascii="仿宋" w:hAnsi="仿宋" w:eastAsia="仿宋" w:cs="仿宋"/>
          <w:b w:val="0"/>
          <w:bCs/>
          <w:sz w:val="32"/>
          <w:szCs w:val="32"/>
        </w:rPr>
        <w:t>支出决算为1658.84万元，完成预算100%，决算数等于预算数。</w:t>
      </w:r>
    </w:p>
    <w:p w14:paraId="39E16239">
      <w:pPr>
        <w:spacing w:line="600" w:lineRule="exact"/>
        <w:ind w:firstLine="643" w:firstLineChars="200"/>
        <w:rPr>
          <w:rStyle w:val="15"/>
          <w:rFonts w:ascii="仿宋" w:hAnsi="仿宋" w:eastAsia="仿宋" w:cs="仿宋"/>
          <w:b w:val="0"/>
          <w:bCs/>
          <w:sz w:val="32"/>
          <w:szCs w:val="32"/>
        </w:rPr>
      </w:pPr>
      <w:r>
        <w:rPr>
          <w:rStyle w:val="15"/>
          <w:rFonts w:hint="eastAsia" w:ascii="仿宋" w:hAnsi="仿宋" w:eastAsia="仿宋" w:cs="仿宋"/>
          <w:bCs/>
          <w:sz w:val="32"/>
          <w:szCs w:val="32"/>
        </w:rPr>
        <w:t>3.社会保障和就业（208）行政事业单位养老支出（05）  行政单位离退休（01）:</w:t>
      </w:r>
      <w:r>
        <w:rPr>
          <w:rStyle w:val="15"/>
          <w:rFonts w:hint="eastAsia" w:ascii="仿宋" w:hAnsi="仿宋" w:eastAsia="仿宋" w:cs="仿宋"/>
          <w:b w:val="0"/>
          <w:bCs/>
          <w:sz w:val="32"/>
          <w:szCs w:val="32"/>
        </w:rPr>
        <w:t>支出决算为13.28万元，完成预算100%，决算数等于预算数。</w:t>
      </w:r>
    </w:p>
    <w:p w14:paraId="77C16BBA">
      <w:pPr>
        <w:spacing w:line="600" w:lineRule="exact"/>
        <w:ind w:firstLine="643" w:firstLineChars="200"/>
        <w:rPr>
          <w:rFonts w:ascii="仿宋" w:hAnsi="仿宋" w:eastAsia="仿宋" w:cs="仿宋"/>
          <w:b/>
          <w:sz w:val="32"/>
          <w:szCs w:val="32"/>
        </w:rPr>
      </w:pPr>
      <w:r>
        <w:rPr>
          <w:rStyle w:val="15"/>
          <w:rFonts w:hint="eastAsia" w:ascii="仿宋" w:hAnsi="仿宋" w:eastAsia="仿宋" w:cs="仿宋"/>
          <w:bCs/>
          <w:sz w:val="32"/>
          <w:szCs w:val="32"/>
        </w:rPr>
        <w:t>4.社会保障和就业（208）行政事业单位养老支出（05）    机关事业单位基本养老保险缴费支出（05）:</w:t>
      </w:r>
      <w:r>
        <w:rPr>
          <w:rStyle w:val="15"/>
          <w:rFonts w:hint="eastAsia" w:ascii="仿宋" w:hAnsi="仿宋" w:eastAsia="仿宋" w:cs="仿宋"/>
          <w:b w:val="0"/>
          <w:bCs/>
          <w:sz w:val="32"/>
          <w:szCs w:val="32"/>
        </w:rPr>
        <w:t>支出决算为168.35万元，完成预算100%，决算数等于预算数。</w:t>
      </w:r>
    </w:p>
    <w:p w14:paraId="0741EC99">
      <w:pPr>
        <w:spacing w:line="600" w:lineRule="exact"/>
        <w:ind w:firstLine="643" w:firstLineChars="200"/>
        <w:rPr>
          <w:rFonts w:ascii="仿宋" w:hAnsi="仿宋" w:eastAsia="仿宋" w:cs="仿宋"/>
          <w:b/>
          <w:sz w:val="32"/>
          <w:szCs w:val="32"/>
        </w:rPr>
      </w:pPr>
      <w:r>
        <w:rPr>
          <w:rStyle w:val="15"/>
          <w:rFonts w:hint="eastAsia" w:ascii="仿宋" w:hAnsi="仿宋" w:eastAsia="仿宋" w:cs="仿宋"/>
          <w:bCs/>
          <w:sz w:val="32"/>
          <w:szCs w:val="32"/>
        </w:rPr>
        <w:t>5.社会保障和就业（208）抚恤（08）死亡抚恤（01）:</w:t>
      </w:r>
      <w:r>
        <w:rPr>
          <w:rStyle w:val="15"/>
          <w:rFonts w:hint="eastAsia" w:ascii="仿宋" w:hAnsi="仿宋" w:eastAsia="仿宋" w:cs="仿宋"/>
          <w:b w:val="0"/>
          <w:bCs/>
          <w:sz w:val="32"/>
          <w:szCs w:val="32"/>
        </w:rPr>
        <w:t>支出决算为4.35万元，完成预算100%，决算数等于预算数。</w:t>
      </w:r>
    </w:p>
    <w:p w14:paraId="10EA5EA9">
      <w:pPr>
        <w:spacing w:line="600" w:lineRule="exact"/>
        <w:ind w:firstLine="643" w:firstLineChars="200"/>
        <w:rPr>
          <w:rStyle w:val="15"/>
          <w:rFonts w:ascii="仿宋" w:hAnsi="仿宋" w:eastAsia="仿宋" w:cs="仿宋"/>
          <w:b w:val="0"/>
          <w:bCs/>
          <w:sz w:val="32"/>
          <w:szCs w:val="32"/>
        </w:rPr>
      </w:pPr>
      <w:r>
        <w:rPr>
          <w:rStyle w:val="15"/>
          <w:rFonts w:hint="eastAsia" w:ascii="仿宋" w:hAnsi="仿宋" w:eastAsia="仿宋" w:cs="仿宋"/>
          <w:bCs/>
          <w:sz w:val="32"/>
          <w:szCs w:val="32"/>
        </w:rPr>
        <w:t>6.</w:t>
      </w:r>
      <w:r>
        <w:rPr>
          <w:rFonts w:hint="eastAsia" w:ascii="仿宋" w:hAnsi="仿宋" w:eastAsia="仿宋" w:cs="仿宋"/>
          <w:b/>
          <w:bCs/>
          <w:sz w:val="32"/>
          <w:szCs w:val="32"/>
        </w:rPr>
        <w:t>卫生健康</w:t>
      </w:r>
      <w:r>
        <w:rPr>
          <w:rStyle w:val="15"/>
          <w:rFonts w:hint="eastAsia" w:ascii="仿宋" w:hAnsi="仿宋" w:eastAsia="仿宋" w:cs="仿宋"/>
          <w:bCs/>
          <w:sz w:val="32"/>
          <w:szCs w:val="32"/>
        </w:rPr>
        <w:t>（210）行政事业单位医疗（11）行政单位医疗（01）:</w:t>
      </w:r>
      <w:r>
        <w:rPr>
          <w:rStyle w:val="15"/>
          <w:rFonts w:hint="eastAsia" w:ascii="仿宋" w:hAnsi="仿宋" w:eastAsia="仿宋" w:cs="仿宋"/>
          <w:b w:val="0"/>
          <w:bCs/>
          <w:sz w:val="32"/>
          <w:szCs w:val="32"/>
        </w:rPr>
        <w:t>支出决算为102.58万元，完成预算100%，决算数等于预算数。</w:t>
      </w:r>
    </w:p>
    <w:p w14:paraId="1B1EC69F">
      <w:pPr>
        <w:spacing w:line="600" w:lineRule="exact"/>
        <w:ind w:firstLine="643" w:firstLineChars="200"/>
        <w:rPr>
          <w:rFonts w:ascii="仿宋" w:hAnsi="仿宋" w:eastAsia="仿宋" w:cs="仿宋"/>
          <w:b/>
          <w:sz w:val="32"/>
          <w:szCs w:val="32"/>
        </w:rPr>
      </w:pPr>
      <w:r>
        <w:rPr>
          <w:rStyle w:val="15"/>
          <w:rFonts w:hint="eastAsia" w:ascii="仿宋" w:hAnsi="仿宋" w:eastAsia="仿宋" w:cs="仿宋"/>
          <w:bCs/>
          <w:sz w:val="32"/>
          <w:szCs w:val="32"/>
        </w:rPr>
        <w:t>7.</w:t>
      </w:r>
      <w:r>
        <w:rPr>
          <w:rFonts w:hint="eastAsia" w:ascii="仿宋" w:hAnsi="仿宋" w:eastAsia="仿宋" w:cs="仿宋"/>
          <w:b/>
          <w:bCs/>
          <w:sz w:val="32"/>
          <w:szCs w:val="32"/>
        </w:rPr>
        <w:t>住房保障</w:t>
      </w:r>
      <w:r>
        <w:rPr>
          <w:rStyle w:val="15"/>
          <w:rFonts w:hint="eastAsia" w:ascii="仿宋" w:hAnsi="仿宋" w:eastAsia="仿宋" w:cs="仿宋"/>
          <w:bCs/>
          <w:sz w:val="32"/>
          <w:szCs w:val="32"/>
        </w:rPr>
        <w:t>（221）住房改革支出（02）住房公积金（01）:</w:t>
      </w:r>
      <w:r>
        <w:rPr>
          <w:rStyle w:val="15"/>
          <w:rFonts w:hint="eastAsia" w:ascii="仿宋" w:hAnsi="仿宋" w:eastAsia="仿宋" w:cs="仿宋"/>
          <w:b w:val="0"/>
          <w:bCs/>
          <w:sz w:val="32"/>
          <w:szCs w:val="32"/>
        </w:rPr>
        <w:t>支出决算为202.86万元，完成预算100%，决算数等于预算数。</w:t>
      </w:r>
    </w:p>
    <w:p w14:paraId="64616932">
      <w:pPr>
        <w:tabs>
          <w:tab w:val="right" w:pos="8306"/>
        </w:tabs>
        <w:spacing w:line="600" w:lineRule="exact"/>
        <w:ind w:firstLine="640"/>
        <w:outlineLvl w:val="1"/>
        <w:rPr>
          <w:rStyle w:val="27"/>
          <w:rFonts w:ascii="仿宋" w:hAnsi="仿宋" w:eastAsia="仿宋" w:cs="仿宋"/>
        </w:rPr>
      </w:pPr>
      <w:bookmarkStart w:id="34" w:name="_Toc15377214"/>
      <w:bookmarkStart w:id="35" w:name="_Toc15396608"/>
      <w:r>
        <w:rPr>
          <w:rFonts w:hint="eastAsia" w:ascii="仿宋" w:hAnsi="仿宋" w:eastAsia="仿宋" w:cs="仿宋"/>
          <w:b/>
          <w:bCs/>
          <w:sz w:val="32"/>
          <w:szCs w:val="32"/>
        </w:rPr>
        <w:t>六、一</w:t>
      </w:r>
      <w:r>
        <w:rPr>
          <w:rStyle w:val="27"/>
          <w:rFonts w:hint="eastAsia" w:ascii="仿宋" w:hAnsi="仿宋" w:eastAsia="仿宋" w:cs="仿宋"/>
        </w:rPr>
        <w:t>般公共预算财政拨款基本支出决算情况说明</w:t>
      </w:r>
      <w:bookmarkEnd w:id="34"/>
      <w:bookmarkEnd w:id="35"/>
      <w:r>
        <w:rPr>
          <w:rStyle w:val="27"/>
          <w:rFonts w:hint="eastAsia" w:ascii="仿宋" w:hAnsi="仿宋" w:eastAsia="仿宋" w:cs="仿宋"/>
          <w:b w:val="0"/>
        </w:rPr>
        <w:tab/>
      </w:r>
    </w:p>
    <w:p w14:paraId="6F84FEB1">
      <w:pPr>
        <w:spacing w:line="600" w:lineRule="exact"/>
        <w:ind w:firstLine="645"/>
        <w:rPr>
          <w:rFonts w:ascii="仿宋" w:hAnsi="仿宋" w:eastAsia="仿宋" w:cs="仿宋"/>
          <w:sz w:val="32"/>
          <w:szCs w:val="32"/>
        </w:rPr>
      </w:pPr>
      <w:r>
        <w:rPr>
          <w:rFonts w:hint="eastAsia" w:ascii="仿宋" w:hAnsi="仿宋" w:eastAsia="仿宋" w:cs="仿宋"/>
          <w:sz w:val="32"/>
          <w:szCs w:val="32"/>
        </w:rPr>
        <w:t>2022年一般公共预算财政拨款基本支出3877.99万元，其中：</w:t>
      </w:r>
    </w:p>
    <w:p w14:paraId="474CD66D">
      <w:pPr>
        <w:spacing w:line="600" w:lineRule="exact"/>
        <w:ind w:firstLine="645"/>
        <w:rPr>
          <w:rFonts w:ascii="仿宋" w:hAnsi="仿宋" w:eastAsia="仿宋" w:cs="仿宋"/>
          <w:sz w:val="32"/>
          <w:szCs w:val="32"/>
        </w:rPr>
      </w:pPr>
      <w:r>
        <w:rPr>
          <w:rFonts w:hint="eastAsia" w:ascii="仿宋" w:hAnsi="仿宋" w:eastAsia="仿宋" w:cs="仿宋"/>
          <w:sz w:val="32"/>
          <w:szCs w:val="32"/>
        </w:rPr>
        <w:t>人员经费2558.25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E7F770E">
      <w:pPr>
        <w:spacing w:line="600" w:lineRule="exact"/>
        <w:ind w:firstLine="645"/>
        <w:rPr>
          <w:rFonts w:ascii="仿宋" w:hAnsi="仿宋" w:eastAsia="仿宋" w:cs="仿宋"/>
          <w:sz w:val="32"/>
          <w:szCs w:val="32"/>
        </w:rPr>
      </w:pPr>
      <w:r>
        <w:rPr>
          <w:rFonts w:hint="eastAsia" w:ascii="仿宋" w:hAnsi="仿宋" w:eastAsia="仿宋" w:cs="仿宋"/>
          <w:sz w:val="32"/>
          <w:szCs w:val="32"/>
        </w:rPr>
        <w:t>公用经费1319.75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等。</w:t>
      </w:r>
    </w:p>
    <w:p w14:paraId="61E57391">
      <w:pPr>
        <w:spacing w:line="600" w:lineRule="exact"/>
        <w:ind w:firstLine="645"/>
        <w:rPr>
          <w:rFonts w:ascii="仿宋" w:hAnsi="仿宋" w:eastAsia="仿宋" w:cs="仿宋"/>
          <w:b/>
          <w:sz w:val="32"/>
          <w:szCs w:val="32"/>
        </w:rPr>
      </w:pPr>
      <w:r>
        <w:rPr>
          <w:rFonts w:hint="eastAsia" w:ascii="仿宋" w:hAnsi="仿宋" w:eastAsia="仿宋" w:cs="仿宋"/>
          <w:b/>
          <w:sz w:val="32"/>
          <w:szCs w:val="32"/>
        </w:rPr>
        <w:t>（注：数据来源于财决07表和财决08-1表，仅罗列本单位实际支出涉及的经济分类科目。）</w:t>
      </w:r>
    </w:p>
    <w:p w14:paraId="1D8A2892">
      <w:pPr>
        <w:spacing w:line="600" w:lineRule="exact"/>
        <w:ind w:firstLine="640"/>
        <w:rPr>
          <w:rFonts w:ascii="仿宋" w:hAnsi="仿宋" w:eastAsia="仿宋" w:cs="仿宋"/>
          <w:b/>
          <w:sz w:val="32"/>
          <w:szCs w:val="32"/>
        </w:rPr>
      </w:pPr>
    </w:p>
    <w:p w14:paraId="689214C6">
      <w:pPr>
        <w:spacing w:line="600" w:lineRule="exact"/>
        <w:ind w:firstLine="640"/>
        <w:outlineLvl w:val="1"/>
        <w:rPr>
          <w:rStyle w:val="27"/>
          <w:rFonts w:ascii="仿宋" w:hAnsi="仿宋" w:eastAsia="仿宋" w:cs="仿宋"/>
        </w:rPr>
      </w:pPr>
      <w:bookmarkStart w:id="36" w:name="_Toc15377215"/>
      <w:bookmarkStart w:id="37" w:name="_Toc15396609"/>
      <w:r>
        <w:rPr>
          <w:rFonts w:hint="eastAsia" w:ascii="仿宋" w:hAnsi="仿宋" w:eastAsia="仿宋" w:cs="仿宋"/>
          <w:b/>
          <w:bCs/>
          <w:sz w:val="32"/>
          <w:szCs w:val="32"/>
        </w:rPr>
        <w:t>七、</w:t>
      </w:r>
      <w:r>
        <w:rPr>
          <w:rStyle w:val="27"/>
          <w:rFonts w:hint="eastAsia" w:ascii="仿宋" w:hAnsi="仿宋" w:eastAsia="仿宋" w:cs="仿宋"/>
        </w:rPr>
        <w:t>财政拨款“三公”经费支出决算情况说明</w:t>
      </w:r>
      <w:bookmarkEnd w:id="36"/>
      <w:bookmarkEnd w:id="37"/>
    </w:p>
    <w:p w14:paraId="727E7879">
      <w:pPr>
        <w:spacing w:line="600" w:lineRule="exact"/>
        <w:ind w:firstLine="640"/>
        <w:outlineLvl w:val="2"/>
        <w:rPr>
          <w:rFonts w:ascii="仿宋" w:hAnsi="仿宋" w:eastAsia="仿宋" w:cs="仿宋"/>
          <w:b/>
          <w:sz w:val="32"/>
          <w:szCs w:val="32"/>
        </w:rPr>
      </w:pPr>
      <w:bookmarkStart w:id="38" w:name="_Toc15377216"/>
      <w:r>
        <w:rPr>
          <w:rFonts w:hint="eastAsia" w:ascii="仿宋" w:hAnsi="仿宋" w:eastAsia="仿宋" w:cs="仿宋"/>
          <w:b/>
          <w:sz w:val="32"/>
          <w:szCs w:val="32"/>
        </w:rPr>
        <w:t>（一）“三公”经费财政拨款支出决算总体情况说明</w:t>
      </w:r>
      <w:bookmarkEnd w:id="38"/>
    </w:p>
    <w:p w14:paraId="0B40B679">
      <w:pPr>
        <w:spacing w:line="600" w:lineRule="exact"/>
        <w:ind w:firstLine="640"/>
        <w:rPr>
          <w:rFonts w:ascii="仿宋" w:hAnsi="仿宋" w:eastAsia="仿宋" w:cs="仿宋"/>
          <w:sz w:val="32"/>
          <w:szCs w:val="32"/>
        </w:rPr>
      </w:pPr>
      <w:r>
        <w:rPr>
          <w:rFonts w:hint="eastAsia" w:ascii="仿宋" w:hAnsi="仿宋" w:eastAsia="仿宋" w:cs="仿宋"/>
          <w:sz w:val="32"/>
          <w:szCs w:val="32"/>
        </w:rPr>
        <w:t>2022年“三公”经费财政拨款支出决算为178.37万元，完成预算99.37%，较上年减少0.41万元，下降0.23%。决算数小于预算数主要原因是认真贯彻落实中央八项规定及市委省政府十项规定要求，厉行节约，从严控制“三公”经费支出。</w:t>
      </w:r>
    </w:p>
    <w:p w14:paraId="5D7325A1">
      <w:pPr>
        <w:spacing w:line="600" w:lineRule="exact"/>
        <w:ind w:firstLine="640"/>
        <w:rPr>
          <w:rFonts w:ascii="仿宋" w:hAnsi="仿宋" w:eastAsia="仿宋" w:cs="仿宋"/>
          <w:b/>
          <w:sz w:val="32"/>
          <w:szCs w:val="32"/>
        </w:rPr>
      </w:pPr>
      <w:r>
        <w:rPr>
          <w:rFonts w:hint="eastAsia" w:ascii="仿宋" w:hAnsi="仿宋" w:eastAsia="仿宋" w:cs="仿宋"/>
          <w:b/>
          <w:sz w:val="32"/>
          <w:szCs w:val="32"/>
        </w:rPr>
        <w:t>（注：上述“预算”口径为全年预算数，包括一般公共预算和政府性基金预算财政拨款支出决算情况。）</w:t>
      </w:r>
    </w:p>
    <w:p w14:paraId="0C262672">
      <w:pPr>
        <w:spacing w:line="600" w:lineRule="exact"/>
        <w:ind w:firstLine="640"/>
        <w:outlineLvl w:val="2"/>
        <w:rPr>
          <w:rFonts w:ascii="仿宋" w:hAnsi="仿宋" w:eastAsia="仿宋" w:cs="仿宋"/>
          <w:b/>
          <w:sz w:val="32"/>
          <w:szCs w:val="32"/>
        </w:rPr>
      </w:pPr>
      <w:bookmarkStart w:id="39" w:name="_Toc15377217"/>
      <w:r>
        <w:rPr>
          <w:rFonts w:hint="eastAsia" w:ascii="仿宋" w:hAnsi="仿宋" w:eastAsia="仿宋" w:cs="仿宋"/>
          <w:b/>
          <w:sz w:val="32"/>
          <w:szCs w:val="32"/>
        </w:rPr>
        <w:t>（二）“三公”经费财政拨款支出决算具体情况说明</w:t>
      </w:r>
      <w:bookmarkEnd w:id="39"/>
    </w:p>
    <w:p w14:paraId="1AE51E25">
      <w:pPr>
        <w:spacing w:line="600" w:lineRule="exact"/>
        <w:ind w:firstLine="640"/>
        <w:rPr>
          <w:rFonts w:ascii="仿宋" w:hAnsi="仿宋" w:eastAsia="仿宋" w:cs="仿宋"/>
          <w:sz w:val="32"/>
          <w:szCs w:val="32"/>
        </w:rPr>
      </w:pPr>
      <w:r>
        <w:rPr>
          <w:rFonts w:hint="eastAsia" w:ascii="仿宋" w:hAnsi="仿宋" w:eastAsia="仿宋" w:cs="仿宋"/>
          <w:sz w:val="32"/>
          <w:szCs w:val="32"/>
        </w:rPr>
        <w:t>2022年“三公”经费财政拨款支出决算中，因公出国（境）费支出决算0万元，占0%；公务用车购置及运行维护费支出决算178.23万元，占99.92%；公务接待费支出决算0.14万元，占0.08%。具体情况如下：</w:t>
      </w:r>
    </w:p>
    <w:p w14:paraId="15DACC14">
      <w:pPr>
        <w:spacing w:line="600" w:lineRule="exact"/>
        <w:ind w:firstLine="640"/>
        <w:rPr>
          <w:rFonts w:ascii="仿宋" w:hAnsi="仿宋" w:eastAsia="仿宋" w:cs="仿宋"/>
          <w:sz w:val="32"/>
          <w:szCs w:val="32"/>
        </w:rPr>
      </w:pPr>
      <w:r>
        <w:rPr>
          <w:rFonts w:hint="eastAsia" w:ascii="仿宋" w:hAnsi="仿宋" w:eastAsia="仿宋" w:cs="仿宋"/>
          <w:sz w:val="32"/>
          <w:szCs w:val="32"/>
        </w:rPr>
        <w:t>（图7：“三公”经费财政拨款支出结构）（饼状图）</w:t>
      </w:r>
    </w:p>
    <w:p w14:paraId="7BAB9295">
      <w:pPr>
        <w:pStyle w:val="17"/>
        <w:ind w:firstLine="0" w:firstLineChars="0"/>
        <w:rPr>
          <w:rFonts w:ascii="仿宋" w:hAnsi="仿宋" w:eastAsia="仿宋" w:cs="仿宋"/>
          <w:szCs w:val="32"/>
        </w:rPr>
      </w:pPr>
    </w:p>
    <w:p w14:paraId="77CB75C7">
      <w:pP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162300"/>
            <wp:effectExtent l="4445" t="4445" r="8255" b="82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A9C29F">
      <w:pPr>
        <w:pStyle w:val="17"/>
        <w:rPr>
          <w:rFonts w:ascii="仿宋" w:hAnsi="仿宋" w:eastAsia="仿宋" w:cs="仿宋"/>
          <w:szCs w:val="32"/>
        </w:rPr>
      </w:pPr>
    </w:p>
    <w:p w14:paraId="0D03D9AF">
      <w:pPr>
        <w:rPr>
          <w:rFonts w:ascii="仿宋" w:hAnsi="仿宋" w:eastAsia="仿宋" w:cs="仿宋"/>
          <w:sz w:val="32"/>
          <w:szCs w:val="32"/>
        </w:rPr>
      </w:pPr>
    </w:p>
    <w:p w14:paraId="181DB980">
      <w:pPr>
        <w:spacing w:line="600" w:lineRule="exact"/>
        <w:ind w:firstLine="640"/>
        <w:rPr>
          <w:rFonts w:ascii="仿宋" w:hAnsi="仿宋" w:eastAsia="仿宋" w:cs="仿宋"/>
          <w:b/>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0万元，</w:t>
      </w:r>
      <w:r>
        <w:rPr>
          <w:rStyle w:val="15"/>
          <w:rFonts w:hint="eastAsia" w:ascii="仿宋" w:hAnsi="仿宋" w:eastAsia="仿宋" w:cs="仿宋"/>
          <w:b w:val="0"/>
          <w:bCs/>
          <w:sz w:val="32"/>
          <w:szCs w:val="32"/>
        </w:rPr>
        <w:t>完成预算0%。</w:t>
      </w:r>
      <w:r>
        <w:rPr>
          <w:rFonts w:hint="eastAsia" w:ascii="仿宋" w:hAnsi="仿宋" w:eastAsia="仿宋" w:cs="仿宋"/>
          <w:sz w:val="32"/>
          <w:szCs w:val="32"/>
        </w:rPr>
        <w:t>全年安排因公出国（境）团组0次，出国（境）0人。因公出国（境）支出决算比2021年无变化</w:t>
      </w:r>
    </w:p>
    <w:p w14:paraId="6BFCF428">
      <w:pPr>
        <w:spacing w:line="600" w:lineRule="exact"/>
        <w:ind w:firstLine="640"/>
        <w:rPr>
          <w:rFonts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178.23万元,</w:t>
      </w:r>
      <w:r>
        <w:rPr>
          <w:rStyle w:val="15"/>
          <w:rFonts w:hint="eastAsia" w:ascii="仿宋" w:hAnsi="仿宋" w:eastAsia="仿宋" w:cs="仿宋"/>
          <w:b w:val="0"/>
          <w:bCs/>
          <w:sz w:val="32"/>
          <w:szCs w:val="32"/>
        </w:rPr>
        <w:t>完成预算100%。</w:t>
      </w:r>
      <w:r>
        <w:rPr>
          <w:rFonts w:hint="eastAsia" w:ascii="仿宋" w:hAnsi="仿宋" w:eastAsia="仿宋" w:cs="仿宋"/>
          <w:sz w:val="32"/>
          <w:szCs w:val="32"/>
        </w:rPr>
        <w:t>公务用车购置及运行维护费支出决算比2021年增加0.23万元，增长0.13%。无较大变化</w:t>
      </w:r>
    </w:p>
    <w:p w14:paraId="6B005624">
      <w:pPr>
        <w:spacing w:line="600" w:lineRule="exact"/>
        <w:ind w:firstLine="640" w:firstLineChars="200"/>
        <w:rPr>
          <w:rFonts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rPr>
        <w:t>0万元。全年按规定更新购置公务用车0辆，其中：轿车0辆、金额0万元，越野车0辆、金额0万元，载客汽车0辆、金额0万元。截至2022年12月底，单位共有公务用车32辆，其中：执勤执法用车27辆、特种专业技术用车3辆、其他用车2辆。</w:t>
      </w:r>
    </w:p>
    <w:p w14:paraId="3F66608D">
      <w:pPr>
        <w:spacing w:line="600" w:lineRule="exact"/>
        <w:ind w:firstLine="640"/>
        <w:rPr>
          <w:rFonts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rPr>
        <w:t>178.23万元。主要用于本单位业务开展所需的公务用车燃料费、维修费、过路过桥费、保险费等支出。</w:t>
      </w:r>
    </w:p>
    <w:p w14:paraId="403EB407">
      <w:pPr>
        <w:spacing w:line="600" w:lineRule="exact"/>
        <w:ind w:firstLine="640"/>
        <w:rPr>
          <w:rFonts w:ascii="仿宋" w:hAnsi="仿宋" w:eastAsia="仿宋" w:cs="仿宋"/>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rPr>
        <w:t>0.14万元，</w:t>
      </w:r>
      <w:r>
        <w:rPr>
          <w:rStyle w:val="15"/>
          <w:rFonts w:hint="eastAsia" w:ascii="仿宋" w:hAnsi="仿宋" w:eastAsia="仿宋" w:cs="仿宋"/>
          <w:b w:val="0"/>
          <w:bCs/>
          <w:sz w:val="32"/>
          <w:szCs w:val="32"/>
        </w:rPr>
        <w:t>完成预算9%。</w:t>
      </w:r>
      <w:r>
        <w:rPr>
          <w:rFonts w:hint="eastAsia" w:ascii="仿宋" w:hAnsi="仿宋" w:eastAsia="仿宋" w:cs="仿宋"/>
          <w:sz w:val="32"/>
          <w:szCs w:val="32"/>
        </w:rPr>
        <w:t>公务接待费支出决算比2021年减少0.64万元，下降82.05%。主要原因是落实党的政策，严格控制公务接待费，精简开支。</w:t>
      </w:r>
    </w:p>
    <w:p w14:paraId="228BB518">
      <w:pPr>
        <w:spacing w:line="600" w:lineRule="exact"/>
        <w:ind w:firstLine="640"/>
        <w:rPr>
          <w:rFonts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sz w:val="32"/>
          <w:szCs w:val="32"/>
        </w:rPr>
        <w:t>0.14万元，主要用于开展业务活动开支的交通费。国内公务接待1批次，11人次（不包括陪同人员），共计支出0.14万元，具体内容包括：接待总队督导全国全省“两会”暨春运期间道路交通安全管理工作费用0.14万元。</w:t>
      </w:r>
    </w:p>
    <w:p w14:paraId="0CD669DC">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rPr>
        <w:t>0万元，外事接待0批次，0人次（不包括陪同人员），共计支出0万元。</w:t>
      </w:r>
    </w:p>
    <w:p w14:paraId="3C87AEEB">
      <w:pPr>
        <w:spacing w:line="600" w:lineRule="exact"/>
        <w:ind w:firstLine="640"/>
        <w:outlineLvl w:val="1"/>
        <w:rPr>
          <w:rFonts w:ascii="仿宋" w:hAnsi="仿宋" w:eastAsia="仿宋" w:cs="仿宋"/>
          <w:sz w:val="32"/>
          <w:szCs w:val="32"/>
        </w:rPr>
      </w:pPr>
      <w:bookmarkStart w:id="40" w:name="_Toc15377218"/>
      <w:bookmarkStart w:id="41" w:name="_Toc15396610"/>
    </w:p>
    <w:p w14:paraId="08FD75C9">
      <w:pPr>
        <w:spacing w:line="600" w:lineRule="exact"/>
        <w:ind w:firstLine="640"/>
        <w:outlineLvl w:val="1"/>
        <w:rPr>
          <w:rStyle w:val="27"/>
          <w:rFonts w:ascii="仿宋" w:hAnsi="仿宋" w:eastAsia="仿宋" w:cs="仿宋"/>
        </w:rPr>
      </w:pPr>
      <w:r>
        <w:rPr>
          <w:rFonts w:hint="eastAsia" w:ascii="仿宋" w:hAnsi="仿宋" w:eastAsia="仿宋" w:cs="仿宋"/>
          <w:b/>
          <w:bCs/>
          <w:sz w:val="32"/>
          <w:szCs w:val="32"/>
        </w:rPr>
        <w:t>八、</w:t>
      </w:r>
      <w:r>
        <w:rPr>
          <w:rStyle w:val="27"/>
          <w:rFonts w:hint="eastAsia" w:ascii="仿宋" w:hAnsi="仿宋" w:eastAsia="仿宋" w:cs="仿宋"/>
        </w:rPr>
        <w:t>政府性基金预算支出决算情况说明</w:t>
      </w:r>
      <w:bookmarkEnd w:id="40"/>
      <w:bookmarkEnd w:id="41"/>
    </w:p>
    <w:p w14:paraId="02A427BC">
      <w:pPr>
        <w:spacing w:line="600" w:lineRule="exact"/>
        <w:ind w:firstLine="640"/>
        <w:rPr>
          <w:rFonts w:ascii="仿宋" w:hAnsi="仿宋" w:eastAsia="仿宋" w:cs="仿宋"/>
          <w:sz w:val="32"/>
          <w:szCs w:val="32"/>
        </w:rPr>
      </w:pPr>
      <w:r>
        <w:rPr>
          <w:rFonts w:hint="eastAsia" w:ascii="仿宋" w:hAnsi="仿宋" w:eastAsia="仿宋" w:cs="仿宋"/>
          <w:sz w:val="32"/>
          <w:szCs w:val="32"/>
        </w:rPr>
        <w:t>2022年政府性基金预算财政拨款支出0万元。</w:t>
      </w:r>
    </w:p>
    <w:p w14:paraId="6A035E9A">
      <w:pPr>
        <w:spacing w:line="600" w:lineRule="exact"/>
        <w:ind w:firstLine="640"/>
        <w:rPr>
          <w:rFonts w:ascii="仿宋" w:hAnsi="仿宋" w:eastAsia="仿宋" w:cs="仿宋"/>
          <w:sz w:val="32"/>
          <w:szCs w:val="32"/>
        </w:rPr>
      </w:pPr>
    </w:p>
    <w:p w14:paraId="22D2F62C">
      <w:pPr>
        <w:numPr>
          <w:ilvl w:val="0"/>
          <w:numId w:val="3"/>
        </w:numPr>
        <w:spacing w:line="600" w:lineRule="exact"/>
        <w:ind w:firstLine="640"/>
        <w:outlineLvl w:val="1"/>
        <w:rPr>
          <w:rStyle w:val="27"/>
          <w:rFonts w:ascii="仿宋" w:hAnsi="仿宋" w:eastAsia="仿宋" w:cs="仿宋"/>
          <w:bCs w:val="0"/>
        </w:rPr>
      </w:pPr>
      <w:bookmarkStart w:id="42" w:name="_Toc15377219"/>
      <w:bookmarkStart w:id="43" w:name="_Toc15396611"/>
      <w:r>
        <w:rPr>
          <w:rStyle w:val="27"/>
          <w:rFonts w:hint="eastAsia" w:ascii="仿宋" w:hAnsi="仿宋" w:eastAsia="仿宋" w:cs="仿宋"/>
          <w:bCs w:val="0"/>
        </w:rPr>
        <w:t>国有资本经营预算支出决算情况说明</w:t>
      </w:r>
      <w:bookmarkEnd w:id="42"/>
      <w:bookmarkEnd w:id="43"/>
    </w:p>
    <w:p w14:paraId="08B34FE2">
      <w:pPr>
        <w:spacing w:line="600" w:lineRule="exact"/>
        <w:ind w:firstLine="640"/>
        <w:rPr>
          <w:rFonts w:ascii="仿宋" w:hAnsi="仿宋" w:eastAsia="仿宋" w:cs="仿宋"/>
          <w:sz w:val="32"/>
          <w:szCs w:val="32"/>
        </w:rPr>
      </w:pPr>
      <w:r>
        <w:rPr>
          <w:rFonts w:hint="eastAsia" w:ascii="仿宋" w:hAnsi="仿宋" w:eastAsia="仿宋" w:cs="仿宋"/>
          <w:sz w:val="32"/>
          <w:szCs w:val="32"/>
        </w:rPr>
        <w:t>2022年国有资本经营预算财政拨款支出0万元。</w:t>
      </w:r>
    </w:p>
    <w:p w14:paraId="20CA0C55">
      <w:pPr>
        <w:spacing w:line="580" w:lineRule="exact"/>
        <w:jc w:val="center"/>
        <w:rPr>
          <w:rFonts w:ascii="仿宋" w:hAnsi="仿宋" w:eastAsia="仿宋" w:cs="仿宋"/>
          <w:sz w:val="32"/>
          <w:szCs w:val="32"/>
        </w:rPr>
      </w:pPr>
    </w:p>
    <w:p w14:paraId="606F4759">
      <w:pPr>
        <w:numPr>
          <w:ilvl w:val="0"/>
          <w:numId w:val="3"/>
        </w:numPr>
        <w:spacing w:line="600" w:lineRule="exact"/>
        <w:ind w:firstLine="640"/>
        <w:outlineLvl w:val="1"/>
        <w:rPr>
          <w:rStyle w:val="27"/>
          <w:rFonts w:ascii="仿宋" w:hAnsi="仿宋" w:eastAsia="仿宋" w:cs="仿宋"/>
          <w:bCs w:val="0"/>
        </w:rPr>
      </w:pPr>
      <w:bookmarkStart w:id="44" w:name="_Toc15377221"/>
      <w:bookmarkStart w:id="45" w:name="_Toc15396612"/>
      <w:r>
        <w:rPr>
          <w:rStyle w:val="27"/>
          <w:rFonts w:hint="eastAsia" w:ascii="仿宋" w:hAnsi="仿宋" w:eastAsia="仿宋" w:cs="仿宋"/>
          <w:bCs w:val="0"/>
        </w:rPr>
        <w:t>其他重要事项的情况说明</w:t>
      </w:r>
      <w:bookmarkEnd w:id="44"/>
      <w:bookmarkEnd w:id="45"/>
    </w:p>
    <w:p w14:paraId="710213B8">
      <w:pPr>
        <w:spacing w:line="600" w:lineRule="exact"/>
        <w:ind w:firstLine="643" w:firstLineChars="200"/>
        <w:outlineLvl w:val="2"/>
        <w:rPr>
          <w:rFonts w:ascii="仿宋" w:hAnsi="仿宋" w:eastAsia="仿宋" w:cs="仿宋"/>
          <w:sz w:val="32"/>
          <w:szCs w:val="32"/>
        </w:rPr>
      </w:pPr>
      <w:bookmarkStart w:id="46" w:name="_Toc15377222"/>
      <w:r>
        <w:rPr>
          <w:rFonts w:hint="eastAsia" w:ascii="仿宋" w:hAnsi="仿宋" w:eastAsia="仿宋" w:cs="仿宋"/>
          <w:b/>
          <w:sz w:val="32"/>
          <w:szCs w:val="32"/>
        </w:rPr>
        <w:t>（一）机关运行经费支出情况</w:t>
      </w:r>
      <w:bookmarkEnd w:id="46"/>
    </w:p>
    <w:p w14:paraId="457A46F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2022年，遂宁市公安局交通警察支队机关运行经费支出1319.75万元，比2021年增加362.60万元，增长27.47%。主要原因是发放其他商品服务支出增加</w:t>
      </w:r>
    </w:p>
    <w:p w14:paraId="6AD2D4F1">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（注：数据来源于财决附03表）</w:t>
      </w:r>
    </w:p>
    <w:p w14:paraId="64DA4455">
      <w:pPr>
        <w:autoSpaceDE w:val="0"/>
        <w:autoSpaceDN w:val="0"/>
        <w:adjustRightInd w:val="0"/>
        <w:spacing w:line="600" w:lineRule="exact"/>
        <w:ind w:firstLine="643" w:firstLineChars="200"/>
        <w:jc w:val="left"/>
        <w:outlineLvl w:val="2"/>
        <w:rPr>
          <w:rFonts w:ascii="仿宋" w:hAnsi="仿宋" w:eastAsia="仿宋" w:cs="仿宋"/>
          <w:b/>
          <w:sz w:val="32"/>
          <w:szCs w:val="32"/>
        </w:rPr>
      </w:pPr>
      <w:bookmarkStart w:id="47" w:name="_Toc15377223"/>
      <w:r>
        <w:rPr>
          <w:rFonts w:hint="eastAsia" w:ascii="仿宋" w:hAnsi="仿宋" w:eastAsia="仿宋" w:cs="仿宋"/>
          <w:b/>
          <w:sz w:val="32"/>
          <w:szCs w:val="32"/>
        </w:rPr>
        <w:t>（二）政府采购支出情况</w:t>
      </w:r>
      <w:bookmarkEnd w:id="47"/>
    </w:p>
    <w:p w14:paraId="6DFD687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2022年，遂宁市公安局交通警察支队政府采购支出总额456.89万元，其中：政府采购货物支出174.81万元、政府采购工程支出0万元、政府采购服务支出282.08万元。主要用于涉案车辆拖车和停车场服务以及指挥中心升级。授予中小企业合同金额0万元，占政府采购支出总额的0%，其中：授予小微企业合同金额0万元，占政府采购支出总额的0%。</w:t>
      </w:r>
    </w:p>
    <w:p w14:paraId="45B22990">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（注：数据来源于财决附03表）</w:t>
      </w:r>
    </w:p>
    <w:p w14:paraId="086E16C3">
      <w:pPr>
        <w:autoSpaceDE w:val="0"/>
        <w:autoSpaceDN w:val="0"/>
        <w:adjustRightInd w:val="0"/>
        <w:spacing w:line="600" w:lineRule="exact"/>
        <w:ind w:firstLine="643" w:firstLineChars="200"/>
        <w:jc w:val="left"/>
        <w:outlineLvl w:val="2"/>
        <w:rPr>
          <w:rFonts w:ascii="仿宋" w:hAnsi="仿宋" w:eastAsia="仿宋" w:cs="仿宋"/>
          <w:b/>
          <w:sz w:val="32"/>
          <w:szCs w:val="32"/>
        </w:rPr>
      </w:pPr>
      <w:bookmarkStart w:id="48" w:name="_Toc15377224"/>
      <w:r>
        <w:rPr>
          <w:rFonts w:hint="eastAsia" w:ascii="仿宋" w:hAnsi="仿宋" w:eastAsia="仿宋" w:cs="仿宋"/>
          <w:b/>
          <w:sz w:val="32"/>
          <w:szCs w:val="32"/>
        </w:rPr>
        <w:t>（三）国有资产占有使用情况</w:t>
      </w:r>
      <w:bookmarkEnd w:id="48"/>
    </w:p>
    <w:p w14:paraId="28D8FD60">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遂宁市公安局交通警察支队共有车辆32辆，主要领导干部用车0辆、机要通信用车0辆、应急保障用车0辆、执法执勤用车27辆、特种专业技术用车3辆、其他用车2辆。单价100万元以上专用设备0台（套）。</w:t>
      </w:r>
    </w:p>
    <w:p w14:paraId="58256E81">
      <w:pPr>
        <w:autoSpaceDE w:val="0"/>
        <w:autoSpaceDN w:val="0"/>
        <w:adjustRightInd w:val="0"/>
        <w:spacing w:line="60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（注：数据来源于财决附03表，按单位决算报表填报数据罗列车辆情况。）</w:t>
      </w:r>
    </w:p>
    <w:p w14:paraId="5FA73735">
      <w:pPr>
        <w:autoSpaceDE w:val="0"/>
        <w:autoSpaceDN w:val="0"/>
        <w:adjustRightInd w:val="0"/>
        <w:spacing w:line="600" w:lineRule="exact"/>
        <w:ind w:firstLine="643" w:firstLineChars="200"/>
        <w:jc w:val="left"/>
        <w:outlineLvl w:val="2"/>
        <w:rPr>
          <w:rFonts w:ascii="仿宋" w:hAnsi="仿宋" w:eastAsia="仿宋" w:cs="仿宋"/>
          <w:b/>
          <w:sz w:val="32"/>
          <w:szCs w:val="32"/>
        </w:rPr>
      </w:pPr>
      <w:r>
        <w:rPr>
          <w:rFonts w:hint="eastAsia" w:ascii="仿宋" w:hAnsi="仿宋" w:eastAsia="仿宋" w:cs="仿宋"/>
          <w:b/>
          <w:sz w:val="32"/>
          <w:szCs w:val="32"/>
        </w:rPr>
        <w:t>（四）预算绩效管理情况</w:t>
      </w:r>
    </w:p>
    <w:p w14:paraId="19E7D8FA">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根据预算绩效管理要求，本单位在2022年度预算编制阶段，组织对车驾管成本费、二期电子警察建设费、警务辅助人员经费、警务辅助专项经费、设备购置经费、食堂后勤餐厨服务经费、一期电子警察运行维护费项目、人才发展专项基金等8个项目编制了绩效目标，预算执行过程中，选取8个项目开展绩效监控，年终执行完毕后，对8个项目开展了绩效自评，2022年特定目标类部门预算项目绩效目标自评表见附件（第四部分）。</w:t>
      </w:r>
    </w:p>
    <w:p w14:paraId="3FF1CE86">
      <w:pPr>
        <w:widowControl/>
        <w:jc w:val="left"/>
        <w:rPr>
          <w:rFonts w:ascii="仿宋" w:hAnsi="仿宋" w:eastAsia="仿宋" w:cs="仿宋"/>
          <w:b/>
          <w:sz w:val="32"/>
          <w:szCs w:val="32"/>
        </w:rPr>
      </w:pPr>
      <w:r>
        <w:rPr>
          <w:rFonts w:hint="eastAsia" w:ascii="仿宋" w:hAnsi="仿宋" w:eastAsia="仿宋" w:cs="仿宋"/>
          <w:b/>
          <w:sz w:val="32"/>
          <w:szCs w:val="32"/>
        </w:rPr>
        <w:br w:type="page"/>
      </w:r>
    </w:p>
    <w:p w14:paraId="28FBCC38">
      <w:pPr>
        <w:numPr>
          <w:ilvl w:val="0"/>
          <w:numId w:val="4"/>
        </w:numPr>
        <w:spacing w:line="600" w:lineRule="exact"/>
        <w:ind w:firstLine="663" w:firstLineChars="150"/>
        <w:jc w:val="center"/>
        <w:outlineLvl w:val="0"/>
        <w:rPr>
          <w:rStyle w:val="26"/>
          <w:rFonts w:ascii="仿宋" w:hAnsi="仿宋" w:eastAsia="仿宋" w:cs="仿宋"/>
          <w:b w:val="0"/>
        </w:rPr>
      </w:pPr>
      <w:bookmarkStart w:id="49" w:name="_Toc15396613"/>
      <w:bookmarkStart w:id="50" w:name="_Toc15377225"/>
      <w:r>
        <w:rPr>
          <w:rFonts w:hint="eastAsia" w:ascii="仿宋" w:hAnsi="仿宋" w:eastAsia="仿宋" w:cs="仿宋"/>
          <w:b/>
          <w:bCs/>
          <w:sz w:val="44"/>
          <w:szCs w:val="44"/>
        </w:rPr>
        <w:t>名</w:t>
      </w:r>
      <w:r>
        <w:rPr>
          <w:rStyle w:val="26"/>
          <w:rFonts w:hint="eastAsia" w:ascii="仿宋" w:hAnsi="仿宋" w:eastAsia="仿宋" w:cs="仿宋"/>
        </w:rPr>
        <w:t>词解释</w:t>
      </w:r>
      <w:bookmarkEnd w:id="49"/>
      <w:bookmarkEnd w:id="50"/>
    </w:p>
    <w:p w14:paraId="17F5AA62">
      <w:pPr>
        <w:spacing w:line="600" w:lineRule="exact"/>
        <w:jc w:val="left"/>
        <w:rPr>
          <w:rFonts w:ascii="仿宋" w:hAnsi="仿宋" w:eastAsia="仿宋" w:cs="仿宋"/>
          <w:b/>
          <w:sz w:val="32"/>
          <w:szCs w:val="32"/>
        </w:rPr>
      </w:pPr>
    </w:p>
    <w:p w14:paraId="37EF5C29">
      <w:pPr>
        <w:spacing w:line="580" w:lineRule="exact"/>
        <w:ind w:firstLine="640" w:firstLineChars="200"/>
        <w:rPr>
          <w:rFonts w:ascii="仿宋" w:hAnsi="仿宋" w:eastAsia="仿宋" w:cs="仿宋"/>
          <w:sz w:val="32"/>
          <w:szCs w:val="32"/>
        </w:rPr>
      </w:pPr>
      <w:bookmarkStart w:id="51" w:name="_Toc15377226"/>
      <w:r>
        <w:rPr>
          <w:rFonts w:hint="eastAsia" w:ascii="仿宋" w:hAnsi="仿宋" w:eastAsia="仿宋" w:cs="仿宋"/>
          <w:sz w:val="32"/>
          <w:szCs w:val="32"/>
        </w:rPr>
        <w:t>1.财政拨款收入：指单位从同级财政部门取得的财政预算资金。</w:t>
      </w:r>
    </w:p>
    <w:p w14:paraId="1D0F587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2.其他收入：指单位取得的除上述收入以外的各项收入。主要是文明城市创建其他部门拨入经费等。 </w:t>
      </w:r>
    </w:p>
    <w:p w14:paraId="3AE3857A">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3.年初结转和结余：指以前年度尚未完成、结转到本年按有关规定继续使用的资金。 </w:t>
      </w:r>
    </w:p>
    <w:p w14:paraId="5D7A6982">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4.年末结转和结余：指单位按有关规定结转到下年或以后年度继续使用的资金。</w:t>
      </w:r>
    </w:p>
    <w:p w14:paraId="473C6AA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5.公共安全（类）公安（款）行政运行（项）：指公安行政单位的事务和管理的基本支出。</w:t>
      </w:r>
    </w:p>
    <w:p w14:paraId="16CB5BFC">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6.公共安全（类）公安（款）一般行政管理事务（项）：指公安机关未单独设置项级科目的其他项目支出。</w:t>
      </w:r>
    </w:p>
    <w:p w14:paraId="13424464">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7.公共安全支出（类）公安（款）其他公安支出（项）：指公安机关除上述项目以外其他用于公安方面的支出。</w:t>
      </w:r>
    </w:p>
    <w:p w14:paraId="2EFB438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8．社会保障和就业支出（类）行政事业单位养老支出（款）行政单位离退休（项）：指公安机关开支的离退休支出。</w:t>
      </w:r>
    </w:p>
    <w:p w14:paraId="2A685BE4">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9．社会保障和就业支出（类）行政事业单位养老支出（款）机关事业单位基本养老保险缴费支出（项）：指公安机关实施养老保险制度由单位缴纳的基本养老保险费支出。</w:t>
      </w:r>
    </w:p>
    <w:p w14:paraId="38421978">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10. 社会保障和就业（类）抚恤（款）死亡抚恤（项）：指公安机关按规定用于烈士和牺牲、病故人员家属的一次性和定期抚恤金以及丧葬补助费。</w:t>
      </w:r>
    </w:p>
    <w:p w14:paraId="073782C2">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11. 卫生健康支出（类）行政事业单位医疗（款）行政单位医疗（项）：指公安机关职工基本医疗保险缴费。</w:t>
      </w:r>
    </w:p>
    <w:p w14:paraId="1D35048C">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12. 住房保障支出（类）住房改革支出（款）住房公积金（项）：指公安机关按规定比例为职工缴纳的住房公积金。</w:t>
      </w:r>
    </w:p>
    <w:p w14:paraId="071DBF1E">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13.基本支出：指为保障机构正常运转、完成日常工作任务而发生的人员支出和公用支出。</w:t>
      </w:r>
    </w:p>
    <w:p w14:paraId="608A8F0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14.项目支出：指在基本支出之外为完成特定行政任务和事业发展目标所发生的支出。 </w:t>
      </w:r>
    </w:p>
    <w:p w14:paraId="2CB0CBF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815E95">
      <w:pPr>
        <w:spacing w:line="580" w:lineRule="exact"/>
        <w:ind w:firstLine="640" w:firstLineChars="200"/>
        <w:rPr>
          <w:rFonts w:ascii="仿宋" w:hAnsi="仿宋" w:eastAsia="仿宋" w:cs="仿宋"/>
          <w:sz w:val="32"/>
          <w:szCs w:val="30"/>
        </w:rPr>
      </w:pPr>
      <w:r>
        <w:rPr>
          <w:rFonts w:hint="eastAsia" w:ascii="仿宋" w:hAnsi="仿宋" w:eastAsia="仿宋" w:cs="仿宋"/>
          <w:sz w:val="32"/>
          <w:szCs w:val="32"/>
        </w:rPr>
        <w:t>16.机关运行经费：为保障行政单位（含参照公务员法管理的事业单位）运行用于购买货物和服务的各项资金，包括办公及印刷费、邮电费、差旅费、会议费、福利费、日常维修费、办公用房水电费、办公用房取暖费、办公用房物业管理费、公务用车运行维护费以及其他费用。</w:t>
      </w:r>
    </w:p>
    <w:p w14:paraId="4E27ED38">
      <w:pPr>
        <w:spacing w:line="600" w:lineRule="exact"/>
        <w:jc w:val="center"/>
        <w:outlineLvl w:val="0"/>
        <w:rPr>
          <w:rStyle w:val="26"/>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26"/>
          <w:rFonts w:hint="eastAsia" w:ascii="黑体" w:hAnsi="黑体" w:eastAsia="黑体"/>
          <w:b w:val="0"/>
        </w:rPr>
        <w:t>四部分 附件</w:t>
      </w:r>
      <w:bookmarkEnd w:id="52"/>
    </w:p>
    <w:p w14:paraId="6F2CAE9C">
      <w:pPr>
        <w:pStyle w:val="5"/>
        <w:spacing w:before="93"/>
        <w:rPr>
          <w:rFonts w:hAnsi="Calibri" w:cs="仿宋"/>
          <w:sz w:val="32"/>
          <w:szCs w:val="32"/>
        </w:rPr>
      </w:pPr>
      <w:bookmarkStart w:id="53" w:name="_Toc15396618"/>
    </w:p>
    <w:p w14:paraId="21A052E4">
      <w:pPr>
        <w:spacing w:line="620" w:lineRule="exact"/>
        <w:jc w:val="center"/>
        <w:rPr>
          <w:rFonts w:ascii="仿宋" w:hAnsi="仿宋" w:eastAsia="仿宋" w:cs="仿宋"/>
          <w:b/>
          <w:bCs/>
          <w:sz w:val="36"/>
          <w:szCs w:val="36"/>
        </w:rPr>
      </w:pPr>
      <w:r>
        <w:rPr>
          <w:rFonts w:hint="eastAsia" w:ascii="华文中宋" w:hAnsi="华文中宋" w:eastAsia="华文中宋" w:cs="华文中宋"/>
          <w:b/>
          <w:bCs/>
          <w:sz w:val="44"/>
          <w:szCs w:val="44"/>
          <w:shd w:val="clear" w:color="auto" w:fill="FFFFFF"/>
        </w:rPr>
        <w:t>2022年市级部门整体支出绩效</w:t>
      </w:r>
    </w:p>
    <w:p w14:paraId="35DD9326">
      <w:pPr>
        <w:adjustRightInd w:val="0"/>
        <w:snapToGrid w:val="0"/>
        <w:spacing w:line="360" w:lineRule="auto"/>
        <w:jc w:val="left"/>
        <w:rPr>
          <w:rFonts w:ascii="仿宋" w:hAnsi="仿宋" w:eastAsia="仿宋" w:cs="仿宋"/>
          <w:sz w:val="32"/>
          <w:szCs w:val="32"/>
        </w:rPr>
      </w:pPr>
    </w:p>
    <w:p w14:paraId="1BA1DC62">
      <w:pPr>
        <w:adjustRightInd w:val="0"/>
        <w:snapToGrid w:val="0"/>
        <w:spacing w:line="360" w:lineRule="auto"/>
        <w:jc w:val="left"/>
        <w:rPr>
          <w:rFonts w:ascii="仿宋" w:hAnsi="仿宋" w:eastAsia="仿宋" w:cs="仿宋"/>
          <w:sz w:val="32"/>
          <w:szCs w:val="32"/>
        </w:rPr>
      </w:pPr>
      <w:r>
        <w:rPr>
          <w:rFonts w:hint="eastAsia" w:ascii="仿宋" w:hAnsi="仿宋" w:eastAsia="仿宋" w:cs="仿宋"/>
          <w:sz w:val="32"/>
          <w:szCs w:val="32"/>
        </w:rPr>
        <w:t>市财政局：</w:t>
      </w:r>
    </w:p>
    <w:p w14:paraId="2B2C88DE">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按照《遂宁市财政局</w:t>
      </w:r>
      <w:r>
        <w:rPr>
          <w:rFonts w:hint="eastAsia" w:ascii="仿宋" w:hAnsi="仿宋" w:eastAsia="仿宋" w:cs="仿宋"/>
          <w:sz w:val="32"/>
          <w:szCs w:val="32"/>
          <w:lang w:eastAsia="zh-CN"/>
        </w:rPr>
        <w:t>关于</w:t>
      </w:r>
      <w:r>
        <w:rPr>
          <w:rFonts w:hint="eastAsia" w:ascii="仿宋" w:hAnsi="仿宋" w:eastAsia="仿宋" w:cs="仿宋"/>
          <w:sz w:val="32"/>
          <w:szCs w:val="32"/>
        </w:rPr>
        <w:t>开展2022年部门、政策和项目支出重点绩效评价工作的通知》遂财绩[2023]2号文件的要求，交警支队装备财务科认真组织进行了2022年度预算绩效自评工作，现将交警支队相关情况报告如下。</w:t>
      </w:r>
    </w:p>
    <w:p w14:paraId="6FC0E0B9">
      <w:pPr>
        <w:adjustRightInd w:val="0"/>
        <w:snapToGrid w:val="0"/>
        <w:spacing w:line="360" w:lineRule="auto"/>
        <w:ind w:firstLine="720"/>
        <w:jc w:val="left"/>
        <w:rPr>
          <w:rFonts w:ascii="仿宋" w:hAnsi="仿宋" w:eastAsia="仿宋" w:cs="仿宋"/>
          <w:color w:val="000000"/>
          <w:kern w:val="0"/>
          <w:sz w:val="32"/>
          <w:szCs w:val="32"/>
          <w:shd w:val="clear" w:color="auto" w:fill="FFFFFF"/>
        </w:rPr>
      </w:pPr>
    </w:p>
    <w:p w14:paraId="6FE62AEC">
      <w:pPr>
        <w:widowControl/>
        <w:adjustRightInd w:val="0"/>
        <w:snapToGrid w:val="0"/>
        <w:spacing w:line="360" w:lineRule="auto"/>
        <w:ind w:firstLine="643" w:firstLineChars="200"/>
        <w:jc w:val="left"/>
        <w:rPr>
          <w:rFonts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rPr>
        <w:t>一、</w:t>
      </w:r>
      <w:r>
        <w:rPr>
          <w:rFonts w:hint="eastAsia" w:ascii="仿宋" w:hAnsi="仿宋" w:eastAsia="仿宋" w:cs="仿宋"/>
          <w:b/>
          <w:bCs/>
          <w:color w:val="000000"/>
          <w:kern w:val="0"/>
          <w:sz w:val="32"/>
          <w:szCs w:val="32"/>
          <w:shd w:val="clear" w:color="auto" w:fill="FFFFFF"/>
          <w:lang w:val="zh-CN"/>
        </w:rPr>
        <w:t>部门（单位）概况</w:t>
      </w:r>
    </w:p>
    <w:p w14:paraId="4B160B1F">
      <w:pPr>
        <w:widowControl/>
        <w:adjustRightInd w:val="0"/>
        <w:snapToGrid w:val="0"/>
        <w:spacing w:line="360" w:lineRule="auto"/>
        <w:ind w:firstLine="643" w:firstLineChars="20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（一）机构组成。</w:t>
      </w:r>
    </w:p>
    <w:p w14:paraId="62193D47">
      <w:pPr>
        <w:pStyle w:val="2"/>
        <w:spacing w:line="240" w:lineRule="auto"/>
        <w:ind w:firstLine="640" w:firstLineChars="200"/>
        <w:rPr>
          <w:rFonts w:ascii="仿宋" w:hAnsi="仿宋" w:eastAsia="仿宋" w:cs="仿宋"/>
          <w:b w:val="0"/>
          <w:lang w:val="zh-CN"/>
        </w:rPr>
      </w:pPr>
      <w:r>
        <w:rPr>
          <w:rFonts w:hint="eastAsia" w:ascii="仿宋" w:hAnsi="仿宋" w:eastAsia="仿宋" w:cs="仿宋"/>
          <w:b w:val="0"/>
          <w:lang w:val="zh-CN"/>
        </w:rPr>
        <w:t>交警支队成立于1987年4月，管辖二区三县公安（分）局交警大队，支队下设十一个机构：办公室、政工监督科、装备财务科、交通管理科、法制宣传科、指挥中心、车辆管理所、交通科技科、直属一大队、直属二大队、直属三大队。</w:t>
      </w:r>
    </w:p>
    <w:p w14:paraId="47FD7943">
      <w:pPr>
        <w:widowControl/>
        <w:adjustRightInd w:val="0"/>
        <w:snapToGrid w:val="0"/>
        <w:spacing w:line="360" w:lineRule="auto"/>
        <w:ind w:firstLine="643" w:firstLineChars="20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（二）机构职能。</w:t>
      </w:r>
    </w:p>
    <w:p w14:paraId="1B2C188E">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1.贯彻执行国家有关公安交通安全管理工作的路线、方针、政策和法律法规，部署全市公安交通安全管理工作，并组织实施，督促、检查执行情况;</w:t>
      </w:r>
    </w:p>
    <w:p w14:paraId="2C26BC09">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2.分析、研究、预测道路交通安全管理情况并研究对策;</w:t>
      </w:r>
    </w:p>
    <w:p w14:paraId="4C205CF8">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3.负责道路交通事故的处理和肇事逃逸案件的侦破;</w:t>
      </w:r>
    </w:p>
    <w:p w14:paraId="48B4623D">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4.负责全市机动车辆登记和机动车驾驶人考试、发证等管理工作和非机动车以及行人的交通安全管理工作;</w:t>
      </w:r>
    </w:p>
    <w:p w14:paraId="1DB0F7A0">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5.负责全市城乡道路交通安全、交通秩序管理工作，依法查处交通违法行为;</w:t>
      </w:r>
    </w:p>
    <w:p w14:paraId="149B8D22">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6.指导全市公安机关交通管理部门的交通管理业务工作;</w:t>
      </w:r>
    </w:p>
    <w:p w14:paraId="64781D85">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7.负责到我市视察工作的党和国家领导人以及重要外宾的交通安全警卫工作;</w:t>
      </w:r>
    </w:p>
    <w:p w14:paraId="2133843D">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8.负责全市公安交通管理科技、计算机信息系统的建设与运用，规划和实施全市公安交通管理部门的科技管理工作;</w:t>
      </w:r>
    </w:p>
    <w:p w14:paraId="53723D11">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9.指导、监督和督查全市各级公安机关交通管理部门的执法和警务活动;</w:t>
      </w:r>
    </w:p>
    <w:p w14:paraId="667EBB35">
      <w:pPr>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10.负责全市道路交通安全宣传和道路交通安全法律法规知识的普及教育工作;</w:t>
      </w:r>
    </w:p>
    <w:p w14:paraId="3976E4BB">
      <w:pPr>
        <w:adjustRightInd w:val="0"/>
        <w:snapToGrid w:val="0"/>
        <w:spacing w:line="360" w:lineRule="auto"/>
        <w:ind w:firstLine="640" w:firstLineChars="200"/>
        <w:jc w:val="left"/>
        <w:rPr>
          <w:rFonts w:ascii="仿宋" w:hAnsi="仿宋" w:eastAsia="仿宋" w:cs="仿宋"/>
          <w:sz w:val="32"/>
          <w:szCs w:val="32"/>
          <w:lang w:val="zh-CN"/>
        </w:rPr>
      </w:pPr>
      <w:r>
        <w:rPr>
          <w:rFonts w:hint="eastAsia" w:ascii="仿宋" w:hAnsi="仿宋" w:eastAsia="仿宋" w:cs="仿宋"/>
          <w:sz w:val="32"/>
          <w:szCs w:val="32"/>
        </w:rPr>
        <w:t xml:space="preserve"> 11.完成市委、市府和市公安局以及省公安厅交警总队交办的其他事项。</w:t>
      </w:r>
    </w:p>
    <w:p w14:paraId="3A56A5E2">
      <w:pPr>
        <w:widowControl/>
        <w:adjustRightInd w:val="0"/>
        <w:snapToGrid w:val="0"/>
        <w:spacing w:line="360" w:lineRule="auto"/>
        <w:ind w:firstLine="643" w:firstLineChars="20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（三）人员概况。</w:t>
      </w:r>
    </w:p>
    <w:p w14:paraId="4DE72DA4">
      <w:pPr>
        <w:pStyle w:val="33"/>
        <w:spacing w:line="360" w:lineRule="auto"/>
        <w:ind w:firstLine="640"/>
        <w:rPr>
          <w:rFonts w:ascii="仿宋" w:hAnsi="仿宋" w:eastAsia="仿宋" w:cs="仿宋"/>
          <w:szCs w:val="32"/>
          <w:lang w:val="en-US"/>
        </w:rPr>
      </w:pPr>
      <w:r>
        <w:rPr>
          <w:rFonts w:hint="eastAsia" w:ascii="仿宋" w:hAnsi="仿宋" w:eastAsia="仿宋" w:cs="仿宋"/>
          <w:szCs w:val="32"/>
          <w:lang w:val="en-US"/>
        </w:rPr>
        <w:t>遂宁市公安</w:t>
      </w:r>
      <w:r>
        <w:rPr>
          <w:rFonts w:hint="eastAsia" w:ascii="仿宋" w:hAnsi="仿宋" w:eastAsia="仿宋" w:cs="仿宋"/>
          <w:szCs w:val="32"/>
        </w:rPr>
        <w:t>局</w:t>
      </w:r>
      <w:r>
        <w:rPr>
          <w:rFonts w:hint="eastAsia" w:ascii="仿宋" w:hAnsi="仿宋" w:eastAsia="仿宋" w:cs="仿宋"/>
          <w:szCs w:val="32"/>
          <w:lang w:val="en-US"/>
        </w:rPr>
        <w:t>交通警察支队</w:t>
      </w:r>
      <w:r>
        <w:rPr>
          <w:rFonts w:hint="eastAsia" w:ascii="仿宋" w:hAnsi="仿宋" w:eastAsia="仿宋" w:cs="仿宋"/>
          <w:szCs w:val="32"/>
        </w:rPr>
        <w:t>，截至202</w:t>
      </w:r>
      <w:r>
        <w:rPr>
          <w:rFonts w:hint="eastAsia" w:ascii="仿宋" w:hAnsi="仿宋" w:eastAsia="仿宋" w:cs="仿宋"/>
          <w:szCs w:val="32"/>
          <w:lang w:val="en-US"/>
        </w:rPr>
        <w:t>2</w:t>
      </w:r>
      <w:r>
        <w:rPr>
          <w:rFonts w:hint="eastAsia" w:ascii="仿宋" w:hAnsi="仿宋" w:eastAsia="仿宋" w:cs="仿宋"/>
          <w:szCs w:val="32"/>
        </w:rPr>
        <w:t>年年末，</w:t>
      </w:r>
      <w:r>
        <w:rPr>
          <w:rFonts w:hint="eastAsia" w:ascii="仿宋" w:hAnsi="仿宋" w:eastAsia="仿宋" w:cs="仿宋"/>
          <w:szCs w:val="32"/>
          <w:lang w:val="en-US"/>
        </w:rPr>
        <w:t>在职民警121</w:t>
      </w:r>
      <w:r>
        <w:rPr>
          <w:rFonts w:hint="eastAsia" w:ascii="仿宋" w:hAnsi="仿宋" w:eastAsia="仿宋" w:cs="仿宋"/>
          <w:szCs w:val="32"/>
        </w:rPr>
        <w:t>人，</w:t>
      </w:r>
      <w:r>
        <w:rPr>
          <w:rFonts w:hint="eastAsia" w:ascii="仿宋" w:hAnsi="仿宋" w:eastAsia="仿宋" w:cs="仿宋"/>
          <w:szCs w:val="32"/>
          <w:lang w:val="en-US"/>
        </w:rPr>
        <w:t>辅警289</w:t>
      </w:r>
      <w:r>
        <w:rPr>
          <w:rFonts w:hint="eastAsia" w:ascii="仿宋" w:hAnsi="仿宋" w:eastAsia="仿宋" w:cs="仿宋"/>
          <w:szCs w:val="32"/>
        </w:rPr>
        <w:t>人，</w:t>
      </w:r>
      <w:r>
        <w:rPr>
          <w:rFonts w:hint="eastAsia" w:ascii="仿宋" w:hAnsi="仿宋" w:eastAsia="仿宋" w:cs="仿宋"/>
          <w:szCs w:val="32"/>
          <w:lang w:val="en-US"/>
        </w:rPr>
        <w:t>退休人员20人</w:t>
      </w:r>
    </w:p>
    <w:p w14:paraId="3801F7E2">
      <w:pPr>
        <w:widowControl/>
        <w:adjustRightInd w:val="0"/>
        <w:snapToGrid w:val="0"/>
        <w:spacing w:line="360" w:lineRule="auto"/>
        <w:ind w:firstLine="640" w:firstLineChars="200"/>
        <w:jc w:val="left"/>
        <w:rPr>
          <w:rFonts w:ascii="仿宋" w:hAnsi="仿宋" w:eastAsia="仿宋" w:cs="仿宋"/>
          <w:color w:val="000000"/>
          <w:kern w:val="0"/>
          <w:sz w:val="32"/>
          <w:szCs w:val="32"/>
          <w:shd w:val="clear" w:color="auto" w:fill="FFFFFF"/>
        </w:rPr>
      </w:pPr>
    </w:p>
    <w:p w14:paraId="462C48D7">
      <w:pPr>
        <w:widowControl/>
        <w:adjustRightInd w:val="0"/>
        <w:snapToGrid w:val="0"/>
        <w:spacing w:line="360" w:lineRule="auto"/>
        <w:ind w:firstLine="643" w:firstLineChars="200"/>
        <w:jc w:val="left"/>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二、部门财政资金收支情况</w:t>
      </w:r>
    </w:p>
    <w:p w14:paraId="17C4CFEE">
      <w:pPr>
        <w:widowControl/>
        <w:adjustRightInd w:val="0"/>
        <w:snapToGrid w:val="0"/>
        <w:spacing w:line="360" w:lineRule="auto"/>
        <w:ind w:firstLine="643" w:firstLineChars="20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（一）部门财政资金收入情况。</w:t>
      </w:r>
    </w:p>
    <w:p w14:paraId="4ADF3828">
      <w:pPr>
        <w:widowControl/>
        <w:adjustRightInd w:val="0"/>
        <w:snapToGrid w:val="0"/>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2022年遂宁市公安局交通警察支队年初预算4575.33万元，其中年初财政拨款4575.33万元，中期调整961.5万元，调整后预算收入总额为5536.83万元。</w:t>
      </w:r>
    </w:p>
    <w:p w14:paraId="61971F13">
      <w:pPr>
        <w:widowControl/>
        <w:adjustRightInd w:val="0"/>
        <w:snapToGrid w:val="0"/>
        <w:spacing w:line="360" w:lineRule="auto"/>
        <w:ind w:firstLine="643" w:firstLineChars="20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（二）部门财政资金支出情况。</w:t>
      </w:r>
    </w:p>
    <w:p w14:paraId="7BD1F0A0">
      <w:pPr>
        <w:pStyle w:val="34"/>
        <w:ind w:firstLine="640"/>
        <w:rPr>
          <w:rFonts w:ascii="仿宋" w:hAnsi="仿宋" w:cs="仿宋"/>
          <w:szCs w:val="32"/>
        </w:rPr>
      </w:pPr>
      <w:r>
        <w:rPr>
          <w:rFonts w:hint="eastAsia" w:ascii="仿宋" w:hAnsi="仿宋" w:cs="仿宋"/>
          <w:szCs w:val="32"/>
        </w:rPr>
        <w:t>202</w:t>
      </w:r>
      <w:r>
        <w:rPr>
          <w:rFonts w:hint="eastAsia" w:ascii="仿宋" w:hAnsi="仿宋" w:cs="仿宋"/>
          <w:szCs w:val="32"/>
          <w:lang w:val="en-US"/>
        </w:rPr>
        <w:t>2</w:t>
      </w:r>
      <w:r>
        <w:rPr>
          <w:rFonts w:hint="eastAsia" w:ascii="仿宋" w:hAnsi="仿宋" w:cs="仿宋"/>
          <w:szCs w:val="32"/>
        </w:rPr>
        <w:t>年度，</w:t>
      </w:r>
      <w:r>
        <w:rPr>
          <w:rFonts w:hint="eastAsia" w:ascii="仿宋" w:hAnsi="仿宋" w:cs="仿宋"/>
          <w:szCs w:val="32"/>
          <w:lang w:val="en-US"/>
        </w:rPr>
        <w:t>遂宁市公安局交通警察支队</w:t>
      </w:r>
      <w:r>
        <w:rPr>
          <w:rFonts w:hint="eastAsia" w:ascii="仿宋" w:hAnsi="仿宋" w:cs="仿宋"/>
          <w:szCs w:val="32"/>
        </w:rPr>
        <w:t>财政支出年初预算为4575</w:t>
      </w:r>
      <w:r>
        <w:rPr>
          <w:rFonts w:hint="eastAsia" w:ascii="仿宋" w:hAnsi="仿宋" w:cs="仿宋"/>
          <w:szCs w:val="32"/>
          <w:lang w:val="en-US"/>
        </w:rPr>
        <w:t>.</w:t>
      </w:r>
      <w:r>
        <w:rPr>
          <w:rFonts w:hint="eastAsia" w:ascii="仿宋" w:hAnsi="仿宋" w:cs="仿宋"/>
          <w:szCs w:val="32"/>
        </w:rPr>
        <w:t>3</w:t>
      </w:r>
      <w:r>
        <w:rPr>
          <w:rFonts w:hint="eastAsia" w:ascii="仿宋" w:hAnsi="仿宋" w:cs="仿宋"/>
          <w:szCs w:val="32"/>
          <w:lang w:val="en-US"/>
        </w:rPr>
        <w:t>3</w:t>
      </w:r>
      <w:r>
        <w:rPr>
          <w:rFonts w:hint="eastAsia" w:ascii="仿宋" w:hAnsi="仿宋" w:cs="仿宋"/>
          <w:szCs w:val="32"/>
        </w:rPr>
        <w:t>万元，中期调整</w:t>
      </w:r>
      <w:r>
        <w:rPr>
          <w:rFonts w:hint="eastAsia" w:ascii="仿宋" w:hAnsi="仿宋" w:cs="仿宋"/>
          <w:szCs w:val="32"/>
          <w:lang w:val="en-US"/>
        </w:rPr>
        <w:t>961.5</w:t>
      </w:r>
      <w:r>
        <w:rPr>
          <w:rFonts w:hint="eastAsia" w:ascii="仿宋" w:hAnsi="仿宋" w:cs="仿宋"/>
          <w:szCs w:val="32"/>
        </w:rPr>
        <w:t>万元，调整后预算支出总额为5536</w:t>
      </w:r>
      <w:r>
        <w:rPr>
          <w:rFonts w:hint="eastAsia" w:ascii="仿宋" w:hAnsi="仿宋" w:cs="仿宋"/>
          <w:szCs w:val="32"/>
          <w:lang w:val="en-US"/>
        </w:rPr>
        <w:t>.</w:t>
      </w:r>
      <w:r>
        <w:rPr>
          <w:rFonts w:hint="eastAsia" w:ascii="仿宋" w:hAnsi="仿宋" w:cs="仿宋"/>
          <w:szCs w:val="32"/>
        </w:rPr>
        <w:t>83万元，部门支出预算执行总额为5536</w:t>
      </w:r>
      <w:r>
        <w:rPr>
          <w:rFonts w:hint="eastAsia" w:ascii="仿宋" w:hAnsi="仿宋" w:cs="仿宋"/>
          <w:szCs w:val="32"/>
          <w:lang w:val="en-US"/>
        </w:rPr>
        <w:t>.</w:t>
      </w:r>
      <w:r>
        <w:rPr>
          <w:rFonts w:hint="eastAsia" w:ascii="仿宋" w:hAnsi="仿宋" w:cs="仿宋"/>
          <w:szCs w:val="32"/>
        </w:rPr>
        <w:t>83万元，部门总体执行进度为</w:t>
      </w:r>
      <w:r>
        <w:rPr>
          <w:rFonts w:hint="eastAsia" w:ascii="仿宋" w:hAnsi="仿宋" w:cs="仿宋"/>
          <w:szCs w:val="32"/>
          <w:lang w:val="en-US"/>
        </w:rPr>
        <w:t>100</w:t>
      </w:r>
      <w:r>
        <w:rPr>
          <w:rFonts w:hint="eastAsia" w:ascii="仿宋" w:hAnsi="仿宋" w:cs="仿宋"/>
          <w:szCs w:val="32"/>
        </w:rPr>
        <w:t>%，其中：基本支出预算总额为3877</w:t>
      </w:r>
      <w:r>
        <w:rPr>
          <w:rFonts w:hint="eastAsia" w:ascii="仿宋" w:hAnsi="仿宋" w:cs="仿宋"/>
          <w:szCs w:val="32"/>
          <w:lang w:val="en-US"/>
        </w:rPr>
        <w:t>.99</w:t>
      </w:r>
      <w:r>
        <w:rPr>
          <w:rFonts w:hint="eastAsia" w:ascii="仿宋" w:hAnsi="仿宋" w:cs="仿宋"/>
          <w:szCs w:val="32"/>
        </w:rPr>
        <w:t>万元，基本支出执行总额为3877</w:t>
      </w:r>
      <w:r>
        <w:rPr>
          <w:rFonts w:hint="eastAsia" w:ascii="仿宋" w:hAnsi="仿宋" w:cs="仿宋"/>
          <w:szCs w:val="32"/>
          <w:lang w:val="en-US"/>
        </w:rPr>
        <w:t>.99</w:t>
      </w:r>
      <w:r>
        <w:rPr>
          <w:rFonts w:hint="eastAsia" w:ascii="仿宋" w:hAnsi="仿宋" w:cs="仿宋"/>
          <w:szCs w:val="32"/>
        </w:rPr>
        <w:t>万元，基本支出总体执行进度100%；项目支出预算总额为1658</w:t>
      </w:r>
      <w:r>
        <w:rPr>
          <w:rFonts w:hint="eastAsia" w:ascii="仿宋" w:hAnsi="仿宋" w:cs="仿宋"/>
          <w:szCs w:val="32"/>
          <w:lang w:val="en-US"/>
        </w:rPr>
        <w:t>.84</w:t>
      </w:r>
      <w:r>
        <w:rPr>
          <w:rFonts w:hint="eastAsia" w:ascii="仿宋" w:hAnsi="仿宋" w:cs="仿宋"/>
          <w:szCs w:val="32"/>
        </w:rPr>
        <w:t>万元，项目支出执行总额为1658</w:t>
      </w:r>
      <w:r>
        <w:rPr>
          <w:rFonts w:hint="eastAsia" w:ascii="仿宋" w:hAnsi="仿宋" w:cs="仿宋"/>
          <w:szCs w:val="32"/>
          <w:lang w:val="en-US"/>
        </w:rPr>
        <w:t>.84</w:t>
      </w:r>
      <w:r>
        <w:rPr>
          <w:rFonts w:hint="eastAsia" w:ascii="仿宋" w:hAnsi="仿宋" w:cs="仿宋"/>
          <w:szCs w:val="32"/>
        </w:rPr>
        <w:t>万元，项目支出总体执行进度</w:t>
      </w:r>
      <w:r>
        <w:rPr>
          <w:rFonts w:hint="eastAsia" w:ascii="仿宋" w:hAnsi="仿宋" w:cs="仿宋"/>
          <w:szCs w:val="32"/>
          <w:lang w:val="en-US"/>
        </w:rPr>
        <w:t>100</w:t>
      </w:r>
      <w:r>
        <w:rPr>
          <w:rFonts w:hint="eastAsia" w:ascii="仿宋" w:hAnsi="仿宋" w:cs="仿宋"/>
          <w:szCs w:val="32"/>
        </w:rPr>
        <w:t>%。</w:t>
      </w:r>
    </w:p>
    <w:p w14:paraId="7BD56BB4">
      <w:pPr>
        <w:widowControl/>
        <w:adjustRightInd w:val="0"/>
        <w:snapToGrid w:val="0"/>
        <w:spacing w:line="620" w:lineRule="exact"/>
        <w:ind w:firstLine="643"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rPr>
        <w:t>三、部门整体预算绩效管理情况</w:t>
      </w:r>
    </w:p>
    <w:p w14:paraId="222F5A25">
      <w:pPr>
        <w:widowControl/>
        <w:adjustRightInd w:val="0"/>
        <w:snapToGrid w:val="0"/>
        <w:spacing w:line="580" w:lineRule="exact"/>
        <w:ind w:firstLine="640" w:firstLineChars="200"/>
        <w:contextualSpacing/>
        <w:jc w:val="left"/>
        <w:rPr>
          <w:rFonts w:ascii="仿宋_GB2312" w:eastAsia="仿宋_GB2312"/>
          <w:color w:val="000000"/>
          <w:sz w:val="32"/>
          <w:szCs w:val="32"/>
        </w:rPr>
      </w:pPr>
      <w:r>
        <w:rPr>
          <w:rFonts w:hint="eastAsia" w:ascii="仿宋_GB2312" w:hAnsi="宋体" w:eastAsia="仿宋_GB2312"/>
          <w:color w:val="000000"/>
          <w:sz w:val="32"/>
          <w:szCs w:val="32"/>
        </w:rPr>
        <w:t>包括部门绩效目标制定、目标实现、预算编制准确、支出控制、预算动态调整、执行进度、预算完成情况和违规记录等情况。</w:t>
      </w:r>
    </w:p>
    <w:p w14:paraId="78773312">
      <w:pPr>
        <w:shd w:val="clear" w:color="auto" w:fill="FFFFFF"/>
        <w:spacing w:line="580" w:lineRule="exact"/>
        <w:ind w:firstLine="630"/>
        <w:rPr>
          <w:rFonts w:ascii="仿宋_GB2312" w:eastAsia="仿宋_GB2312"/>
          <w:color w:val="000000"/>
          <w:sz w:val="32"/>
          <w:szCs w:val="32"/>
        </w:rPr>
      </w:pPr>
      <w:r>
        <w:rPr>
          <w:rFonts w:hint="eastAsia" w:ascii="仿宋_GB2312" w:hAnsi="宋体" w:eastAsia="仿宋_GB2312"/>
          <w:color w:val="000000"/>
          <w:sz w:val="32"/>
          <w:szCs w:val="32"/>
        </w:rPr>
        <w:t>预决算公开：</w:t>
      </w:r>
      <w:r>
        <w:rPr>
          <w:rFonts w:ascii="仿宋_GB2312" w:hAnsi="宋体" w:eastAsia="仿宋_GB2312"/>
          <w:color w:val="000000"/>
          <w:sz w:val="32"/>
          <w:szCs w:val="32"/>
        </w:rPr>
        <w:t>202</w:t>
      </w:r>
      <w:r>
        <w:rPr>
          <w:rFonts w:hint="eastAsia" w:ascii="仿宋_GB2312" w:hAnsi="宋体" w:eastAsia="仿宋_GB2312"/>
          <w:color w:val="000000"/>
          <w:sz w:val="32"/>
          <w:szCs w:val="32"/>
        </w:rPr>
        <w:t>2年，按照上级的要求，在政府网站上进行了预决算公开。</w:t>
      </w:r>
    </w:p>
    <w:p w14:paraId="6D728219">
      <w:pPr>
        <w:shd w:val="clear" w:color="auto" w:fill="FFFFFF"/>
        <w:spacing w:line="580" w:lineRule="exact"/>
        <w:ind w:firstLine="630"/>
        <w:rPr>
          <w:rFonts w:ascii="仿宋_GB2312" w:eastAsia="仿宋_GB2312"/>
          <w:color w:val="000000"/>
          <w:sz w:val="32"/>
          <w:szCs w:val="32"/>
        </w:rPr>
      </w:pPr>
      <w:r>
        <w:rPr>
          <w:rFonts w:hint="eastAsia" w:ascii="仿宋_GB2312" w:hAnsi="宋体" w:eastAsia="仿宋_GB2312"/>
          <w:color w:val="000000"/>
          <w:sz w:val="32"/>
          <w:szCs w:val="32"/>
        </w:rPr>
        <w:t>资产管理：我们进一步加强资产的管理，制定了《市公安局交通警察支队资产管理制度》等制度，明确了具体责任人，完善了固定资产档案，严格报批、销审等手续，做好资产登记工作，单位无资产流失现象。</w:t>
      </w:r>
    </w:p>
    <w:p w14:paraId="2AEAD969">
      <w:pPr>
        <w:shd w:val="clear" w:color="auto" w:fill="FFFFFF"/>
        <w:spacing w:line="580" w:lineRule="exact"/>
        <w:ind w:firstLine="630"/>
        <w:rPr>
          <w:rFonts w:ascii="仿宋_GB2312" w:eastAsia="仿宋_GB2312"/>
          <w:color w:val="000000"/>
          <w:sz w:val="32"/>
          <w:szCs w:val="32"/>
        </w:rPr>
      </w:pPr>
      <w:r>
        <w:rPr>
          <w:rFonts w:hint="eastAsia" w:ascii="仿宋_GB2312" w:hAnsi="宋体" w:eastAsia="仿宋_GB2312"/>
          <w:color w:val="000000"/>
          <w:sz w:val="32"/>
          <w:szCs w:val="32"/>
        </w:rPr>
        <w:t>政府采购实施计划：</w:t>
      </w:r>
      <w:r>
        <w:rPr>
          <w:rFonts w:ascii="仿宋_GB2312" w:hAnsi="宋体" w:eastAsia="仿宋_GB2312"/>
          <w:color w:val="000000"/>
          <w:sz w:val="32"/>
          <w:szCs w:val="32"/>
        </w:rPr>
        <w:t>202</w:t>
      </w:r>
      <w:r>
        <w:rPr>
          <w:rFonts w:hint="eastAsia" w:ascii="仿宋_GB2312" w:hAnsi="宋体" w:eastAsia="仿宋_GB2312"/>
          <w:color w:val="000000"/>
          <w:sz w:val="32"/>
          <w:szCs w:val="32"/>
        </w:rPr>
        <w:t>3年度支队根据各部门需求制定采购计划，完善相关资料及报批手续，严格按照《中华人民共和国政府采购法》《中华人民共和国政府采购法实施条例》的规定及财政相关要求进行采购实施计划。</w:t>
      </w:r>
    </w:p>
    <w:p w14:paraId="2F590A6E">
      <w:pPr>
        <w:shd w:val="clear" w:color="auto" w:fill="FFFFFF"/>
        <w:spacing w:line="580" w:lineRule="exact"/>
        <w:ind w:firstLine="630"/>
        <w:rPr>
          <w:rFonts w:ascii="仿宋_GB2312" w:eastAsia="仿宋_GB2312"/>
          <w:color w:val="000000"/>
          <w:sz w:val="32"/>
          <w:szCs w:val="32"/>
        </w:rPr>
      </w:pPr>
      <w:r>
        <w:rPr>
          <w:rFonts w:hint="eastAsia" w:ascii="仿宋_GB2312" w:hAnsi="宋体" w:eastAsia="仿宋_GB2312"/>
          <w:color w:val="000000"/>
          <w:sz w:val="32"/>
          <w:szCs w:val="32"/>
        </w:rPr>
        <w:t>内部管理制度建设情况：近年来，支队制定了《市公安局交通警察支队财务管理制度》、《车辆管理》、《市公安局交通警察支队内部控制制度》等一系列内部制度。</w:t>
      </w:r>
    </w:p>
    <w:p w14:paraId="312802F7">
      <w:pPr>
        <w:shd w:val="clear" w:color="auto" w:fill="FFFFFF"/>
        <w:spacing w:line="580" w:lineRule="exact"/>
        <w:ind w:firstLine="630"/>
        <w:rPr>
          <w:rFonts w:ascii="仿宋_GB2312" w:eastAsia="仿宋_GB2312"/>
          <w:color w:val="000000"/>
          <w:sz w:val="32"/>
          <w:szCs w:val="32"/>
        </w:rPr>
      </w:pPr>
      <w:r>
        <w:rPr>
          <w:rFonts w:hint="eastAsia" w:ascii="仿宋_GB2312" w:hAnsi="宋体" w:eastAsia="仿宋_GB2312"/>
          <w:color w:val="000000"/>
          <w:sz w:val="32"/>
          <w:szCs w:val="32"/>
        </w:rPr>
        <w:t>项目绩效总目标完成情况：</w:t>
      </w:r>
      <w:r>
        <w:rPr>
          <w:rFonts w:ascii="仿宋_GB2312" w:hAnsi="宋体" w:eastAsia="仿宋_GB2312"/>
          <w:color w:val="000000"/>
          <w:sz w:val="32"/>
          <w:szCs w:val="32"/>
        </w:rPr>
        <w:t>202</w:t>
      </w:r>
      <w:r>
        <w:rPr>
          <w:rFonts w:hint="eastAsia" w:ascii="仿宋_GB2312" w:hAnsi="宋体" w:eastAsia="仿宋_GB2312"/>
          <w:color w:val="000000"/>
          <w:sz w:val="32"/>
          <w:szCs w:val="32"/>
        </w:rPr>
        <w:t>2年，交警支队各项业务工作任务圆满完成。自评总分</w:t>
      </w:r>
      <w:r>
        <w:rPr>
          <w:rFonts w:ascii="仿宋_GB2312" w:hAnsi="宋体" w:eastAsia="仿宋_GB2312"/>
          <w:color w:val="000000"/>
          <w:sz w:val="32"/>
          <w:szCs w:val="32"/>
        </w:rPr>
        <w:t>95</w:t>
      </w:r>
      <w:r>
        <w:rPr>
          <w:rFonts w:hint="eastAsia" w:ascii="仿宋_GB2312" w:hAnsi="宋体" w:eastAsia="仿宋_GB2312"/>
          <w:color w:val="000000"/>
          <w:sz w:val="32"/>
          <w:szCs w:val="32"/>
        </w:rPr>
        <w:t>。</w:t>
      </w:r>
    </w:p>
    <w:p w14:paraId="35274465"/>
    <w:p w14:paraId="1DCF6FD9">
      <w:pPr>
        <w:widowControl/>
        <w:adjustRightInd w:val="0"/>
        <w:snapToGrid w:val="0"/>
        <w:spacing w:line="360" w:lineRule="auto"/>
        <w:ind w:firstLine="643" w:firstLineChars="200"/>
        <w:jc w:val="left"/>
        <w:rPr>
          <w:rFonts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（一）部门预算项目绩效管理。</w:t>
      </w:r>
    </w:p>
    <w:p w14:paraId="2DE6F512">
      <w:pPr>
        <w:widowControl/>
        <w:adjustRightInd w:val="0"/>
        <w:snapToGrid w:val="0"/>
        <w:ind w:firstLine="643" w:firstLineChars="200"/>
        <w:jc w:val="left"/>
        <w:rPr>
          <w:rFonts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1.包括部门绩效目标制定</w:t>
      </w:r>
    </w:p>
    <w:p w14:paraId="437894F9">
      <w:pPr>
        <w:pStyle w:val="2"/>
        <w:spacing w:line="240" w:lineRule="auto"/>
        <w:ind w:firstLine="640" w:firstLineChars="200"/>
        <w:rPr>
          <w:rFonts w:ascii="仿宋" w:hAnsi="仿宋" w:eastAsia="仿宋" w:cs="仿宋"/>
          <w:b w:val="0"/>
          <w:color w:val="000000"/>
          <w:kern w:val="0"/>
          <w:shd w:val="clear" w:color="auto" w:fill="FFFFFF"/>
          <w:lang w:val="zh-CN"/>
        </w:rPr>
      </w:pPr>
      <w:r>
        <w:rPr>
          <w:rFonts w:hint="eastAsia" w:ascii="仿宋" w:hAnsi="仿宋" w:eastAsia="仿宋" w:cs="仿宋"/>
          <w:b w:val="0"/>
          <w:color w:val="000000"/>
          <w:kern w:val="0"/>
          <w:shd w:val="clear" w:color="auto" w:fill="FFFFFF"/>
        </w:rPr>
        <w:t>遂宁市公安局交通警察支队2022</w:t>
      </w:r>
      <w:r>
        <w:rPr>
          <w:rFonts w:hint="eastAsia" w:ascii="仿宋" w:hAnsi="仿宋" w:eastAsia="仿宋" w:cs="仿宋"/>
          <w:b w:val="0"/>
          <w:color w:val="000000"/>
          <w:kern w:val="0"/>
          <w:shd w:val="clear" w:color="auto" w:fill="FFFFFF"/>
          <w:lang w:val="zh-CN"/>
        </w:rPr>
        <w:t>年财政拨款收支总预算</w:t>
      </w:r>
      <w:r>
        <w:rPr>
          <w:rFonts w:hint="eastAsia" w:ascii="仿宋" w:hAnsi="仿宋" w:eastAsia="仿宋" w:cs="仿宋"/>
          <w:b w:val="0"/>
        </w:rPr>
        <w:t>5,536.83</w:t>
      </w:r>
      <w:r>
        <w:rPr>
          <w:rFonts w:hint="eastAsia" w:ascii="仿宋" w:hAnsi="仿宋" w:eastAsia="仿宋" w:cs="仿宋"/>
          <w:b w:val="0"/>
          <w:color w:val="000000"/>
          <w:kern w:val="0"/>
          <w:shd w:val="clear" w:color="auto" w:fill="FFFFFF"/>
          <w:lang w:val="zh-CN"/>
        </w:rPr>
        <w:t xml:space="preserve"> 万元。收入包括：本年一般公共预算拨款收入</w:t>
      </w:r>
      <w:r>
        <w:rPr>
          <w:rFonts w:hint="eastAsia" w:ascii="仿宋" w:hAnsi="仿宋" w:eastAsia="仿宋" w:cs="仿宋"/>
          <w:b w:val="0"/>
          <w:color w:val="000000"/>
          <w:kern w:val="0"/>
        </w:rPr>
        <w:t>4,575.33</w:t>
      </w:r>
      <w:r>
        <w:rPr>
          <w:rFonts w:hint="eastAsia" w:ascii="仿宋" w:hAnsi="仿宋" w:eastAsia="仿宋" w:cs="仿宋"/>
          <w:b w:val="0"/>
          <w:color w:val="000000"/>
          <w:kern w:val="0"/>
          <w:shd w:val="clear" w:color="auto" w:fill="FFFFFF"/>
          <w:lang w:val="zh-CN"/>
        </w:rPr>
        <w:t>万元，</w:t>
      </w:r>
      <w:r>
        <w:rPr>
          <w:rFonts w:hint="eastAsia" w:ascii="仿宋" w:hAnsi="仿宋" w:eastAsia="仿宋" w:cs="仿宋"/>
          <w:b w:val="0"/>
          <w:color w:val="000000"/>
          <w:kern w:val="0"/>
          <w:shd w:val="clear" w:color="auto" w:fill="FFFFFF"/>
        </w:rPr>
        <w:t>年中调整961.5万元</w:t>
      </w:r>
      <w:r>
        <w:rPr>
          <w:rFonts w:hint="eastAsia" w:ascii="仿宋" w:hAnsi="仿宋" w:eastAsia="仿宋" w:cs="仿宋"/>
          <w:b w:val="0"/>
          <w:color w:val="000000"/>
          <w:kern w:val="0"/>
          <w:shd w:val="clear" w:color="auto" w:fill="FFFFFF"/>
          <w:lang w:val="zh-CN"/>
        </w:rPr>
        <w:t>；支出包括：公共安全支出5</w:t>
      </w:r>
      <w:r>
        <w:rPr>
          <w:rFonts w:hint="eastAsia" w:ascii="仿宋" w:hAnsi="仿宋" w:eastAsia="仿宋" w:cs="仿宋"/>
          <w:b w:val="0"/>
          <w:color w:val="000000"/>
          <w:kern w:val="0"/>
          <w:shd w:val="clear" w:color="auto" w:fill="FFFFFF"/>
        </w:rPr>
        <w:t>,</w:t>
      </w:r>
      <w:r>
        <w:rPr>
          <w:rFonts w:hint="eastAsia" w:ascii="仿宋" w:hAnsi="仿宋" w:eastAsia="仿宋" w:cs="仿宋"/>
          <w:b w:val="0"/>
          <w:color w:val="000000"/>
          <w:kern w:val="0"/>
          <w:shd w:val="clear" w:color="auto" w:fill="FFFFFF"/>
          <w:lang w:val="zh-CN"/>
        </w:rPr>
        <w:t>045</w:t>
      </w:r>
      <w:r>
        <w:rPr>
          <w:rFonts w:hint="eastAsia" w:ascii="仿宋" w:hAnsi="仿宋" w:eastAsia="仿宋" w:cs="仿宋"/>
          <w:b w:val="0"/>
          <w:color w:val="000000"/>
          <w:kern w:val="0"/>
          <w:shd w:val="clear" w:color="auto" w:fill="FFFFFF"/>
        </w:rPr>
        <w:t>.</w:t>
      </w:r>
      <w:r>
        <w:rPr>
          <w:rFonts w:hint="eastAsia" w:ascii="仿宋" w:hAnsi="仿宋" w:eastAsia="仿宋" w:cs="仿宋"/>
          <w:b w:val="0"/>
          <w:color w:val="000000"/>
          <w:kern w:val="0"/>
          <w:shd w:val="clear" w:color="auto" w:fill="FFFFFF"/>
          <w:lang w:val="zh-CN"/>
        </w:rPr>
        <w:t>4</w:t>
      </w:r>
      <w:r>
        <w:rPr>
          <w:rFonts w:hint="eastAsia" w:ascii="仿宋" w:hAnsi="仿宋" w:eastAsia="仿宋" w:cs="仿宋"/>
          <w:b w:val="0"/>
          <w:color w:val="000000"/>
          <w:kern w:val="0"/>
          <w:shd w:val="clear" w:color="auto" w:fill="FFFFFF"/>
        </w:rPr>
        <w:t>1万元</w:t>
      </w:r>
      <w:r>
        <w:rPr>
          <w:rFonts w:hint="eastAsia" w:ascii="仿宋" w:hAnsi="仿宋" w:eastAsia="仿宋" w:cs="仿宋"/>
          <w:b w:val="0"/>
          <w:color w:val="000000"/>
          <w:kern w:val="0"/>
          <w:shd w:val="clear" w:color="auto" w:fill="FFFFFF"/>
          <w:lang w:val="zh-CN"/>
        </w:rPr>
        <w:t>、社会保障和就业支出</w:t>
      </w:r>
      <w:r>
        <w:rPr>
          <w:rFonts w:hint="eastAsia" w:ascii="仿宋" w:hAnsi="仿宋" w:eastAsia="仿宋" w:cs="仿宋"/>
          <w:b w:val="0"/>
          <w:color w:val="000000"/>
          <w:kern w:val="0"/>
          <w:shd w:val="clear" w:color="auto" w:fill="FFFFFF"/>
        </w:rPr>
        <w:t>185.99</w:t>
      </w:r>
      <w:r>
        <w:rPr>
          <w:rFonts w:hint="eastAsia" w:ascii="仿宋" w:hAnsi="仿宋" w:eastAsia="仿宋" w:cs="仿宋"/>
          <w:b w:val="0"/>
          <w:color w:val="000000"/>
          <w:kern w:val="0"/>
          <w:shd w:val="clear" w:color="auto" w:fill="FFFFFF"/>
          <w:lang w:val="zh-CN"/>
        </w:rPr>
        <w:t>万元、医疗卫生与计划生育支出</w:t>
      </w:r>
      <w:r>
        <w:rPr>
          <w:rFonts w:hint="eastAsia" w:ascii="仿宋" w:hAnsi="仿宋" w:eastAsia="仿宋" w:cs="仿宋"/>
          <w:b w:val="0"/>
          <w:color w:val="000000"/>
          <w:kern w:val="0"/>
          <w:shd w:val="clear" w:color="auto" w:fill="FFFFFF"/>
        </w:rPr>
        <w:t>102.58</w:t>
      </w:r>
      <w:r>
        <w:rPr>
          <w:rFonts w:hint="eastAsia" w:ascii="仿宋" w:hAnsi="仿宋" w:eastAsia="仿宋" w:cs="仿宋"/>
          <w:b w:val="0"/>
          <w:color w:val="000000"/>
          <w:kern w:val="0"/>
          <w:shd w:val="clear" w:color="auto" w:fill="FFFFFF"/>
          <w:lang w:val="zh-CN"/>
        </w:rPr>
        <w:t>万元、住房保障支出</w:t>
      </w:r>
      <w:r>
        <w:rPr>
          <w:rFonts w:hint="eastAsia" w:ascii="仿宋" w:hAnsi="仿宋" w:eastAsia="仿宋" w:cs="仿宋"/>
          <w:b w:val="0"/>
          <w:color w:val="000000"/>
          <w:kern w:val="0"/>
          <w:shd w:val="clear" w:color="auto" w:fill="FFFFFF"/>
        </w:rPr>
        <w:t>202.86</w:t>
      </w:r>
      <w:r>
        <w:rPr>
          <w:rFonts w:hint="eastAsia" w:ascii="仿宋" w:hAnsi="仿宋" w:eastAsia="仿宋" w:cs="仿宋"/>
          <w:b w:val="0"/>
          <w:color w:val="000000"/>
          <w:kern w:val="0"/>
          <w:shd w:val="clear" w:color="auto" w:fill="FFFFFF"/>
          <w:lang w:val="zh-CN"/>
        </w:rPr>
        <w:t>万元。</w:t>
      </w:r>
    </w:p>
    <w:p w14:paraId="36BD42FD">
      <w:pPr>
        <w:pStyle w:val="12"/>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1、综合预算管理。严格按照预算原则，将单位各项收入完整列入部门预算，统筹安排用于各项支出。</w:t>
      </w:r>
    </w:p>
    <w:p w14:paraId="41EE11BB">
      <w:pPr>
        <w:pStyle w:val="12"/>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2、优化预算支出结构。严格执行中央八项规定、省市十项规定精神和国务院“约法三章”要求，严格控制“三公”经费等一般性支出。</w:t>
      </w:r>
    </w:p>
    <w:p w14:paraId="44372EE3">
      <w:pPr>
        <w:pStyle w:val="12"/>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3、规范预算编制主体。单位预算没有将应由本单位承担的支出列入下级单位或将应由下级单位承担的支出列入本单位预算。</w:t>
      </w:r>
    </w:p>
    <w:p w14:paraId="6C45CA55">
      <w:pPr>
        <w:pStyle w:val="12"/>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规范编制基本支出和项目支出。严格控制基本支出的开支范围和标准，预算编制中如实填报人员编制、实有人数，不存在多报、虚报在编人数的情况。项目信息编制做到细化清晰、严格执行相关项目支出标准，不存在重复申报或虚报项目内容、在项目支出中编制在职人员工资福利支出和离退休费的情况。</w:t>
      </w:r>
    </w:p>
    <w:p w14:paraId="53EAC966">
      <w:pPr>
        <w:pStyle w:val="12"/>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完整编制政府采购预算。按照政府集中采购目录及采购限额标准的有关要求，做到对所有使用纳入单位预算管理的资金采购货物、工程和服务的支出完整编制政府采购预算。因预算调整需相应调整政府采购预算或年初未编制政府采购预算的，均按程序及时办理补服、申请调整和备案手续。</w:t>
      </w:r>
    </w:p>
    <w:p w14:paraId="6DDFBF8D">
      <w:pPr>
        <w:pStyle w:val="12"/>
        <w:adjustRightInd w:val="0"/>
        <w:snapToGrid w:val="0"/>
        <w:spacing w:line="360" w:lineRule="auto"/>
        <w:ind w:firstLine="640" w:firstLineChars="200"/>
        <w:rPr>
          <w:rFonts w:ascii="仿宋" w:hAnsi="仿宋" w:eastAsia="仿宋" w:cs="仿宋"/>
          <w:sz w:val="32"/>
          <w:szCs w:val="32"/>
          <w:lang w:val="zh-CN"/>
        </w:rPr>
      </w:pPr>
      <w:r>
        <w:rPr>
          <w:rFonts w:hint="eastAsia" w:ascii="仿宋" w:hAnsi="仿宋" w:eastAsia="仿宋" w:cs="仿宋"/>
          <w:sz w:val="32"/>
          <w:szCs w:val="32"/>
        </w:rPr>
        <w:t>6、强化资产配置预算管理。严格按照资产配置标准厉行节约、从严控制。按照国有资产管理办法相关规定，将办公楼出租收入按照“收支两条线”管理原则纳入单位预算。</w:t>
      </w:r>
    </w:p>
    <w:p w14:paraId="1079CCB4">
      <w:pPr>
        <w:widowControl/>
        <w:adjustRightInd w:val="0"/>
        <w:snapToGrid w:val="0"/>
        <w:ind w:firstLine="643" w:firstLineChars="200"/>
        <w:jc w:val="left"/>
        <w:rPr>
          <w:rFonts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2.目标实现</w:t>
      </w:r>
    </w:p>
    <w:p w14:paraId="2E08C12B">
      <w:pPr>
        <w:widowControl/>
        <w:shd w:val="clear" w:color="auto" w:fill="FFFFFF"/>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color w:val="000000"/>
          <w:kern w:val="0"/>
          <w:sz w:val="32"/>
          <w:szCs w:val="32"/>
          <w:shd w:val="clear" w:color="auto" w:fill="FFFFFF"/>
        </w:rPr>
        <w:t>遂宁市公安局交通警察支队2022</w:t>
      </w:r>
      <w:r>
        <w:rPr>
          <w:rFonts w:hint="eastAsia" w:ascii="仿宋" w:hAnsi="仿宋" w:eastAsia="仿宋" w:cs="仿宋"/>
          <w:kern w:val="0"/>
          <w:sz w:val="32"/>
          <w:szCs w:val="32"/>
          <w:shd w:val="clear" w:color="auto" w:fill="FFFFFF"/>
        </w:rPr>
        <w:t>年一般公共预算总支出5,536.83万元，分别为基本支出3,877.99万元，项目支出1,658.83万元。其中：</w:t>
      </w:r>
    </w:p>
    <w:p w14:paraId="770F7BDC">
      <w:pPr>
        <w:widowControl/>
        <w:shd w:val="clear" w:color="auto" w:fill="FFFFFF"/>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人员经费2,558.24万元，主要包括（以实际支出经济分类科目填列）：基本工资、津贴补贴、奖金、社会保险缴费、绩效工资、机关事业单位基本养老保险缴费、其他工资福利支出、离休费、住房公积金、其他对个人和家庭的补助支出等。</w:t>
      </w:r>
    </w:p>
    <w:p w14:paraId="1FACCED5">
      <w:pPr>
        <w:widowControl/>
        <w:shd w:val="clear" w:color="auto" w:fill="FFFFFF"/>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公用经费1,319.75万元，主要包括（以实际支出经济分类科目填列）：办公费、邮电费、差旅费、维修（护）费、会议费、培训费、劳务费、工会经费、福利费、其他交通费、其他商品和服务支出等。</w:t>
      </w:r>
    </w:p>
    <w:p w14:paraId="743F060B">
      <w:pPr>
        <w:pStyle w:val="12"/>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color w:val="000000"/>
          <w:sz w:val="32"/>
          <w:szCs w:val="32"/>
        </w:rPr>
        <w:t>1、及时足额上缴非税收入。各项非税收入按规定及时足额缴入财政专户，做到应收尽收、应缴尽缴，不存在任何</w:t>
      </w:r>
      <w:r>
        <w:rPr>
          <w:rFonts w:hint="eastAsia" w:ascii="仿宋" w:hAnsi="仿宋" w:eastAsia="仿宋" w:cs="仿宋"/>
          <w:sz w:val="32"/>
          <w:szCs w:val="32"/>
        </w:rPr>
        <w:t>形式的隐瞒、截留、挤占、挪用、坐支或者私分的现象。也不存在将非税收入转入单位工会、培训中心、服务中心等单位使用的情况。</w:t>
      </w:r>
    </w:p>
    <w:p w14:paraId="0BC5941F">
      <w:pPr>
        <w:spacing w:line="360" w:lineRule="auto"/>
        <w:ind w:firstLine="640" w:firstLineChars="200"/>
        <w:rPr>
          <w:rFonts w:ascii="仿宋" w:hAnsi="仿宋" w:eastAsia="仿宋" w:cs="仿宋"/>
          <w:color w:val="FF0000"/>
          <w:sz w:val="32"/>
          <w:szCs w:val="32"/>
          <w:highlight w:val="yellow"/>
        </w:rPr>
      </w:pPr>
      <w:r>
        <w:rPr>
          <w:rFonts w:hint="eastAsia" w:ascii="仿宋" w:hAnsi="仿宋" w:eastAsia="仿宋" w:cs="仿宋"/>
          <w:sz w:val="32"/>
          <w:szCs w:val="32"/>
        </w:rPr>
        <w:t>2、严格执行批复的预算。严格执行按法定程序批复的预算，不存在无预算、超预算执行的情况。基本支出严格执行有关政策规定，不存在擅自扩大开支范围或提高标准的现</w:t>
      </w:r>
      <w:r>
        <w:rPr>
          <w:rFonts w:hint="eastAsia" w:ascii="仿宋" w:hAnsi="仿宋" w:eastAsia="仿宋" w:cs="仿宋"/>
          <w:color w:val="000000"/>
          <w:sz w:val="32"/>
          <w:szCs w:val="32"/>
        </w:rPr>
        <w:t>象。项目支出严格按批准的用途专款专用，不存在自行改变项目内容和资金使用范围的情</w:t>
      </w:r>
      <w:r>
        <w:rPr>
          <w:rFonts w:hint="eastAsia" w:ascii="仿宋" w:hAnsi="仿宋" w:eastAsia="仿宋" w:cs="仿宋"/>
          <w:sz w:val="32"/>
          <w:szCs w:val="32"/>
        </w:rPr>
        <w:t>况。2022年我所部门预算专用项目共7个：车驾管成本费，预算经费为38.24万元；二期电子警察建设费，预算经费为497.51万元；设备购置经费，预算经费为16.9万元；一期电子警察运行维护费，预算经费为176.49万元；食堂后勤餐厨服务经费，预算经费为63.3万元；警务辅助人员经费，预算经费为1440.4万元；警务辅助专项经费，预算经费为100万元。以上7个项目截止2022年底均全部完成。</w:t>
      </w:r>
    </w:p>
    <w:p w14:paraId="637A0C66">
      <w:pPr>
        <w:pStyle w:val="12"/>
        <w:adjustRightInd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3、严格规范预算调剂。在预算执行过程中，因特殊情况需要调整、细化、追加预算的，均按相关程序向财政部门申请，经财政部门批准后，按调剂、增加后预算执行。</w:t>
      </w:r>
    </w:p>
    <w:p w14:paraId="7440BA5E">
      <w:pPr>
        <w:pStyle w:val="12"/>
        <w:adjustRightInd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严格执行政府采购制度。按照政府采购预算，做到合理规划采购时间，及时备案采购计划，严格按照政府采购计划开展采购活动，采购活动结束后，在规定时间内与中标供应商签订书面合同，做到规范履约验收，及时支付资金。</w:t>
      </w:r>
    </w:p>
    <w:p w14:paraId="4991071F">
      <w:pPr>
        <w:pStyle w:val="12"/>
        <w:adjustRightInd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5、严格公务卡强制结算。在国内发生的公务差旅费、公务接待费、公务用车运行维护费、会议费、培训费等支出做到优先使用公务卡结算、凡是可以用公务卡、转账方式支付的，不存在用现金支付的现象。</w:t>
      </w:r>
    </w:p>
    <w:p w14:paraId="35E3792A">
      <w:pPr>
        <w:pStyle w:val="12"/>
        <w:adjustRightInd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6、规范</w:t>
      </w:r>
      <w:r>
        <w:rPr>
          <w:rFonts w:hint="eastAsia" w:ascii="仿宋" w:hAnsi="仿宋" w:eastAsia="仿宋" w:cs="仿宋"/>
          <w:color w:val="000000"/>
          <w:sz w:val="32"/>
          <w:szCs w:val="32"/>
          <w:lang w:eastAsia="zh-CN"/>
        </w:rPr>
        <w:t>银行账户</w:t>
      </w:r>
      <w:r>
        <w:rPr>
          <w:rFonts w:hint="eastAsia" w:ascii="仿宋" w:hAnsi="仿宋" w:eastAsia="仿宋" w:cs="仿宋"/>
          <w:color w:val="000000"/>
          <w:sz w:val="32"/>
          <w:szCs w:val="32"/>
        </w:rPr>
        <w:t>管理。在开设单位对公</w:t>
      </w:r>
      <w:r>
        <w:rPr>
          <w:rFonts w:hint="eastAsia" w:ascii="仿宋" w:hAnsi="仿宋" w:eastAsia="仿宋" w:cs="仿宋"/>
          <w:color w:val="000000"/>
          <w:sz w:val="32"/>
          <w:szCs w:val="32"/>
          <w:lang w:val="en-US" w:eastAsia="zh-CN"/>
        </w:rPr>
        <w:t>账户</w:t>
      </w:r>
      <w:bookmarkStart w:id="67" w:name="_GoBack"/>
      <w:bookmarkEnd w:id="67"/>
      <w:r>
        <w:rPr>
          <w:rFonts w:hint="eastAsia" w:ascii="仿宋" w:hAnsi="仿宋" w:eastAsia="仿宋" w:cs="仿宋"/>
          <w:color w:val="000000"/>
          <w:sz w:val="32"/>
          <w:szCs w:val="32"/>
        </w:rPr>
        <w:t>时按规定程序报经财政部门审批、备案。</w:t>
      </w:r>
    </w:p>
    <w:p w14:paraId="3B7A453A">
      <w:pPr>
        <w:pStyle w:val="12"/>
        <w:adjustRightInd w:val="0"/>
        <w:snapToGrid w:val="0"/>
        <w:spacing w:line="360" w:lineRule="auto"/>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7、加强决算编审工作。严格按照制度规定及财政部门统一要求编制决定，做到决算数据收支真实、数额准确、内容完整、报送及时。</w:t>
      </w:r>
    </w:p>
    <w:p w14:paraId="76B8DE7D">
      <w:pPr>
        <w:shd w:val="clear" w:color="auto" w:fill="FFFFFF"/>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rPr>
        <w:t>从整体情况来看，我单位根据绩效评价的要求，成立了由支队主要领导任组长、分管领导为副组长的自评工作领导小组，对照自评方案进行研究和布署。支队其他领导及各部门主要负责人全程参与，按照自评方案的要求，对照各实施项目的内容逐条逐项自评。在自评过程发现问题，查找原因，及时纠正偏差，为下一步工作夯实基础。我单位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实行了先有预算、后有执行、“用钱必问效、无效必问责”的新常态。</w:t>
      </w:r>
    </w:p>
    <w:p w14:paraId="34057EAA">
      <w:pPr>
        <w:widowControl/>
        <w:adjustRightInd w:val="0"/>
        <w:snapToGrid w:val="0"/>
        <w:spacing w:line="360" w:lineRule="auto"/>
        <w:ind w:firstLine="643" w:firstLineChars="200"/>
        <w:jc w:val="left"/>
        <w:rPr>
          <w:rFonts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4.应用反馈。</w:t>
      </w:r>
    </w:p>
    <w:p w14:paraId="1867F37A">
      <w:pPr>
        <w:widowControl/>
        <w:adjustRightInd w:val="0"/>
        <w:snapToGrid w:val="0"/>
        <w:spacing w:line="360" w:lineRule="auto"/>
        <w:ind w:firstLine="643" w:firstLineChars="200"/>
        <w:jc w:val="left"/>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四、评价结论及建议</w:t>
      </w:r>
    </w:p>
    <w:p w14:paraId="33962A51">
      <w:pPr>
        <w:widowControl/>
        <w:adjustRightInd w:val="0"/>
        <w:snapToGrid w:val="0"/>
        <w:ind w:firstLine="643" w:firstLineChars="200"/>
        <w:jc w:val="left"/>
        <w:rPr>
          <w:rFonts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（一）评价结论。</w:t>
      </w:r>
    </w:p>
    <w:p w14:paraId="09672C01">
      <w:pPr>
        <w:pStyle w:val="2"/>
        <w:spacing w:line="240" w:lineRule="auto"/>
        <w:ind w:firstLine="640" w:firstLineChars="200"/>
        <w:rPr>
          <w:rFonts w:ascii="仿宋" w:hAnsi="仿宋" w:eastAsia="仿宋" w:cs="仿宋"/>
          <w:b w:val="0"/>
          <w:color w:val="000000"/>
          <w:kern w:val="0"/>
          <w:shd w:val="clear" w:color="auto" w:fill="FFFFFF"/>
          <w:lang w:val="zh-CN"/>
        </w:rPr>
      </w:pPr>
      <w:r>
        <w:rPr>
          <w:rFonts w:hint="eastAsia" w:ascii="仿宋" w:hAnsi="仿宋" w:eastAsia="仿宋" w:cs="仿宋"/>
          <w:b w:val="0"/>
          <w:color w:val="000000"/>
          <w:kern w:val="0"/>
          <w:shd w:val="clear" w:color="auto" w:fill="FFFFFF"/>
          <w:lang w:val="zh-CN"/>
        </w:rPr>
        <w:t>202</w:t>
      </w:r>
      <w:r>
        <w:rPr>
          <w:rFonts w:hint="eastAsia" w:ascii="仿宋" w:hAnsi="仿宋" w:eastAsia="仿宋" w:cs="仿宋"/>
          <w:b w:val="0"/>
          <w:color w:val="000000"/>
          <w:kern w:val="0"/>
          <w:shd w:val="clear" w:color="auto" w:fill="FFFFFF"/>
        </w:rPr>
        <w:t>2</w:t>
      </w:r>
      <w:r>
        <w:rPr>
          <w:rFonts w:hint="eastAsia" w:ascii="仿宋" w:hAnsi="仿宋" w:eastAsia="仿宋" w:cs="仿宋"/>
          <w:b w:val="0"/>
          <w:color w:val="000000"/>
          <w:kern w:val="0"/>
          <w:shd w:val="clear" w:color="auto" w:fill="FFFFFF"/>
          <w:lang w:val="zh-CN"/>
        </w:rPr>
        <w:t>年，我单位部门整体支出绩效自查自评结果良好，全年基本支出保证了部门的正常运转，项目支出保障了重点工作的开展，按照 202</w:t>
      </w:r>
      <w:r>
        <w:rPr>
          <w:rFonts w:hint="eastAsia" w:ascii="仿宋" w:hAnsi="仿宋" w:eastAsia="仿宋" w:cs="仿宋"/>
          <w:b w:val="0"/>
          <w:color w:val="000000"/>
          <w:kern w:val="0"/>
          <w:shd w:val="clear" w:color="auto" w:fill="FFFFFF"/>
        </w:rPr>
        <w:t>2</w:t>
      </w:r>
      <w:r>
        <w:rPr>
          <w:rFonts w:hint="eastAsia" w:ascii="仿宋" w:hAnsi="仿宋" w:eastAsia="仿宋" w:cs="仿宋"/>
          <w:b w:val="0"/>
          <w:color w:val="000000"/>
          <w:kern w:val="0"/>
          <w:shd w:val="clear" w:color="auto" w:fill="FFFFFF"/>
          <w:lang w:val="zh-CN"/>
        </w:rPr>
        <w:t>年度市级部门整体支出绩效评价指标体系对我单位部门预算编制、预算执行、完成结果、信息公开、整改反馈等方面进行了自评，最终得分8</w:t>
      </w:r>
      <w:r>
        <w:rPr>
          <w:rFonts w:hint="eastAsia" w:ascii="仿宋" w:hAnsi="仿宋" w:eastAsia="仿宋" w:cs="仿宋"/>
          <w:b w:val="0"/>
          <w:color w:val="000000"/>
          <w:kern w:val="0"/>
          <w:shd w:val="clear" w:color="auto" w:fill="FFFFFF"/>
        </w:rPr>
        <w:t>4.81</w:t>
      </w:r>
      <w:r>
        <w:rPr>
          <w:rFonts w:hint="eastAsia" w:ascii="仿宋" w:hAnsi="仿宋" w:eastAsia="仿宋" w:cs="仿宋"/>
          <w:b w:val="0"/>
          <w:color w:val="000000"/>
          <w:kern w:val="0"/>
          <w:shd w:val="clear" w:color="auto" w:fill="FFFFFF"/>
          <w:lang w:val="zh-CN"/>
        </w:rPr>
        <w:t>分。在上级主管部门的正确领导下，我单位紧紧围绕年度目标任务，团结拼搏，锐意进取，扎实工作，圆满完成了各项工作和任务，积极为全市经济科学发展、安全发展、绿色发展做出了应有的贡献。</w:t>
      </w:r>
    </w:p>
    <w:p w14:paraId="2DC06E18">
      <w:pPr>
        <w:widowControl/>
        <w:adjustRightInd w:val="0"/>
        <w:snapToGrid w:val="0"/>
        <w:ind w:firstLine="643" w:firstLineChars="200"/>
        <w:jc w:val="left"/>
        <w:rPr>
          <w:rFonts w:ascii="仿宋" w:hAnsi="仿宋" w:eastAsia="仿宋" w:cs="仿宋"/>
          <w:b/>
          <w:color w:val="000000"/>
          <w:kern w:val="0"/>
          <w:sz w:val="32"/>
          <w:szCs w:val="32"/>
          <w:shd w:val="clear" w:color="auto" w:fill="FFFFFF"/>
          <w:lang w:val="zh-CN"/>
        </w:rPr>
      </w:pPr>
      <w:r>
        <w:rPr>
          <w:rFonts w:hint="eastAsia" w:ascii="仿宋" w:hAnsi="仿宋" w:eastAsia="仿宋" w:cs="仿宋"/>
          <w:b/>
          <w:color w:val="000000"/>
          <w:kern w:val="0"/>
          <w:sz w:val="32"/>
          <w:szCs w:val="32"/>
          <w:shd w:val="clear" w:color="auto" w:fill="FFFFFF"/>
          <w:lang w:val="zh-CN"/>
        </w:rPr>
        <w:t>（二）存在问题。</w:t>
      </w:r>
    </w:p>
    <w:p w14:paraId="5B5FE3E2">
      <w:pPr>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1.</w:t>
      </w:r>
      <w:r>
        <w:rPr>
          <w:rFonts w:hint="eastAsia" w:ascii="仿宋" w:hAnsi="仿宋" w:eastAsia="仿宋" w:cs="仿宋"/>
          <w:color w:val="000000"/>
          <w:kern w:val="0"/>
          <w:sz w:val="32"/>
          <w:szCs w:val="32"/>
          <w:shd w:val="clear" w:color="auto" w:fill="FFFFFF"/>
          <w:lang w:val="zh-CN"/>
        </w:rPr>
        <w:t>预算执行方面</w:t>
      </w:r>
    </w:p>
    <w:p w14:paraId="60A14C89">
      <w:pPr>
        <w:ind w:firstLine="640" w:firstLineChars="200"/>
        <w:rPr>
          <w:rFonts w:ascii="仿宋" w:hAnsi="仿宋" w:eastAsia="仿宋" w:cs="仿宋"/>
          <w:sz w:val="32"/>
          <w:szCs w:val="32"/>
          <w:lang w:val="zh-CN"/>
        </w:rPr>
      </w:pPr>
      <w:r>
        <w:rPr>
          <w:rFonts w:hint="eastAsia" w:ascii="仿宋" w:hAnsi="仿宋" w:eastAsia="仿宋" w:cs="仿宋"/>
          <w:color w:val="000000"/>
          <w:kern w:val="0"/>
          <w:sz w:val="32"/>
          <w:szCs w:val="32"/>
          <w:shd w:val="clear" w:color="auto" w:fill="FFFFFF"/>
          <w:lang w:val="zh-CN"/>
        </w:rPr>
        <w:t>我单位在预算执行进度上存在滞后现象，对于支出控制的把控度不够。</w:t>
      </w:r>
    </w:p>
    <w:p w14:paraId="50A887A6">
      <w:pPr>
        <w:widowControl/>
        <w:adjustRightInd w:val="0"/>
        <w:snapToGrid w:val="0"/>
        <w:ind w:firstLine="643" w:firstLineChars="200"/>
        <w:jc w:val="left"/>
        <w:rPr>
          <w:rFonts w:ascii="仿宋" w:hAnsi="仿宋" w:eastAsia="仿宋" w:cs="仿宋"/>
          <w:b/>
          <w:color w:val="000000"/>
          <w:kern w:val="0"/>
          <w:sz w:val="32"/>
          <w:szCs w:val="32"/>
          <w:shd w:val="clear" w:color="auto" w:fill="FFFFFF"/>
          <w:lang w:val="zh-CN"/>
        </w:rPr>
      </w:pPr>
      <w:r>
        <w:rPr>
          <w:rFonts w:hint="eastAsia" w:ascii="仿宋" w:hAnsi="仿宋" w:eastAsia="仿宋" w:cs="仿宋"/>
          <w:b/>
          <w:color w:val="000000"/>
          <w:kern w:val="0"/>
          <w:sz w:val="32"/>
          <w:szCs w:val="32"/>
          <w:shd w:val="clear" w:color="auto" w:fill="FFFFFF"/>
          <w:lang w:val="zh-CN"/>
        </w:rPr>
        <w:t>（三）改进建议。</w:t>
      </w:r>
    </w:p>
    <w:p w14:paraId="5BAE6389">
      <w:pPr>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重视部门整体支出的绩效评价工作，自主学习绩效评价相关知识，树立绩效评价意识，提高工作实效。年初制定部门整体支出绩效目标，并尽量描述清晰、精确。年底进行绩效目标完成情况总结，对应目标逐一进行回应。</w:t>
      </w:r>
    </w:p>
    <w:p w14:paraId="79801EC1">
      <w:pPr>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2.强化预算编制，并严格遵守《预算法》，各项经费收入全部纳入预算管理，提高预算精准度，追加调整预算严格执行相应的审批程序，预算内各项资金的来源、使用科目的设置规范化。</w:t>
      </w:r>
    </w:p>
    <w:p w14:paraId="45DB35D9">
      <w:pPr>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3.部门加强资金管理，对事前、事中进行控制，对支出进行合理把控，避免超预算、无预算开支的现象发生，积极开展年度中期评估，对下半年度资金做好计划，以提高资金使用效益。</w:t>
      </w:r>
    </w:p>
    <w:p w14:paraId="71EF07F5">
      <w:pPr>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4.加强财务会计人员业务培训，提升业务质量，严格执行会计基础工作规范。及时准确地记录、反映单位经济活动，确保会计制度遵守执行。须按照统一的会计准则和制度的规定对原始凭证进行审核，对不真实、不合法的原始凭证有权不予接受，并向单位负责人报告；对记载不准确、不完整的原始凭证予以退回，并按照国家统一的会计制度的规定更正、补充。</w:t>
      </w:r>
    </w:p>
    <w:p w14:paraId="31B5AA28">
      <w:pPr>
        <w:pStyle w:val="5"/>
        <w:spacing w:before="93"/>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5.加强完善内部控制体系，加强财政专项资金的监管工作，做到财政资金流程合规、使用透明、拨付及时，均衡支出。</w:t>
      </w:r>
    </w:p>
    <w:p w14:paraId="54164005">
      <w:pPr>
        <w:pStyle w:val="5"/>
        <w:spacing w:before="93"/>
        <w:rPr>
          <w:rFonts w:ascii="仿宋" w:hAnsi="仿宋" w:eastAsia="仿宋" w:cs="仿宋"/>
          <w:color w:val="000000"/>
          <w:sz w:val="32"/>
          <w:szCs w:val="32"/>
          <w:shd w:val="clear" w:color="auto" w:fill="FFFFFF"/>
          <w:lang w:val="zh-CN"/>
        </w:rPr>
      </w:pPr>
    </w:p>
    <w:p w14:paraId="35E1951A">
      <w:pPr>
        <w:pStyle w:val="5"/>
        <w:spacing w:before="93"/>
        <w:rPr>
          <w:rFonts w:ascii="仿宋" w:hAnsi="仿宋" w:eastAsia="仿宋" w:cs="仿宋"/>
          <w:color w:val="000000"/>
          <w:sz w:val="32"/>
          <w:szCs w:val="32"/>
          <w:shd w:val="clear" w:color="auto" w:fill="FFFFFF"/>
          <w:lang w:val="zh-CN"/>
        </w:rPr>
      </w:pPr>
    </w:p>
    <w:p w14:paraId="7CF4C5EE">
      <w:pPr>
        <w:pStyle w:val="5"/>
        <w:spacing w:before="93"/>
        <w:rPr>
          <w:rFonts w:ascii="仿宋" w:hAnsi="仿宋" w:eastAsia="仿宋" w:cs="仿宋"/>
          <w:color w:val="000000"/>
          <w:sz w:val="32"/>
          <w:szCs w:val="32"/>
          <w:shd w:val="clear" w:color="auto" w:fill="FFFFFF"/>
          <w:lang w:val="zh-CN"/>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46F9CD43">
      <w:pPr>
        <w:snapToGrid w:val="0"/>
        <w:spacing w:line="620" w:lineRule="exact"/>
        <w:jc w:val="center"/>
        <w:rPr>
          <w:rFonts w:ascii="宋体" w:hAnsi="宋体" w:cs="宋体"/>
          <w:b/>
          <w:bCs/>
          <w:sz w:val="44"/>
          <w:szCs w:val="44"/>
        </w:rPr>
      </w:pPr>
      <w:r>
        <w:rPr>
          <w:rFonts w:hint="eastAsia" w:ascii="宋体" w:hAnsi="宋体" w:cs="宋体"/>
          <w:b/>
          <w:bCs/>
          <w:sz w:val="44"/>
          <w:szCs w:val="44"/>
        </w:rPr>
        <w:t>部门预算项目支出绩效自评报告</w:t>
      </w:r>
    </w:p>
    <w:p w14:paraId="1BA47C4D">
      <w:pPr>
        <w:snapToGrid w:val="0"/>
        <w:spacing w:line="620" w:lineRule="exact"/>
        <w:jc w:val="center"/>
        <w:rPr>
          <w:rFonts w:eastAsia="仿宋_GB2312"/>
          <w:sz w:val="32"/>
          <w:szCs w:val="32"/>
        </w:rPr>
      </w:pPr>
      <w:r>
        <w:rPr>
          <w:rFonts w:ascii="仿宋_GB2312" w:eastAsia="仿宋_GB2312" w:cs="仿宋_GB2312"/>
          <w:sz w:val="32"/>
          <w:szCs w:val="32"/>
        </w:rPr>
        <w:t>（车驾管成本费项目）</w:t>
      </w:r>
    </w:p>
    <w:p w14:paraId="44CA3689">
      <w:pPr>
        <w:widowControl/>
        <w:wordWrap w:val="0"/>
        <w:spacing w:line="360" w:lineRule="atLeast"/>
        <w:ind w:firstLine="640"/>
        <w:rPr>
          <w:rFonts w:eastAsia="微软雅黑"/>
          <w:color w:val="000000"/>
          <w:kern w:val="0"/>
          <w:sz w:val="32"/>
          <w:szCs w:val="32"/>
          <w:shd w:val="clear" w:color="auto" w:fill="FFFFFF"/>
        </w:rPr>
      </w:pPr>
      <w:r>
        <w:rPr>
          <w:rFonts w:ascii="仿宋_GB2312" w:eastAsia="仿宋_GB2312" w:cs="仿宋_GB2312"/>
          <w:color w:val="000000"/>
          <w:kern w:val="0"/>
          <w:sz w:val="32"/>
          <w:szCs w:val="32"/>
          <w:shd w:val="clear" w:color="auto" w:fill="FFFFFF"/>
        </w:rPr>
        <w:t>为了对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车驾管成本费项目资金使用、管理的科学性、合理性和效益性进行客观、公正的评价，规范车驾管成本费项目管理，提高资金使用效益，根据《遂宁市财政局关于开展2023年部门、项目、政策支出绩效自评工作的通知（遂财绩[2023]2号）文件精神，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年度遂宁市公安局交警支队车驾管成本费项目实施了绩效评价。现将项目绩效评价情况报告如下</w:t>
      </w:r>
      <w:r>
        <w:rPr>
          <w:rFonts w:hint="eastAsia" w:ascii="新宋体" w:hAnsi="新宋体" w:eastAsia="新宋体" w:cs="新宋体"/>
          <w:color w:val="000000"/>
          <w:kern w:val="0"/>
          <w:sz w:val="32"/>
          <w:szCs w:val="32"/>
          <w:shd w:val="clear" w:color="auto" w:fill="FFFFFF"/>
        </w:rPr>
        <w:t>：</w:t>
      </w:r>
    </w:p>
    <w:p w14:paraId="0B7C0186">
      <w:pPr>
        <w:snapToGrid w:val="0"/>
        <w:spacing w:line="620" w:lineRule="exact"/>
        <w:ind w:left="632"/>
        <w:jc w:val="left"/>
        <w:rPr>
          <w:rFonts w:eastAsia="黑体"/>
          <w:sz w:val="32"/>
          <w:szCs w:val="32"/>
        </w:rPr>
      </w:pPr>
      <w:r>
        <w:rPr>
          <w:rFonts w:hint="eastAsia" w:ascii="黑体" w:hAnsi="宋体" w:eastAsia="黑体" w:cs="黑体"/>
          <w:sz w:val="32"/>
          <w:szCs w:val="32"/>
        </w:rPr>
        <w:t>一、基本情况</w:t>
      </w:r>
    </w:p>
    <w:p w14:paraId="7006C153">
      <w:pPr>
        <w:widowControl/>
        <w:wordWrap w:val="0"/>
        <w:spacing w:line="360"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为了保障交警支队车辆管理所在办理机动车注册登记、转移登记、转入等业务时，及时核发机动车号牌、机动车登记证书、检验合格标志等；在办理初次（增驾）驾驶证、补换时，及时核发机动车驾驶证，该项目为常年性项目，用于车管所专项支出。</w:t>
      </w:r>
    </w:p>
    <w:p w14:paraId="6E23EF66">
      <w:pPr>
        <w:widowControl/>
        <w:wordWrap w:val="0"/>
        <w:spacing w:line="360" w:lineRule="atLeast"/>
        <w:ind w:firstLine="640"/>
        <w:rPr>
          <w:rFonts w:ascii="微软雅黑" w:hAnsi="微软雅黑" w:eastAsia="微软雅黑" w:cs="微软雅黑"/>
          <w:b/>
          <w:bCs/>
          <w:color w:val="307BBB"/>
          <w:szCs w:val="21"/>
        </w:rPr>
      </w:pPr>
      <w:r>
        <w:rPr>
          <w:rFonts w:ascii="楷体_GB2312" w:hAnsi="微软雅黑" w:eastAsia="楷体_GB2312" w:cs="楷体_GB2312"/>
          <w:b/>
          <w:bCs/>
          <w:color w:val="000000"/>
          <w:sz w:val="32"/>
          <w:szCs w:val="32"/>
        </w:rPr>
        <w:t>（一）项目绩效目标</w:t>
      </w:r>
    </w:p>
    <w:p w14:paraId="02F2502A">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通过设立车管成本专项经费，进一步提高车驾管业务办事效率，保证车管所民辅警正常办公，更好地服务于交管工作。</w:t>
      </w:r>
    </w:p>
    <w:p w14:paraId="6B298754">
      <w:pPr>
        <w:widowControl/>
        <w:wordWrap w:val="0"/>
        <w:spacing w:line="252" w:lineRule="atLeast"/>
        <w:ind w:firstLine="640"/>
        <w:rPr>
          <w:rFonts w:ascii="微软雅黑" w:hAnsi="微软雅黑" w:eastAsia="微软雅黑" w:cs="微软雅黑"/>
          <w:b/>
          <w:bCs/>
          <w:color w:val="307BBB"/>
          <w:szCs w:val="21"/>
        </w:rPr>
      </w:pPr>
      <w:r>
        <w:rPr>
          <w:rFonts w:ascii="楷体_GB2312" w:hAnsi="微软雅黑" w:eastAsia="楷体_GB2312" w:cs="楷体_GB2312"/>
          <w:b/>
          <w:bCs/>
          <w:color w:val="000000"/>
          <w:sz w:val="32"/>
          <w:szCs w:val="32"/>
        </w:rPr>
        <w:t>（二）专项资金的使用及管理情况</w:t>
      </w:r>
    </w:p>
    <w:p w14:paraId="23173238">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1</w:t>
      </w:r>
      <w:r>
        <w:rPr>
          <w:rFonts w:ascii="仿宋_GB2312" w:eastAsia="仿宋_GB2312" w:cs="仿宋_GB2312"/>
          <w:color w:val="000000"/>
          <w:kern w:val="0"/>
          <w:sz w:val="32"/>
          <w:szCs w:val="32"/>
          <w:shd w:val="clear" w:color="auto" w:fill="FFFFFF"/>
        </w:rPr>
        <w:t>．专项资金安排、拨付情况</w:t>
      </w:r>
    </w:p>
    <w:p w14:paraId="51B7BD7F">
      <w:pPr>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2022年度车驾管成本费含</w:t>
      </w:r>
      <w:r>
        <w:rPr>
          <w:rFonts w:ascii="仿宋_GB2312" w:eastAsia="仿宋_GB2312" w:cs="仿宋_GB2312"/>
          <w:sz w:val="32"/>
          <w:szCs w:val="32"/>
        </w:rPr>
        <w:t>机动车登记证书12万元、驾驶证芯23.1万元、行驶证芯25.3万元、机动车号牌195.58万元、临时号牌2.49万元、固封装置42.35万元、证夹4.78万元</w:t>
      </w:r>
      <w:r>
        <w:rPr>
          <w:rFonts w:ascii="仿宋_GB2312" w:eastAsia="仿宋_GB2312" w:cs="仿宋_GB2312"/>
          <w:color w:val="000000"/>
          <w:kern w:val="0"/>
          <w:sz w:val="32"/>
          <w:szCs w:val="32"/>
          <w:shd w:val="clear" w:color="auto" w:fill="FFFFFF"/>
        </w:rPr>
        <w:t>，2022年财政实际拨款38.24万元。</w:t>
      </w:r>
    </w:p>
    <w:p w14:paraId="64243464">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2</w:t>
      </w:r>
      <w:r>
        <w:rPr>
          <w:rFonts w:ascii="仿宋_GB2312" w:eastAsia="仿宋_GB2312" w:cs="仿宋_GB2312"/>
          <w:color w:val="000000"/>
          <w:kern w:val="0"/>
          <w:sz w:val="32"/>
          <w:szCs w:val="32"/>
          <w:shd w:val="clear" w:color="auto" w:fill="FFFFFF"/>
        </w:rPr>
        <w:t>．专项资金使用情况</w:t>
      </w:r>
    </w:p>
    <w:p w14:paraId="7D66FE5A">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2021年度车驾管成本费实际支出38.24万元。主要用于购买机动车登记证书、机动车号牌、证芯证夹等车驾管成本费。</w:t>
      </w:r>
    </w:p>
    <w:p w14:paraId="11725BC7">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3</w:t>
      </w:r>
      <w:r>
        <w:rPr>
          <w:rFonts w:ascii="仿宋_GB2312" w:eastAsia="仿宋_GB2312" w:cs="仿宋_GB2312"/>
          <w:color w:val="000000"/>
          <w:kern w:val="0"/>
          <w:sz w:val="32"/>
          <w:szCs w:val="32"/>
          <w:shd w:val="clear" w:color="auto" w:fill="FFFFFF"/>
        </w:rPr>
        <w:t>．资金管理情况</w:t>
      </w:r>
    </w:p>
    <w:p w14:paraId="0091721E">
      <w:pPr>
        <w:pStyle w:val="12"/>
        <w:widowControl/>
        <w:shd w:val="clear" w:color="auto" w:fill="FFFFFF"/>
        <w:wordWrap w:val="0"/>
        <w:spacing w:line="288" w:lineRule="atLeast"/>
        <w:ind w:firstLine="640"/>
        <w:rPr>
          <w:rFonts w:ascii="宋体" w:hAnsi="宋体" w:cs="宋体"/>
          <w:shd w:val="clear" w:color="auto" w:fill="FFFFFF"/>
        </w:rPr>
      </w:pPr>
      <w:r>
        <w:rPr>
          <w:rFonts w:ascii="仿宋_GB2312" w:hAnsi="宋体" w:eastAsia="仿宋_GB2312" w:cs="仿宋_GB2312"/>
          <w:color w:val="000000"/>
          <w:sz w:val="32"/>
          <w:szCs w:val="32"/>
          <w:shd w:val="clear" w:color="auto" w:fill="FFFFFF"/>
        </w:rPr>
        <w:t>遂宁市公安局交警支队未单独制定</w:t>
      </w:r>
      <w:r>
        <w:rPr>
          <w:rFonts w:ascii="仿宋_GB2312" w:eastAsia="仿宋_GB2312" w:cs="仿宋_GB2312"/>
          <w:color w:val="000000"/>
          <w:sz w:val="32"/>
          <w:szCs w:val="32"/>
          <w:shd w:val="clear" w:color="auto" w:fill="FFFFFF"/>
        </w:rPr>
        <w:t>车驾管成本费</w:t>
      </w:r>
      <w:r>
        <w:rPr>
          <w:rFonts w:ascii="仿宋_GB2312" w:hAnsi="宋体" w:eastAsia="仿宋_GB2312" w:cs="仿宋_GB2312"/>
          <w:color w:val="000000"/>
          <w:sz w:val="32"/>
          <w:szCs w:val="32"/>
          <w:shd w:val="clear" w:color="auto" w:fill="FFFFFF"/>
        </w:rPr>
        <w:t>管理办法。</w:t>
      </w:r>
    </w:p>
    <w:p w14:paraId="6512BF93">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4</w:t>
      </w:r>
      <w:r>
        <w:rPr>
          <w:rFonts w:ascii="仿宋_GB2312" w:eastAsia="仿宋_GB2312" w:cs="仿宋_GB2312"/>
          <w:color w:val="000000"/>
          <w:kern w:val="0"/>
          <w:sz w:val="32"/>
          <w:szCs w:val="32"/>
          <w:shd w:val="clear" w:color="auto" w:fill="FFFFFF"/>
        </w:rPr>
        <w:t>．项目管理情况</w:t>
      </w:r>
    </w:p>
    <w:p w14:paraId="0C838F38">
      <w:pPr>
        <w:snapToGrid w:val="0"/>
        <w:spacing w:line="620" w:lineRule="exact"/>
        <w:ind w:firstLine="640" w:firstLineChars="200"/>
        <w:jc w:val="left"/>
        <w:rPr>
          <w:rFonts w:eastAsia="仿宋_GB2312"/>
          <w:sz w:val="32"/>
          <w:szCs w:val="32"/>
        </w:rPr>
      </w:pPr>
      <w:r>
        <w:rPr>
          <w:rFonts w:ascii="仿宋_GB2312" w:eastAsia="仿宋_GB2312" w:cs="仿宋_GB2312"/>
          <w:color w:val="000000"/>
          <w:kern w:val="0"/>
          <w:sz w:val="32"/>
          <w:szCs w:val="32"/>
          <w:shd w:val="clear" w:color="auto" w:fill="FFFFFF"/>
        </w:rPr>
        <w:t>项目由车管所统一负责，购买机动车登记证书、机动车号牌、证芯证夹等，严格按照车驾管业务所需的业务量进行采购，由装财科进行支付资金，项目资金严格按照专款专用进行开支。</w:t>
      </w:r>
    </w:p>
    <w:p w14:paraId="0E471FB0">
      <w:pPr>
        <w:snapToGrid w:val="0"/>
        <w:spacing w:line="620" w:lineRule="exact"/>
        <w:ind w:firstLine="640" w:firstLineChars="200"/>
        <w:rPr>
          <w:rFonts w:eastAsia="仿宋_GB2312"/>
          <w:sz w:val="32"/>
          <w:szCs w:val="32"/>
        </w:rPr>
      </w:pPr>
      <w:r>
        <w:rPr>
          <w:rFonts w:hint="eastAsia" w:ascii="黑体" w:hAnsi="宋体" w:eastAsia="黑体" w:cs="黑体"/>
          <w:sz w:val="32"/>
          <w:szCs w:val="32"/>
        </w:rPr>
        <w:t>二、评价工作开展情况</w:t>
      </w:r>
    </w:p>
    <w:p w14:paraId="6BDBD8F1">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（一）绩效评价目的</w:t>
      </w:r>
    </w:p>
    <w:p w14:paraId="7E264FBC">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p>
    <w:p w14:paraId="33D877FE">
      <w:pPr>
        <w:pStyle w:val="2"/>
        <w:keepNext w:val="0"/>
        <w:keepLines w:val="0"/>
        <w:widowControl/>
        <w:wordWrap w:val="0"/>
        <w:spacing w:line="480" w:lineRule="atLeast"/>
        <w:ind w:firstLine="196"/>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（二）绩效评价过程</w:t>
      </w:r>
    </w:p>
    <w:p w14:paraId="73A0C92E">
      <w:pPr>
        <w:snapToGrid w:val="0"/>
        <w:spacing w:line="620" w:lineRule="exac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根据《遂宁市财政局关于开展2023年部门、项目、政策支出绩效自评工作的通知（遂财绩[2023]2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14:paraId="245B7540">
      <w:pPr>
        <w:snapToGrid w:val="0"/>
        <w:spacing w:line="620" w:lineRule="exact"/>
        <w:ind w:firstLine="640" w:firstLineChars="200"/>
        <w:rPr>
          <w:rFonts w:eastAsia="黑体"/>
          <w:sz w:val="32"/>
          <w:szCs w:val="32"/>
        </w:rPr>
      </w:pPr>
      <w:r>
        <w:rPr>
          <w:rFonts w:hint="eastAsia" w:ascii="黑体" w:hAnsi="宋体" w:eastAsia="黑体" w:cs="黑体"/>
          <w:sz w:val="32"/>
          <w:szCs w:val="32"/>
        </w:rPr>
        <w:t>三、综合评价结论（附评分表）</w:t>
      </w:r>
    </w:p>
    <w:p w14:paraId="05D56504">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通过实施车驾管成本专项经费，进一步提高车驾管业务办事效率，保证车管所民辅警正常办公，更好地服务于交管工作。</w:t>
      </w:r>
    </w:p>
    <w:p w14:paraId="78B32080">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根据《</w:t>
      </w:r>
      <w:r>
        <w:rPr>
          <w:rFonts w:eastAsia="微软雅黑"/>
          <w:color w:val="000000"/>
          <w:kern w:val="0"/>
          <w:sz w:val="32"/>
          <w:szCs w:val="32"/>
          <w:shd w:val="clear" w:color="auto" w:fill="FFFFFF"/>
        </w:rPr>
        <w:t>2023</w:t>
      </w:r>
      <w:r>
        <w:rPr>
          <w:rFonts w:ascii="仿宋_GB2312" w:eastAsia="仿宋_GB2312" w:cs="仿宋_GB2312"/>
          <w:color w:val="000000"/>
          <w:kern w:val="0"/>
          <w:sz w:val="32"/>
          <w:szCs w:val="32"/>
          <w:shd w:val="clear" w:color="auto" w:fill="FFFFFF"/>
        </w:rPr>
        <w:t>年度实际项目支出绩效评价指标体系》，</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年度遂宁市公安局交警支队车驾管成本费绩效评价综合得分为</w:t>
      </w:r>
      <w:r>
        <w:rPr>
          <w:rFonts w:eastAsia="微软雅黑"/>
          <w:color w:val="000000"/>
          <w:kern w:val="0"/>
          <w:sz w:val="32"/>
          <w:szCs w:val="32"/>
          <w:shd w:val="clear" w:color="auto" w:fill="FFFFFF"/>
        </w:rPr>
        <w:t>95</w:t>
      </w:r>
      <w:r>
        <w:rPr>
          <w:rFonts w:ascii="仿宋_GB2312" w:eastAsia="仿宋_GB2312" w:cs="仿宋_GB2312"/>
          <w:color w:val="000000"/>
          <w:kern w:val="0"/>
          <w:sz w:val="32"/>
          <w:szCs w:val="32"/>
          <w:shd w:val="clear" w:color="auto" w:fill="FFFFFF"/>
        </w:rPr>
        <w:t>分。评价等级为</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优</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w:t>
      </w:r>
    </w:p>
    <w:p w14:paraId="2D2CE6D5">
      <w:pPr>
        <w:snapToGrid w:val="0"/>
        <w:spacing w:line="620" w:lineRule="exact"/>
        <w:ind w:firstLine="640" w:firstLineChars="200"/>
        <w:rPr>
          <w:rFonts w:eastAsia="黑体"/>
          <w:bCs/>
          <w:sz w:val="32"/>
          <w:szCs w:val="32"/>
        </w:rPr>
      </w:pPr>
      <w:r>
        <w:rPr>
          <w:rFonts w:hint="eastAsia" w:ascii="黑体" w:hAnsi="宋体" w:eastAsia="黑体" w:cs="黑体"/>
          <w:bCs/>
          <w:sz w:val="32"/>
          <w:szCs w:val="32"/>
        </w:rPr>
        <w:t>四、绩效评价分析</w:t>
      </w:r>
    </w:p>
    <w:p w14:paraId="0626F688">
      <w:pPr>
        <w:pStyle w:val="2"/>
        <w:keepNext w:val="0"/>
        <w:keepLines w:val="0"/>
        <w:widowControl/>
        <w:wordWrap w:val="0"/>
        <w:spacing w:line="480" w:lineRule="atLeast"/>
        <w:ind w:firstLine="511" w:firstLineChars="159"/>
        <w:rPr>
          <w:rFonts w:ascii="楷体_GB2312" w:hAnsi="微软雅黑" w:eastAsia="楷体_GB2312" w:cs="楷体_GB2312"/>
          <w:bCs w:val="0"/>
          <w:color w:val="000000"/>
          <w:kern w:val="0"/>
          <w:shd w:val="clear" w:color="auto" w:fill="FFFFFF"/>
        </w:rPr>
      </w:pPr>
      <w:r>
        <w:rPr>
          <w:rFonts w:ascii="楷体_GB2312" w:hAnsi="微软雅黑" w:eastAsia="楷体_GB2312" w:cs="楷体_GB2312"/>
          <w:bCs w:val="0"/>
          <w:color w:val="000000"/>
          <w:kern w:val="0"/>
          <w:shd w:val="clear" w:color="auto" w:fill="FFFFFF"/>
        </w:rPr>
        <w:t>（一）项目决策、管理情况</w:t>
      </w:r>
    </w:p>
    <w:p w14:paraId="20341E26">
      <w:pPr>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车管所根据年初制定的所需车驾管业务量采购机动车登记证书、机动车号牌、证芯证夹等车驾管耗材，及时为办理业务的群众发放车管牌证。</w:t>
      </w:r>
    </w:p>
    <w:p w14:paraId="4C38D737">
      <w:pPr>
        <w:pStyle w:val="2"/>
        <w:keepNext w:val="0"/>
        <w:keepLines w:val="0"/>
        <w:widowControl/>
        <w:wordWrap w:val="0"/>
        <w:spacing w:line="480" w:lineRule="atLeast"/>
        <w:ind w:firstLine="511" w:firstLineChars="159"/>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（二）项目产出、效益情况</w:t>
      </w:r>
    </w:p>
    <w:p w14:paraId="13217E1B">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及时发放机动车及驾驶证等牌证，避免群众往返跑，提升群众满意度。</w:t>
      </w:r>
    </w:p>
    <w:p w14:paraId="7E6BABA8">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业务办理完成，按规定收取行政性收费并及时上缴财政。</w:t>
      </w:r>
    </w:p>
    <w:p w14:paraId="1C914E11">
      <w:pPr>
        <w:snapToGrid w:val="0"/>
        <w:spacing w:line="620" w:lineRule="exact"/>
        <w:ind w:firstLine="640" w:firstLineChars="200"/>
        <w:rPr>
          <w:rFonts w:eastAsia="黑体"/>
          <w:sz w:val="32"/>
          <w:szCs w:val="32"/>
        </w:rPr>
      </w:pPr>
      <w:r>
        <w:rPr>
          <w:rFonts w:hint="eastAsia" w:ascii="黑体" w:hAnsi="宋体" w:eastAsia="黑体" w:cs="黑体"/>
          <w:sz w:val="32"/>
          <w:szCs w:val="32"/>
        </w:rPr>
        <w:t>五、存在主要问题</w:t>
      </w:r>
    </w:p>
    <w:p w14:paraId="5F92FE87">
      <w:pPr>
        <w:widowControl/>
        <w:wordWrap w:val="0"/>
        <w:spacing w:line="252" w:lineRule="atLeast"/>
        <w:ind w:firstLine="640"/>
        <w:rPr>
          <w:rFonts w:eastAsia="仿宋_GB2312"/>
          <w:sz w:val="32"/>
          <w:szCs w:val="32"/>
        </w:rPr>
      </w:pPr>
      <w:r>
        <w:rPr>
          <w:rFonts w:ascii="仿宋_GB2312" w:eastAsia="仿宋_GB2312" w:cs="仿宋_GB2312"/>
          <w:sz w:val="32"/>
          <w:szCs w:val="32"/>
        </w:rPr>
        <w:t>车管业务工作量每年呈不规律变化，因此在估算车管成本费用时，多是根据业务量和经验进行估算，时常出现预算与实际支出相差较大的情况。</w:t>
      </w:r>
    </w:p>
    <w:p w14:paraId="69B537DF">
      <w:pPr>
        <w:snapToGrid w:val="0"/>
        <w:spacing w:line="620" w:lineRule="exact"/>
        <w:ind w:firstLine="640" w:firstLineChars="200"/>
        <w:rPr>
          <w:rFonts w:eastAsia="黑体"/>
          <w:sz w:val="32"/>
          <w:szCs w:val="32"/>
        </w:rPr>
      </w:pPr>
      <w:r>
        <w:rPr>
          <w:rFonts w:hint="eastAsia" w:ascii="黑体" w:hAnsi="宋体" w:eastAsia="黑体" w:cs="黑体"/>
          <w:sz w:val="32"/>
          <w:szCs w:val="32"/>
        </w:rPr>
        <w:t>六、相关措施建议</w:t>
      </w:r>
    </w:p>
    <w:p w14:paraId="29605D47">
      <w:pPr>
        <w:widowControl/>
        <w:wordWrap w:val="0"/>
        <w:spacing w:line="360" w:lineRule="atLeast"/>
        <w:rPr>
          <w:rFonts w:ascii="仿宋_GB2312" w:eastAsia="仿宋_GB2312" w:cs="仿宋_GB2312"/>
          <w:color w:val="000000"/>
          <w:kern w:val="0"/>
          <w:sz w:val="32"/>
          <w:szCs w:val="32"/>
          <w:shd w:val="clear" w:color="auto" w:fill="FFFFFF"/>
        </w:rPr>
      </w:pPr>
      <w:r>
        <w:rPr>
          <w:rFonts w:ascii="仿宋_GB2312" w:eastAsia="仿宋_GB2312" w:cs="仿宋_GB2312"/>
          <w:sz w:val="32"/>
          <w:szCs w:val="32"/>
        </w:rPr>
        <w:t>建议每年在进行成本费用估算时，财务部门能够进行指导，提出科学的决策性参考依据。</w:t>
      </w:r>
    </w:p>
    <w:p w14:paraId="501E3A41">
      <w:pPr>
        <w:pStyle w:val="5"/>
        <w:spacing w:before="93"/>
        <w:rPr>
          <w:rFonts w:ascii="仿宋" w:hAnsi="仿宋" w:eastAsia="仿宋" w:cs="仿宋"/>
          <w:color w:val="000000"/>
          <w:sz w:val="32"/>
          <w:szCs w:val="32"/>
          <w:shd w:val="clear" w:color="auto" w:fill="FFFFFF"/>
          <w:lang w:val="zh-CN"/>
        </w:rPr>
      </w:pPr>
    </w:p>
    <w:p w14:paraId="358D2E47">
      <w:pPr>
        <w:pStyle w:val="5"/>
        <w:spacing w:before="93"/>
        <w:rPr>
          <w:rFonts w:ascii="仿宋" w:hAnsi="仿宋" w:eastAsia="仿宋" w:cs="仿宋"/>
          <w:color w:val="000000"/>
          <w:sz w:val="32"/>
          <w:szCs w:val="32"/>
          <w:shd w:val="clear" w:color="auto" w:fill="FFFFFF"/>
          <w:lang w:val="zh-CN"/>
        </w:rPr>
      </w:pPr>
    </w:p>
    <w:tbl>
      <w:tblPr>
        <w:tblStyle w:val="13"/>
        <w:tblW w:w="8570" w:type="dxa"/>
        <w:tblInd w:w="98" w:type="dxa"/>
        <w:tblLayout w:type="autofit"/>
        <w:tblCellMar>
          <w:top w:w="0" w:type="dxa"/>
          <w:left w:w="108" w:type="dxa"/>
          <w:bottom w:w="0" w:type="dxa"/>
          <w:right w:w="108" w:type="dxa"/>
        </w:tblCellMar>
      </w:tblPr>
      <w:tblGrid>
        <w:gridCol w:w="626"/>
        <w:gridCol w:w="1025"/>
        <w:gridCol w:w="927"/>
        <w:gridCol w:w="1343"/>
        <w:gridCol w:w="476"/>
        <w:gridCol w:w="890"/>
        <w:gridCol w:w="476"/>
        <w:gridCol w:w="998"/>
        <w:gridCol w:w="486"/>
        <w:gridCol w:w="418"/>
        <w:gridCol w:w="905"/>
      </w:tblGrid>
      <w:tr w14:paraId="62F4D71F">
        <w:tblPrEx>
          <w:tblCellMar>
            <w:top w:w="0" w:type="dxa"/>
            <w:left w:w="108" w:type="dxa"/>
            <w:bottom w:w="0" w:type="dxa"/>
            <w:right w:w="108" w:type="dxa"/>
          </w:tblCellMar>
        </w:tblPrEx>
        <w:trPr>
          <w:trHeight w:val="904" w:hRule="atLeast"/>
        </w:trPr>
        <w:tc>
          <w:tcPr>
            <w:tcW w:w="85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96D13B">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14:paraId="0FBBEFD4">
        <w:tblPrEx>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0B6E0">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0FAB59">
            <w:pPr>
              <w:widowControl/>
              <w:jc w:val="left"/>
              <w:textAlignment w:val="center"/>
              <w:rPr>
                <w:rFonts w:ascii="宋体" w:hAnsi="宋体" w:cs="宋体"/>
                <w:color w:val="000000"/>
                <w:sz w:val="18"/>
                <w:szCs w:val="18"/>
              </w:rPr>
            </w:pPr>
            <w:r>
              <w:rPr>
                <w:rFonts w:ascii="宋体" w:hAnsi="宋体" w:cs="宋体"/>
                <w:color w:val="000000"/>
                <w:kern w:val="0"/>
                <w:sz w:val="18"/>
                <w:szCs w:val="18"/>
              </w:rPr>
              <w:t>51090022T000004783412-车管成本经费</w:t>
            </w:r>
          </w:p>
        </w:tc>
      </w:tr>
      <w:tr w14:paraId="18AE0C7C">
        <w:tblPrEx>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0EBCE">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A18CF">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遂宁市公安局部门</w:t>
            </w:r>
          </w:p>
        </w:tc>
        <w:tc>
          <w:tcPr>
            <w:tcW w:w="1000" w:type="dxa"/>
            <w:tcBorders>
              <w:top w:val="nil"/>
              <w:left w:val="nil"/>
              <w:bottom w:val="nil"/>
              <w:right w:val="nil"/>
            </w:tcBorders>
            <w:shd w:val="clear" w:color="auto" w:fill="auto"/>
            <w:vAlign w:val="center"/>
          </w:tcPr>
          <w:p w14:paraId="027EFF8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33BB4">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遂宁市公安局交通警察支队</w:t>
            </w:r>
          </w:p>
        </w:tc>
      </w:tr>
      <w:tr w14:paraId="5B5FBA7F">
        <w:tblPrEx>
          <w:tblCellMar>
            <w:top w:w="0" w:type="dxa"/>
            <w:left w:w="108" w:type="dxa"/>
            <w:bottom w:w="0" w:type="dxa"/>
            <w:right w:w="108" w:type="dxa"/>
          </w:tblCellMar>
        </w:tblPrEx>
        <w:trPr>
          <w:trHeight w:val="286"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B7F2B">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5AB49">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B3171">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55308">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226E920C">
        <w:tblPrEx>
          <w:tblCellMar>
            <w:top w:w="0" w:type="dxa"/>
            <w:left w:w="108" w:type="dxa"/>
            <w:bottom w:w="0" w:type="dxa"/>
            <w:right w:w="108" w:type="dxa"/>
          </w:tblCellMar>
        </w:tblPrEx>
        <w:trPr>
          <w:trHeight w:val="708"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922C1">
            <w:pP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7DEE">
            <w:pPr>
              <w:rPr>
                <w:rFonts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57B08">
            <w:pPr>
              <w:widowControl/>
              <w:jc w:val="left"/>
              <w:textAlignment w:val="center"/>
              <w:rPr>
                <w:rFonts w:ascii="宋体" w:hAnsi="宋体" w:cs="宋体"/>
                <w:color w:val="000000"/>
                <w:sz w:val="18"/>
                <w:szCs w:val="18"/>
              </w:rPr>
            </w:pPr>
            <w:r>
              <w:rPr>
                <w:rFonts w:ascii="宋体" w:hAnsi="宋体" w:cs="宋体"/>
                <w:color w:val="000000"/>
                <w:kern w:val="0"/>
                <w:sz w:val="18"/>
                <w:szCs w:val="18"/>
              </w:rPr>
              <w:t>群众在办结机动车和驾驶证业务后，及时向群众核发机动车和驾驶证件，提升群众体验感、满意度。</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744B4A">
            <w:pPr>
              <w:widowControl/>
              <w:jc w:val="left"/>
              <w:textAlignment w:val="center"/>
              <w:rPr>
                <w:rFonts w:ascii="黑体" w:hAnsi="黑体" w:eastAsia="黑体" w:cs="黑体"/>
                <w:color w:val="000000"/>
                <w:sz w:val="18"/>
                <w:szCs w:val="18"/>
              </w:rPr>
            </w:pPr>
            <w:r>
              <w:rPr>
                <w:rFonts w:hint="eastAsia" w:ascii="宋体" w:hAnsi="宋体" w:cs="宋体"/>
                <w:color w:val="000000"/>
                <w:sz w:val="18"/>
                <w:szCs w:val="18"/>
              </w:rPr>
              <w:t>及时发放机动车及驾驶证等牌证，避免群众往返跑，提升群众满意度。</w:t>
            </w:r>
          </w:p>
        </w:tc>
      </w:tr>
      <w:tr w14:paraId="0B959C4B">
        <w:tblPrEx>
          <w:tblCellMar>
            <w:top w:w="0" w:type="dxa"/>
            <w:left w:w="108" w:type="dxa"/>
            <w:bottom w:w="0" w:type="dxa"/>
            <w:right w:w="108" w:type="dxa"/>
          </w:tblCellMar>
        </w:tblPrEx>
        <w:trPr>
          <w:trHeight w:val="693"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0C50">
            <w:pP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7516">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CCDF4D">
            <w:pPr>
              <w:rPr>
                <w:rFonts w:ascii="宋体" w:hAnsi="宋体" w:cs="宋体"/>
                <w:color w:val="000000"/>
                <w:sz w:val="18"/>
                <w:szCs w:val="18"/>
              </w:rPr>
            </w:pPr>
          </w:p>
        </w:tc>
      </w:tr>
      <w:tr w14:paraId="50CDC43E">
        <w:tblPrEx>
          <w:tblCellMar>
            <w:top w:w="0" w:type="dxa"/>
            <w:left w:w="108" w:type="dxa"/>
            <w:bottom w:w="0" w:type="dxa"/>
            <w:right w:w="108" w:type="dxa"/>
          </w:tblCellMar>
        </w:tblPrEx>
        <w:trPr>
          <w:trHeight w:val="361"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F6F2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3CE3">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A585">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03A3">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6763C">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C162">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A706">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D548">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16F8">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677FAF9">
        <w:tblPrEx>
          <w:tblCellMar>
            <w:top w:w="0" w:type="dxa"/>
            <w:left w:w="108" w:type="dxa"/>
            <w:bottom w:w="0" w:type="dxa"/>
            <w:right w:w="108" w:type="dxa"/>
          </w:tblCellMar>
        </w:tblPrEx>
        <w:trPr>
          <w:trHeight w:val="38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7D30">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BB11">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A6D6">
            <w:pPr>
              <w:widowControl/>
              <w:jc w:val="center"/>
              <w:textAlignment w:val="center"/>
              <w:rPr>
                <w:rFonts w:ascii="宋体" w:hAnsi="宋体" w:cs="宋体"/>
                <w:color w:val="000000"/>
                <w:sz w:val="18"/>
                <w:szCs w:val="18"/>
              </w:rPr>
            </w:pPr>
            <w:r>
              <w:rPr>
                <w:rFonts w:ascii="宋体" w:hAnsi="宋体" w:cs="宋体"/>
                <w:color w:val="000000"/>
                <w:kern w:val="0"/>
                <w:sz w:val="18"/>
                <w:szCs w:val="18"/>
              </w:rPr>
              <w:t>38.24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14FB">
            <w:pPr>
              <w:widowControl/>
              <w:jc w:val="center"/>
              <w:textAlignment w:val="center"/>
              <w:rPr>
                <w:rFonts w:ascii="宋体" w:hAnsi="宋体" w:cs="宋体"/>
                <w:color w:val="000000"/>
                <w:sz w:val="18"/>
                <w:szCs w:val="18"/>
              </w:rPr>
            </w:pPr>
            <w:r>
              <w:rPr>
                <w:rFonts w:ascii="宋体" w:hAnsi="宋体" w:cs="宋体"/>
                <w:color w:val="000000"/>
                <w:kern w:val="0"/>
                <w:sz w:val="18"/>
                <w:szCs w:val="18"/>
              </w:rPr>
              <w:t>38.24</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D6200">
            <w:pPr>
              <w:widowControl/>
              <w:jc w:val="center"/>
              <w:textAlignment w:val="center"/>
              <w:rPr>
                <w:rFonts w:ascii="宋体" w:hAnsi="宋体" w:cs="宋体"/>
                <w:color w:val="000000"/>
                <w:sz w:val="18"/>
                <w:szCs w:val="18"/>
              </w:rPr>
            </w:pPr>
            <w:r>
              <w:rPr>
                <w:rFonts w:ascii="宋体" w:hAnsi="宋体" w:cs="宋体"/>
                <w:color w:val="000000"/>
                <w:kern w:val="0"/>
                <w:sz w:val="18"/>
                <w:szCs w:val="18"/>
              </w:rPr>
              <w:t>38.24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7303">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8E8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FEE5">
            <w:pPr>
              <w:jc w:val="center"/>
              <w:rPr>
                <w:rFonts w:ascii="宋体" w:hAnsi="宋体" w:cs="宋体"/>
                <w:color w:val="000000"/>
                <w:sz w:val="18"/>
                <w:szCs w:val="18"/>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C163B">
            <w:pPr>
              <w:rPr>
                <w:rFonts w:ascii="黑体" w:hAnsi="黑体" w:eastAsia="黑体" w:cs="黑体"/>
                <w:i/>
                <w:iCs/>
                <w:color w:val="000000"/>
                <w:sz w:val="18"/>
                <w:szCs w:val="18"/>
              </w:rPr>
            </w:pPr>
          </w:p>
        </w:tc>
      </w:tr>
      <w:tr w14:paraId="5AEAABDE">
        <w:tblPrEx>
          <w:tblCellMar>
            <w:top w:w="0" w:type="dxa"/>
            <w:left w:w="108" w:type="dxa"/>
            <w:bottom w:w="0" w:type="dxa"/>
            <w:right w:w="108" w:type="dxa"/>
          </w:tblCellMar>
        </w:tblPrEx>
        <w:trPr>
          <w:trHeight w:val="43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578F">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AF0A">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7329">
            <w:pPr>
              <w:widowControl/>
              <w:jc w:val="center"/>
              <w:textAlignment w:val="center"/>
              <w:rPr>
                <w:rFonts w:ascii="宋体" w:hAnsi="宋体" w:cs="宋体"/>
                <w:color w:val="000000"/>
                <w:sz w:val="18"/>
                <w:szCs w:val="18"/>
              </w:rPr>
            </w:pPr>
            <w:r>
              <w:rPr>
                <w:rFonts w:ascii="宋体" w:hAnsi="宋体" w:cs="宋体"/>
                <w:color w:val="000000"/>
                <w:kern w:val="0"/>
                <w:sz w:val="18"/>
                <w:szCs w:val="18"/>
              </w:rPr>
              <w:t>38.24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4E9E">
            <w:pPr>
              <w:widowControl/>
              <w:jc w:val="center"/>
              <w:textAlignment w:val="center"/>
              <w:rPr>
                <w:rFonts w:ascii="宋体" w:hAnsi="宋体" w:cs="宋体"/>
                <w:color w:val="000000"/>
                <w:sz w:val="18"/>
                <w:szCs w:val="18"/>
              </w:rPr>
            </w:pPr>
            <w:r>
              <w:rPr>
                <w:rFonts w:ascii="宋体" w:hAnsi="宋体" w:cs="宋体"/>
                <w:color w:val="000000"/>
                <w:kern w:val="0"/>
                <w:sz w:val="18"/>
                <w:szCs w:val="18"/>
              </w:rPr>
              <w:t>38.24</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A8858">
            <w:pPr>
              <w:widowControl/>
              <w:jc w:val="center"/>
              <w:textAlignment w:val="center"/>
              <w:rPr>
                <w:rFonts w:ascii="宋体" w:hAnsi="宋体" w:cs="宋体"/>
                <w:color w:val="000000"/>
                <w:sz w:val="18"/>
                <w:szCs w:val="18"/>
              </w:rPr>
            </w:pPr>
            <w:r>
              <w:rPr>
                <w:rFonts w:ascii="宋体" w:hAnsi="宋体" w:cs="宋体"/>
                <w:color w:val="000000"/>
                <w:kern w:val="0"/>
                <w:sz w:val="18"/>
                <w:szCs w:val="18"/>
              </w:rPr>
              <w:t>38.24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3B16">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F27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7E2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FC063">
            <w:pPr>
              <w:rPr>
                <w:rFonts w:ascii="黑体" w:hAnsi="黑体" w:eastAsia="黑体" w:cs="黑体"/>
                <w:i/>
                <w:iCs/>
                <w:color w:val="000000"/>
                <w:sz w:val="18"/>
                <w:szCs w:val="18"/>
              </w:rPr>
            </w:pPr>
          </w:p>
        </w:tc>
      </w:tr>
      <w:tr w14:paraId="39FC75E0">
        <w:tblPrEx>
          <w:tblCellMar>
            <w:top w:w="0" w:type="dxa"/>
            <w:left w:w="108" w:type="dxa"/>
            <w:bottom w:w="0" w:type="dxa"/>
            <w:right w:w="108" w:type="dxa"/>
          </w:tblCellMar>
        </w:tblPrEx>
        <w:trPr>
          <w:trHeight w:val="44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A6BB3">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7151">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29B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1DC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FBDC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F84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321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382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2FBA">
            <w:pPr>
              <w:rPr>
                <w:rFonts w:ascii="黑体" w:hAnsi="黑体" w:eastAsia="黑体" w:cs="黑体"/>
                <w:i/>
                <w:iCs/>
                <w:color w:val="000000"/>
                <w:sz w:val="18"/>
                <w:szCs w:val="18"/>
              </w:rPr>
            </w:pPr>
          </w:p>
        </w:tc>
      </w:tr>
      <w:tr w14:paraId="476D3E56">
        <w:tblPrEx>
          <w:tblCellMar>
            <w:top w:w="0" w:type="dxa"/>
            <w:left w:w="108" w:type="dxa"/>
            <w:bottom w:w="0" w:type="dxa"/>
            <w:right w:w="108" w:type="dxa"/>
          </w:tblCellMar>
        </w:tblPrEx>
        <w:trPr>
          <w:trHeight w:val="40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6BC7">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C31C">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E56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EBF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D961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8CA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92D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386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A21CB">
            <w:pPr>
              <w:rPr>
                <w:rFonts w:ascii="黑体" w:hAnsi="黑体" w:eastAsia="黑体" w:cs="黑体"/>
                <w:i/>
                <w:iCs/>
                <w:color w:val="000000"/>
                <w:sz w:val="18"/>
                <w:szCs w:val="18"/>
              </w:rPr>
            </w:pPr>
          </w:p>
        </w:tc>
      </w:tr>
      <w:tr w14:paraId="3D7EF916">
        <w:tblPrEx>
          <w:tblCellMar>
            <w:top w:w="0" w:type="dxa"/>
            <w:left w:w="108" w:type="dxa"/>
            <w:bottom w:w="0" w:type="dxa"/>
            <w:right w:w="108" w:type="dxa"/>
          </w:tblCellMar>
        </w:tblPrEx>
        <w:trPr>
          <w:trHeight w:val="37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44C3">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06B1">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5AE">
            <w:pPr>
              <w:jc w:val="center"/>
              <w:rPr>
                <w:rFonts w:ascii="微软雅黑" w:hAnsi="微软雅黑" w:eastAsia="微软雅黑" w:cs="微软雅黑"/>
                <w:i/>
                <w:iCs/>
                <w:color w:val="000000"/>
                <w:sz w:val="16"/>
                <w:szCs w:val="16"/>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DFA5">
            <w:pPr>
              <w:jc w:val="center"/>
              <w:rPr>
                <w:rFonts w:ascii="微软雅黑" w:hAnsi="微软雅黑" w:eastAsia="微软雅黑" w:cs="微软雅黑"/>
                <w:i/>
                <w:iCs/>
                <w:color w:val="000000"/>
                <w:sz w:val="16"/>
                <w:szCs w:val="16"/>
              </w:rPr>
            </w:pP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1FFC8">
            <w:pPr>
              <w:jc w:val="center"/>
              <w:rPr>
                <w:rFonts w:ascii="微软雅黑" w:hAnsi="微软雅黑" w:eastAsia="微软雅黑" w:cs="微软雅黑"/>
                <w:i/>
                <w:i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63A5">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5BC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3D1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1C80">
            <w:pPr>
              <w:rPr>
                <w:rFonts w:ascii="黑体" w:hAnsi="黑体" w:eastAsia="黑体" w:cs="黑体"/>
                <w:i/>
                <w:iCs/>
                <w:color w:val="000000"/>
                <w:sz w:val="18"/>
                <w:szCs w:val="18"/>
              </w:rPr>
            </w:pPr>
          </w:p>
        </w:tc>
      </w:tr>
      <w:tr w14:paraId="7057097C">
        <w:tblPrEx>
          <w:tblCellMar>
            <w:top w:w="0" w:type="dxa"/>
            <w:left w:w="108" w:type="dxa"/>
            <w:bottom w:w="0" w:type="dxa"/>
            <w:right w:w="108" w:type="dxa"/>
          </w:tblCellMar>
        </w:tblPrEx>
        <w:trPr>
          <w:trHeight w:val="452"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22ACC">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E7C6">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B465">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83B9">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BAA5">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847F">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2820">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7C8F">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812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A5A6">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DCA5">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12ADB032">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2DF0">
            <w:pPr>
              <w:jc w:val="center"/>
              <w:rPr>
                <w:rFonts w:ascii="宋体" w:hAnsi="宋体" w:cs="宋体"/>
                <w:color w:val="000000"/>
                <w:sz w:val="18"/>
                <w:szCs w:val="18"/>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4694E">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820D">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C6CF">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完成各类机动车牌证核发</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E19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9A41">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273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FA15">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9A9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F89">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17CD">
            <w:pPr>
              <w:jc w:val="center"/>
              <w:rPr>
                <w:rFonts w:ascii="微软雅黑" w:hAnsi="微软雅黑" w:eastAsia="微软雅黑" w:cs="微软雅黑"/>
                <w:i/>
                <w:iCs/>
                <w:color w:val="000000"/>
                <w:sz w:val="16"/>
                <w:szCs w:val="16"/>
              </w:rPr>
            </w:pPr>
          </w:p>
        </w:tc>
      </w:tr>
      <w:tr w14:paraId="1B60CA0D">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515A">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5F643">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D13F">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37CC">
            <w:pPr>
              <w:widowControl/>
              <w:jc w:val="center"/>
              <w:textAlignment w:val="center"/>
              <w:rPr>
                <w:rFonts w:ascii="宋体" w:hAnsi="宋体" w:cs="宋体"/>
                <w:color w:val="000000"/>
                <w:sz w:val="18"/>
                <w:szCs w:val="18"/>
              </w:rPr>
            </w:pPr>
            <w:r>
              <w:rPr>
                <w:rFonts w:ascii="宋体" w:hAnsi="宋体" w:cs="宋体"/>
                <w:color w:val="000000"/>
                <w:kern w:val="0"/>
                <w:sz w:val="18"/>
                <w:szCs w:val="18"/>
              </w:rPr>
              <w:t>各类牌证制作规范率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8D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2178">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0B5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43A6">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2DCD">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DDFA">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7E99">
            <w:pPr>
              <w:jc w:val="center"/>
              <w:rPr>
                <w:rFonts w:ascii="微软雅黑" w:hAnsi="微软雅黑" w:eastAsia="微软雅黑" w:cs="微软雅黑"/>
                <w:i/>
                <w:iCs/>
                <w:color w:val="000000"/>
                <w:sz w:val="16"/>
                <w:szCs w:val="16"/>
              </w:rPr>
            </w:pPr>
          </w:p>
        </w:tc>
      </w:tr>
      <w:tr w14:paraId="5AA5DC8F">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BB83">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624B">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E30A">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4723">
            <w:pPr>
              <w:widowControl/>
              <w:jc w:val="center"/>
              <w:textAlignment w:val="center"/>
              <w:rPr>
                <w:rFonts w:ascii="宋体" w:hAnsi="宋体" w:cs="宋体"/>
                <w:color w:val="000000"/>
                <w:sz w:val="18"/>
                <w:szCs w:val="18"/>
              </w:rPr>
            </w:pPr>
            <w:r>
              <w:rPr>
                <w:rFonts w:ascii="宋体" w:hAnsi="宋体" w:cs="宋体"/>
                <w:color w:val="000000"/>
                <w:kern w:val="0"/>
                <w:sz w:val="18"/>
                <w:szCs w:val="18"/>
              </w:rPr>
              <w:t>业务办理后核发牌证及时率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6BB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7593">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C64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5D2">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2B0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4F42">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1C1E">
            <w:pPr>
              <w:jc w:val="center"/>
              <w:rPr>
                <w:rFonts w:ascii="微软雅黑" w:hAnsi="微软雅黑" w:eastAsia="微软雅黑" w:cs="微软雅黑"/>
                <w:i/>
                <w:iCs/>
                <w:color w:val="000000"/>
                <w:sz w:val="16"/>
                <w:szCs w:val="16"/>
              </w:rPr>
            </w:pPr>
          </w:p>
        </w:tc>
      </w:tr>
      <w:tr w14:paraId="3D3C69F9">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3EFA">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3029D">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74F0">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1A5D">
            <w:pPr>
              <w:widowControl/>
              <w:jc w:val="center"/>
              <w:textAlignment w:val="center"/>
              <w:rPr>
                <w:rFonts w:ascii="宋体" w:hAnsi="宋体" w:cs="宋体"/>
                <w:color w:val="000000"/>
                <w:sz w:val="18"/>
                <w:szCs w:val="18"/>
              </w:rPr>
            </w:pPr>
            <w:r>
              <w:rPr>
                <w:rFonts w:ascii="宋体" w:hAnsi="宋体" w:cs="宋体"/>
                <w:color w:val="000000"/>
                <w:kern w:val="0"/>
                <w:sz w:val="18"/>
                <w:szCs w:val="18"/>
              </w:rPr>
              <w:t>2021年机动车管理、驾驶人管理成本费</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383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86B6">
            <w:pPr>
              <w:widowControl/>
              <w:jc w:val="center"/>
              <w:textAlignment w:val="center"/>
              <w:rPr>
                <w:rFonts w:ascii="宋体" w:hAnsi="宋体" w:cs="宋体"/>
                <w:color w:val="000000"/>
                <w:sz w:val="18"/>
                <w:szCs w:val="18"/>
              </w:rPr>
            </w:pPr>
            <w:r>
              <w:rPr>
                <w:rFonts w:ascii="宋体" w:hAnsi="宋体" w:cs="宋体"/>
                <w:color w:val="000000"/>
                <w:kern w:val="0"/>
                <w:sz w:val="18"/>
                <w:szCs w:val="18"/>
              </w:rPr>
              <w:t>1120900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DBDB">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19F">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E30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1B79">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9EDE">
            <w:pPr>
              <w:jc w:val="center"/>
              <w:rPr>
                <w:rFonts w:ascii="微软雅黑" w:hAnsi="微软雅黑" w:eastAsia="微软雅黑" w:cs="微软雅黑"/>
                <w:i/>
                <w:iCs/>
                <w:color w:val="000000"/>
                <w:sz w:val="16"/>
                <w:szCs w:val="16"/>
              </w:rPr>
            </w:pPr>
          </w:p>
        </w:tc>
      </w:tr>
      <w:tr w14:paraId="601F7B68">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42BBF">
            <w:pPr>
              <w:jc w:val="center"/>
              <w:rPr>
                <w:rFonts w:ascii="宋体" w:hAnsi="宋体" w:cs="宋体"/>
                <w:color w:val="000000"/>
                <w:sz w:val="18"/>
                <w:szCs w:val="18"/>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A7748">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655F">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6534">
            <w:pPr>
              <w:widowControl/>
              <w:jc w:val="center"/>
              <w:textAlignment w:val="center"/>
              <w:rPr>
                <w:rFonts w:ascii="宋体" w:hAnsi="宋体" w:cs="宋体"/>
                <w:color w:val="000000"/>
                <w:sz w:val="18"/>
                <w:szCs w:val="18"/>
              </w:rPr>
            </w:pPr>
            <w:r>
              <w:rPr>
                <w:rFonts w:ascii="宋体" w:hAnsi="宋体" w:cs="宋体"/>
                <w:color w:val="000000"/>
                <w:kern w:val="0"/>
                <w:sz w:val="18"/>
                <w:szCs w:val="18"/>
              </w:rPr>
              <w:t>行政性收费解缴及时率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3E5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C0E2">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0F8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8A0E">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628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C9FD">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8F40">
            <w:pPr>
              <w:jc w:val="center"/>
              <w:rPr>
                <w:rFonts w:ascii="微软雅黑" w:hAnsi="微软雅黑" w:eastAsia="微软雅黑" w:cs="微软雅黑"/>
                <w:i/>
                <w:iCs/>
                <w:color w:val="000000"/>
                <w:sz w:val="16"/>
                <w:szCs w:val="16"/>
              </w:rPr>
            </w:pPr>
          </w:p>
        </w:tc>
      </w:tr>
      <w:tr w14:paraId="1C96A032">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FE44A">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D6153">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CCB7">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1E9A">
            <w:pPr>
              <w:widowControl/>
              <w:jc w:val="center"/>
              <w:textAlignment w:val="center"/>
              <w:rPr>
                <w:rFonts w:ascii="宋体" w:hAnsi="宋体" w:cs="宋体"/>
                <w:color w:val="000000"/>
                <w:sz w:val="18"/>
                <w:szCs w:val="18"/>
              </w:rPr>
            </w:pPr>
            <w:r>
              <w:rPr>
                <w:rFonts w:ascii="宋体" w:hAnsi="宋体" w:cs="宋体"/>
                <w:color w:val="000000"/>
                <w:kern w:val="0"/>
                <w:sz w:val="18"/>
                <w:szCs w:val="18"/>
              </w:rPr>
              <w:t>规范机动车、驾驶人管理值</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32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1262">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E8D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A06D">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86D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690F">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4CD2">
            <w:pPr>
              <w:jc w:val="center"/>
              <w:rPr>
                <w:rFonts w:ascii="微软雅黑" w:hAnsi="微软雅黑" w:eastAsia="微软雅黑" w:cs="微软雅黑"/>
                <w:i/>
                <w:iCs/>
                <w:color w:val="000000"/>
                <w:sz w:val="16"/>
                <w:szCs w:val="16"/>
              </w:rPr>
            </w:pPr>
          </w:p>
        </w:tc>
      </w:tr>
      <w:tr w14:paraId="52FC735C">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80E5">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0B93">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EDEE">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AC55">
            <w:pPr>
              <w:widowControl/>
              <w:jc w:val="center"/>
              <w:textAlignment w:val="center"/>
              <w:rPr>
                <w:rFonts w:ascii="宋体" w:hAnsi="宋体" w:cs="宋体"/>
                <w:color w:val="000000"/>
                <w:sz w:val="18"/>
                <w:szCs w:val="18"/>
              </w:rPr>
            </w:pPr>
            <w:r>
              <w:rPr>
                <w:rFonts w:ascii="宋体" w:hAnsi="宋体" w:cs="宋体"/>
                <w:color w:val="000000"/>
                <w:kern w:val="0"/>
                <w:sz w:val="18"/>
                <w:szCs w:val="18"/>
              </w:rPr>
              <w:t>车驾管业务工作规范率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058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BDD6">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560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0907">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EBA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B230">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F3BF">
            <w:pPr>
              <w:jc w:val="center"/>
              <w:rPr>
                <w:rFonts w:ascii="微软雅黑" w:hAnsi="微软雅黑" w:eastAsia="微软雅黑" w:cs="微软雅黑"/>
                <w:i/>
                <w:iCs/>
                <w:color w:val="000000"/>
                <w:sz w:val="16"/>
                <w:szCs w:val="16"/>
              </w:rPr>
            </w:pPr>
          </w:p>
        </w:tc>
      </w:tr>
      <w:tr w14:paraId="36CF7B9C">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2EAAA">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6F09">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26DC">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4B36">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社会满意率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3C2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1F4C">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224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FBAD">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4D3E">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9C2F">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8654">
            <w:pPr>
              <w:jc w:val="center"/>
              <w:rPr>
                <w:rFonts w:ascii="微软雅黑" w:hAnsi="微软雅黑" w:eastAsia="微软雅黑" w:cs="微软雅黑"/>
                <w:i/>
                <w:iCs/>
                <w:color w:val="000000"/>
                <w:sz w:val="16"/>
                <w:szCs w:val="16"/>
              </w:rPr>
            </w:pPr>
          </w:p>
        </w:tc>
      </w:tr>
      <w:tr w14:paraId="605D1768">
        <w:tblPrEx>
          <w:tblCellMar>
            <w:top w:w="0" w:type="dxa"/>
            <w:left w:w="108" w:type="dxa"/>
            <w:bottom w:w="0" w:type="dxa"/>
            <w:right w:w="108" w:type="dxa"/>
          </w:tblCellMar>
        </w:tblPrEx>
        <w:trPr>
          <w:trHeight w:val="286" w:hRule="atLeast"/>
        </w:trPr>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5C4F41">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5D3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31C3">
            <w:pP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D0E9">
            <w:pPr>
              <w:rPr>
                <w:rFonts w:ascii="宋体" w:hAnsi="宋体" w:cs="宋体"/>
                <w:color w:val="000000"/>
                <w:sz w:val="18"/>
                <w:szCs w:val="18"/>
              </w:rPr>
            </w:pPr>
          </w:p>
        </w:tc>
      </w:tr>
      <w:tr w14:paraId="2AE01065">
        <w:tblPrEx>
          <w:tblCellMar>
            <w:top w:w="0" w:type="dxa"/>
            <w:left w:w="108" w:type="dxa"/>
            <w:bottom w:w="0" w:type="dxa"/>
            <w:right w:w="108" w:type="dxa"/>
          </w:tblCellMar>
        </w:tblPrEx>
        <w:trPr>
          <w:trHeight w:val="60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47D5">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2A75FD">
            <w:pPr>
              <w:widowControl/>
              <w:wordWrap w:val="0"/>
              <w:spacing w:line="252" w:lineRule="atLeast"/>
              <w:rPr>
                <w:rFonts w:asciiTheme="minorEastAsia" w:hAnsiTheme="minorEastAsia" w:eastAsiaTheme="minorEastAsia" w:cstheme="minorEastAsia"/>
                <w:color w:val="000000"/>
                <w:kern w:val="0"/>
                <w:sz w:val="18"/>
                <w:szCs w:val="18"/>
                <w:shd w:val="clear" w:color="auto" w:fill="FFFFFF"/>
              </w:rPr>
            </w:pPr>
            <w:r>
              <w:rPr>
                <w:rFonts w:hint="eastAsia" w:asciiTheme="minorEastAsia" w:hAnsiTheme="minorEastAsia" w:eastAsiaTheme="minorEastAsia" w:cstheme="minorEastAsia"/>
                <w:color w:val="000000"/>
                <w:kern w:val="0"/>
                <w:sz w:val="18"/>
                <w:szCs w:val="18"/>
                <w:shd w:val="clear" w:color="auto" w:fill="FFFFFF"/>
              </w:rPr>
              <w:t>及时发放机动车及驾驶证等牌证，避免群众往返跑，提升群众满意度。</w:t>
            </w:r>
          </w:p>
          <w:p w14:paraId="2E55A020">
            <w:pPr>
              <w:widowControl/>
              <w:jc w:val="left"/>
              <w:textAlignment w:val="center"/>
              <w:rPr>
                <w:rFonts w:ascii="微软雅黑" w:hAnsi="微软雅黑" w:eastAsia="微软雅黑" w:cs="微软雅黑"/>
                <w:i/>
                <w:iCs/>
                <w:color w:val="000000"/>
                <w:sz w:val="16"/>
                <w:szCs w:val="16"/>
              </w:rPr>
            </w:pPr>
          </w:p>
        </w:tc>
      </w:tr>
      <w:tr w14:paraId="72BDEECE">
        <w:tblPrEx>
          <w:tblCellMar>
            <w:top w:w="0" w:type="dxa"/>
            <w:left w:w="108" w:type="dxa"/>
            <w:bottom w:w="0" w:type="dxa"/>
            <w:right w:w="108" w:type="dxa"/>
          </w:tblCellMar>
        </w:tblPrEx>
        <w:trPr>
          <w:trHeight w:val="572"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809D">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B24E7C">
            <w:pPr>
              <w:widowControl/>
              <w:wordWrap w:val="0"/>
              <w:spacing w:line="252" w:lineRule="atLeas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车管业务工作量每年呈不规律变化，因此在估算车管成本费用时，多是根据业务量和经验进行估算，时常出现预算与实际支出相差较大的情况。</w:t>
            </w:r>
          </w:p>
          <w:p w14:paraId="29087452">
            <w:pPr>
              <w:widowControl/>
              <w:jc w:val="left"/>
              <w:textAlignment w:val="center"/>
              <w:rPr>
                <w:rFonts w:ascii="微软雅黑" w:hAnsi="微软雅黑" w:eastAsia="微软雅黑" w:cs="微软雅黑"/>
                <w:i/>
                <w:iCs/>
                <w:color w:val="000000"/>
                <w:sz w:val="16"/>
                <w:szCs w:val="16"/>
              </w:rPr>
            </w:pPr>
          </w:p>
        </w:tc>
      </w:tr>
      <w:tr w14:paraId="241AF3E3">
        <w:tblPrEx>
          <w:tblCellMar>
            <w:top w:w="0" w:type="dxa"/>
            <w:left w:w="108" w:type="dxa"/>
            <w:bottom w:w="0" w:type="dxa"/>
            <w:right w:w="108" w:type="dxa"/>
          </w:tblCellMar>
        </w:tblPrEx>
        <w:trPr>
          <w:trHeight w:val="63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02DB">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4AD45C">
            <w:pPr>
              <w:widowControl/>
              <w:wordWrap w:val="0"/>
              <w:spacing w:line="360" w:lineRule="atLeast"/>
              <w:rPr>
                <w:rFonts w:asciiTheme="minorEastAsia" w:hAnsiTheme="minorEastAsia" w:eastAsiaTheme="minorEastAsia" w:cstheme="minorEastAsia"/>
                <w:color w:val="000000"/>
                <w:kern w:val="0"/>
                <w:sz w:val="18"/>
                <w:szCs w:val="18"/>
                <w:shd w:val="clear" w:color="auto" w:fill="FFFFFF"/>
              </w:rPr>
            </w:pPr>
            <w:r>
              <w:rPr>
                <w:rFonts w:hint="eastAsia" w:asciiTheme="minorEastAsia" w:hAnsiTheme="minorEastAsia" w:eastAsiaTheme="minorEastAsia" w:cstheme="minorEastAsia"/>
                <w:sz w:val="18"/>
                <w:szCs w:val="18"/>
              </w:rPr>
              <w:t>建议每年在进行成本费用估算时，财务部门能够进行指导，提出科学的决策性参考依据。</w:t>
            </w:r>
          </w:p>
          <w:p w14:paraId="113E3D16">
            <w:pPr>
              <w:widowControl/>
              <w:jc w:val="left"/>
              <w:textAlignment w:val="center"/>
              <w:rPr>
                <w:rFonts w:ascii="微软雅黑" w:hAnsi="微软雅黑" w:eastAsia="微软雅黑" w:cs="微软雅黑"/>
                <w:i/>
                <w:iCs/>
                <w:color w:val="000000"/>
                <w:sz w:val="16"/>
                <w:szCs w:val="16"/>
              </w:rPr>
            </w:pPr>
          </w:p>
        </w:tc>
      </w:tr>
      <w:tr w14:paraId="5A8858AF">
        <w:tblPrEx>
          <w:tblCellMar>
            <w:top w:w="0" w:type="dxa"/>
            <w:left w:w="108" w:type="dxa"/>
            <w:bottom w:w="0" w:type="dxa"/>
            <w:right w:w="108" w:type="dxa"/>
          </w:tblCellMar>
        </w:tblPrEx>
        <w:trPr>
          <w:trHeight w:val="286" w:hRule="atLeast"/>
        </w:trPr>
        <w:tc>
          <w:tcPr>
            <w:tcW w:w="4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84E9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41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1C3FB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14:paraId="3C06FC7A">
      <w:pPr>
        <w:pStyle w:val="5"/>
        <w:spacing w:before="93"/>
        <w:rPr>
          <w:rFonts w:ascii="仿宋" w:hAnsi="仿宋" w:eastAsia="仿宋" w:cs="仿宋"/>
          <w:color w:val="000000"/>
          <w:sz w:val="32"/>
          <w:szCs w:val="32"/>
          <w:shd w:val="clear" w:color="auto" w:fill="FFFFFF"/>
          <w:lang w:val="zh-CN"/>
        </w:rPr>
      </w:pPr>
    </w:p>
    <w:p w14:paraId="67F5E5B4">
      <w:pPr>
        <w:snapToGrid w:val="0"/>
        <w:spacing w:line="620" w:lineRule="exact"/>
        <w:jc w:val="center"/>
        <w:rPr>
          <w:rFonts w:ascii="宋体" w:hAnsi="宋体" w:cs="宋体"/>
          <w:b/>
          <w:bCs/>
          <w:sz w:val="44"/>
          <w:szCs w:val="44"/>
        </w:rPr>
      </w:pPr>
      <w:r>
        <w:rPr>
          <w:rFonts w:hint="eastAsia" w:ascii="宋体" w:hAnsi="宋体" w:cs="宋体"/>
          <w:b/>
          <w:bCs/>
          <w:sz w:val="44"/>
          <w:szCs w:val="44"/>
        </w:rPr>
        <w:t>部门预算项目支出绩效自评报告</w:t>
      </w:r>
    </w:p>
    <w:p w14:paraId="351014F5">
      <w:pPr>
        <w:snapToGrid w:val="0"/>
        <w:spacing w:line="620" w:lineRule="exact"/>
        <w:jc w:val="center"/>
        <w:rPr>
          <w:rFonts w:eastAsia="仿宋_GB2312"/>
          <w:sz w:val="32"/>
          <w:szCs w:val="32"/>
        </w:rPr>
      </w:pPr>
      <w:r>
        <w:rPr>
          <w:rFonts w:ascii="仿宋_GB2312" w:eastAsia="仿宋_GB2312" w:cs="仿宋_GB2312"/>
          <w:sz w:val="32"/>
          <w:szCs w:val="32"/>
        </w:rPr>
        <w:t>（一期电子警察运行维护费项目）</w:t>
      </w:r>
    </w:p>
    <w:p w14:paraId="16686C9D">
      <w:pPr>
        <w:spacing w:line="700" w:lineRule="exact"/>
        <w:ind w:firstLine="640" w:firstLineChars="200"/>
        <w:jc w:val="left"/>
        <w:rPr>
          <w:rFonts w:ascii="方正小标宋简体" w:hAnsi="宋体" w:eastAsia="方正小标宋简体" w:cs="黑体"/>
          <w:bCs/>
          <w:sz w:val="32"/>
          <w:szCs w:val="32"/>
        </w:rPr>
      </w:pPr>
      <w:r>
        <w:rPr>
          <w:rFonts w:ascii="仿宋_GB2312" w:eastAsia="仿宋_GB2312" w:cs="仿宋_GB2312"/>
          <w:color w:val="000000"/>
          <w:kern w:val="0"/>
          <w:sz w:val="32"/>
          <w:szCs w:val="32"/>
          <w:shd w:val="clear" w:color="auto" w:fill="FFFFFF"/>
        </w:rPr>
        <w:t>为了对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一期电子警察运行维护外包服务费用专项资金使用、管理的科学性、合理性和效益性进行客观、公正的评价，规范警务辅助人员专项资金管理，提高资金使用效益，根据《遂宁市财政局关于开展2023年部门、项目、政策支出绩效自评工作的通知（遂财绩[2023]2号）文件精神，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年度遂宁市公安局交警支队一期电子警察运行维护外包服务专项资金项目实施了绩效评价。现将项目绩效评价情况报告如下</w:t>
      </w:r>
      <w:r>
        <w:rPr>
          <w:rFonts w:hint="eastAsia" w:ascii="新宋体" w:hAnsi="新宋体" w:eastAsia="新宋体" w:cs="新宋体"/>
          <w:color w:val="000000"/>
          <w:kern w:val="0"/>
          <w:sz w:val="32"/>
          <w:szCs w:val="32"/>
          <w:shd w:val="clear" w:color="auto" w:fill="FFFFFF"/>
        </w:rPr>
        <w:t>：</w:t>
      </w:r>
    </w:p>
    <w:p w14:paraId="0DA393B9">
      <w:pPr>
        <w:snapToGrid w:val="0"/>
        <w:spacing w:line="620" w:lineRule="exact"/>
        <w:ind w:left="632"/>
        <w:jc w:val="left"/>
        <w:rPr>
          <w:rFonts w:eastAsia="黑体"/>
          <w:sz w:val="32"/>
          <w:szCs w:val="32"/>
        </w:rPr>
      </w:pPr>
      <w:r>
        <w:rPr>
          <w:rFonts w:hint="eastAsia" w:ascii="黑体" w:hAnsi="宋体" w:eastAsia="黑体" w:cs="黑体"/>
          <w:sz w:val="32"/>
          <w:szCs w:val="32"/>
        </w:rPr>
        <w:t>一、基本情况</w:t>
      </w:r>
    </w:p>
    <w:p w14:paraId="71363B71">
      <w:pPr>
        <w:ind w:firstLine="640" w:firstLineChars="200"/>
        <w:rPr>
          <w:rFonts w:ascii="仿宋" w:hAnsi="仿宋" w:eastAsia="仿宋" w:cs="仿宋"/>
          <w:color w:val="000000"/>
          <w:sz w:val="32"/>
          <w:szCs w:val="32"/>
        </w:rPr>
      </w:pPr>
      <w:r>
        <w:rPr>
          <w:rFonts w:ascii="仿宋_GB2312" w:hAnsi="宋体" w:eastAsia="仿宋_GB2312" w:cs="仿宋_GB2312"/>
          <w:bCs/>
          <w:sz w:val="32"/>
          <w:szCs w:val="32"/>
        </w:rPr>
        <w:t>电子警察一期于2005年投资建设，距今18年，设备老化严重，故障率高，设备部分性能不能满足目前交通管理的需要，例如视频像素等、夜间视频效果差等。</w:t>
      </w:r>
      <w:r>
        <w:rPr>
          <w:rFonts w:ascii="仿宋_GB2312" w:eastAsia="仿宋_GB2312" w:cs="仿宋_GB2312"/>
          <w:color w:val="000000"/>
          <w:kern w:val="0"/>
          <w:sz w:val="32"/>
          <w:szCs w:val="32"/>
          <w:shd w:val="clear" w:color="auto" w:fill="FFFFFF"/>
        </w:rPr>
        <w:t>为了保障市城区道路畅通、交通秩序良好，维护驾驶人的利益，需长期对一期电子警察运行进行维护，减少误抓拍数据。</w:t>
      </w:r>
      <w:r>
        <w:rPr>
          <w:rFonts w:hint="eastAsia" w:ascii="仿宋" w:hAnsi="仿宋" w:eastAsia="仿宋" w:cs="仿宋"/>
          <w:color w:val="000000"/>
          <w:sz w:val="32"/>
          <w:szCs w:val="32"/>
        </w:rPr>
        <w:t>遂宁市城区电子警察运维服务外包项目项目于2018年9月经市政府同意建设，后经财政评审、招投标、验收等，验收合格后投入使用。</w:t>
      </w:r>
    </w:p>
    <w:p w14:paraId="7AE712EF">
      <w:pPr>
        <w:pStyle w:val="2"/>
        <w:keepNext w:val="0"/>
        <w:keepLines w:val="0"/>
        <w:widowControl/>
        <w:numPr>
          <w:ilvl w:val="0"/>
          <w:numId w:val="5"/>
        </w:numPr>
        <w:wordWrap w:val="0"/>
        <w:spacing w:line="480" w:lineRule="atLeast"/>
        <w:rPr>
          <w:rFonts w:ascii="仿宋_GB2312" w:hAnsi="微软雅黑" w:eastAsia="仿宋_GB2312" w:cs="微软雅黑"/>
          <w:b w:val="0"/>
          <w:color w:val="307BBB"/>
          <w:kern w:val="0"/>
          <w:sz w:val="21"/>
          <w:szCs w:val="21"/>
        </w:rPr>
      </w:pPr>
      <w:r>
        <w:rPr>
          <w:rFonts w:ascii="仿宋_GB2312" w:hAnsi="微软雅黑" w:eastAsia="仿宋_GB2312" w:cs="仿宋_GB2312"/>
          <w:bCs w:val="0"/>
          <w:color w:val="000000"/>
          <w:kern w:val="0"/>
        </w:rPr>
        <w:t>项目绩效目标</w:t>
      </w:r>
    </w:p>
    <w:p w14:paraId="123E6AC2">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通过一期电子警察运行维护，提高了违法行为抓拍数据的有效率，</w:t>
      </w:r>
      <w:r>
        <w:rPr>
          <w:rFonts w:hint="eastAsia" w:ascii="仿宋_GB2312" w:eastAsia="仿宋_GB2312" w:cs="仿宋_GB2312"/>
          <w:color w:val="000000"/>
          <w:kern w:val="0"/>
          <w:sz w:val="32"/>
          <w:szCs w:val="32"/>
          <w:shd w:val="clear" w:color="auto" w:fill="FFFFFF"/>
          <w:lang w:eastAsia="zh-CN"/>
        </w:rPr>
        <w:t>能够更好地</w:t>
      </w:r>
      <w:r>
        <w:rPr>
          <w:rFonts w:ascii="仿宋_GB2312" w:eastAsia="仿宋_GB2312" w:cs="仿宋_GB2312"/>
          <w:color w:val="000000"/>
          <w:kern w:val="0"/>
          <w:sz w:val="32"/>
          <w:szCs w:val="32"/>
          <w:shd w:val="clear" w:color="auto" w:fill="FFFFFF"/>
        </w:rPr>
        <w:t>规范城市文明交通行为，有效降低了道路交通事故发生，营造文明和谐的道路交通环境。</w:t>
      </w:r>
    </w:p>
    <w:p w14:paraId="02A56389">
      <w:pPr>
        <w:pStyle w:val="2"/>
        <w:keepNext w:val="0"/>
        <w:keepLines w:val="0"/>
        <w:widowControl/>
        <w:numPr>
          <w:ilvl w:val="0"/>
          <w:numId w:val="5"/>
        </w:numPr>
        <w:wordWrap w:val="0"/>
        <w:spacing w:line="480" w:lineRule="atLeast"/>
        <w:rPr>
          <w:rFonts w:ascii="仿宋_GB2312" w:hAnsi="微软雅黑" w:eastAsia="仿宋_GB2312" w:cs="微软雅黑"/>
          <w:b w:val="0"/>
          <w:color w:val="307BBB"/>
          <w:kern w:val="0"/>
          <w:sz w:val="21"/>
          <w:szCs w:val="21"/>
        </w:rPr>
      </w:pPr>
      <w:r>
        <w:rPr>
          <w:rFonts w:ascii="仿宋_GB2312" w:hAnsi="微软雅黑" w:eastAsia="仿宋_GB2312" w:cs="仿宋_GB2312"/>
          <w:bCs w:val="0"/>
          <w:color w:val="000000"/>
          <w:kern w:val="0"/>
        </w:rPr>
        <w:t>专项资金的使用及管理情况</w:t>
      </w:r>
    </w:p>
    <w:p w14:paraId="40266321">
      <w:pPr>
        <w:widowControl/>
        <w:wordWrap w:val="0"/>
        <w:spacing w:line="252" w:lineRule="atLeast"/>
        <w:ind w:firstLine="480" w:firstLineChars="150"/>
        <w:rPr>
          <w:rFonts w:eastAsia="仿宋_GB2312"/>
          <w:sz w:val="32"/>
          <w:szCs w:val="32"/>
        </w:rPr>
      </w:pPr>
      <w:r>
        <w:rPr>
          <w:rFonts w:ascii="仿宋_GB2312" w:eastAsia="仿宋_GB2312" w:cs="仿宋_GB2312"/>
          <w:color w:val="000000"/>
          <w:kern w:val="0"/>
          <w:sz w:val="32"/>
          <w:szCs w:val="32"/>
          <w:shd w:val="clear" w:color="auto" w:fill="FFFFFF"/>
        </w:rPr>
        <w:t>1.专项资金安排、拨付情况</w:t>
      </w:r>
    </w:p>
    <w:p w14:paraId="21D39D60">
      <w:pPr>
        <w:widowControl/>
        <w:wordWrap w:val="0"/>
        <w:spacing w:line="252" w:lineRule="atLeast"/>
        <w:ind w:firstLine="480" w:firstLineChars="15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该项目维保服务包括监控84套、卡口52套、超速41套、逆行5套、闯红灯125套、违停25套、禁止左转10套、交换机8套、服务器5套，2022年度安排了专项资金176.49万元，2022年财政实际拨款176.49万元。</w:t>
      </w:r>
    </w:p>
    <w:p w14:paraId="703FF029">
      <w:pPr>
        <w:widowControl/>
        <w:wordWrap w:val="0"/>
        <w:spacing w:line="252" w:lineRule="atLeast"/>
        <w:ind w:firstLine="640" w:firstLineChars="200"/>
        <w:rPr>
          <w:rFonts w:eastAsia="仿宋_GB2312"/>
          <w:sz w:val="32"/>
          <w:szCs w:val="32"/>
        </w:rPr>
      </w:pPr>
      <w:r>
        <w:rPr>
          <w:rFonts w:ascii="仿宋_GB2312" w:eastAsia="仿宋_GB2312" w:cs="仿宋_GB2312"/>
          <w:color w:val="000000"/>
          <w:kern w:val="0"/>
          <w:sz w:val="32"/>
          <w:szCs w:val="32"/>
          <w:shd w:val="clear" w:color="auto" w:fill="FFFFFF"/>
        </w:rPr>
        <w:t>2.专项资金使用情况</w:t>
      </w:r>
    </w:p>
    <w:p w14:paraId="16001B9E">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2022年度一期电子警察运行维护外包服务费用实际支出176.49万元。主要用于一期电子警察的运行维护支出。</w:t>
      </w:r>
    </w:p>
    <w:p w14:paraId="13D43F0A">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3.资金管理情况</w:t>
      </w:r>
    </w:p>
    <w:p w14:paraId="10CC50B3">
      <w:pPr>
        <w:pStyle w:val="12"/>
        <w:widowControl/>
        <w:shd w:val="clear" w:color="auto" w:fill="FFFFFF"/>
        <w:wordWrap w:val="0"/>
        <w:spacing w:line="288" w:lineRule="atLeast"/>
        <w:ind w:firstLine="640"/>
        <w:rPr>
          <w:rFonts w:ascii="宋体" w:hAnsi="宋体" w:cs="宋体"/>
          <w:shd w:val="clear" w:color="auto" w:fill="FFFFFF"/>
        </w:rPr>
      </w:pPr>
      <w:r>
        <w:rPr>
          <w:rFonts w:ascii="仿宋_GB2312" w:hAnsi="宋体" w:eastAsia="仿宋_GB2312" w:cs="仿宋_GB2312"/>
          <w:color w:val="000000"/>
          <w:sz w:val="32"/>
          <w:szCs w:val="32"/>
          <w:shd w:val="clear" w:color="auto" w:fill="FFFFFF"/>
        </w:rPr>
        <w:t>每月对一期电子警察运维情况进行考核，如外包服务公司未在规定时间内对电警故障进行维护，及时按照合同约定扣除费用后再进行支付运维费。</w:t>
      </w:r>
    </w:p>
    <w:p w14:paraId="419AB549">
      <w:pPr>
        <w:pStyle w:val="12"/>
        <w:widowControl/>
        <w:wordWrap w:val="0"/>
        <w:spacing w:beforeAutospacing="0" w:afterAutospacing="0" w:line="252" w:lineRule="atLeast"/>
        <w:ind w:left="105" w:leftChars="50" w:firstLine="640" w:firstLineChars="200"/>
        <w:jc w:val="both"/>
        <w:rPr>
          <w:rFonts w:ascii="仿宋_GB2312" w:eastAsia="仿宋_GB2312" w:cs="仿宋_GB2312"/>
          <w:color w:val="000000"/>
          <w:sz w:val="32"/>
          <w:szCs w:val="32"/>
          <w:shd w:val="clear" w:color="auto" w:fill="FFFFFF"/>
        </w:rPr>
      </w:pPr>
      <w:r>
        <w:rPr>
          <w:rFonts w:eastAsia="微软雅黑"/>
          <w:color w:val="000000"/>
          <w:sz w:val="32"/>
          <w:szCs w:val="32"/>
          <w:shd w:val="clear" w:color="auto" w:fill="FFFFFF"/>
        </w:rPr>
        <w:t>4.</w:t>
      </w:r>
      <w:r>
        <w:rPr>
          <w:rFonts w:ascii="仿宋_GB2312" w:eastAsia="仿宋_GB2312" w:cs="仿宋_GB2312"/>
          <w:color w:val="000000"/>
          <w:sz w:val="32"/>
          <w:szCs w:val="32"/>
          <w:shd w:val="clear" w:color="auto" w:fill="FFFFFF"/>
        </w:rPr>
        <w:t>项目管理情况</w:t>
      </w:r>
    </w:p>
    <w:p w14:paraId="7A5F5A55">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项目由支队科技科负责管理，并不定时对电警运维情况进行抽查，及时监控电警运行情况，恢复故障电警设备。</w:t>
      </w:r>
    </w:p>
    <w:p w14:paraId="04CFA9F5">
      <w:pPr>
        <w:snapToGrid w:val="0"/>
        <w:spacing w:line="620" w:lineRule="exact"/>
        <w:ind w:firstLine="640" w:firstLineChars="200"/>
        <w:rPr>
          <w:rFonts w:eastAsia="仿宋_GB2312"/>
          <w:sz w:val="32"/>
          <w:szCs w:val="32"/>
        </w:rPr>
      </w:pPr>
      <w:r>
        <w:rPr>
          <w:rFonts w:hint="eastAsia" w:ascii="黑体" w:hAnsi="宋体" w:eastAsia="黑体" w:cs="黑体"/>
          <w:sz w:val="32"/>
          <w:szCs w:val="32"/>
        </w:rPr>
        <w:t>二、评价工作开展情况</w:t>
      </w:r>
    </w:p>
    <w:p w14:paraId="27564D81">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（一）绩效评价目的</w:t>
      </w:r>
    </w:p>
    <w:p w14:paraId="1AD10222">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p>
    <w:p w14:paraId="40956182">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（二）绩效评价过程</w:t>
      </w:r>
    </w:p>
    <w:p w14:paraId="0AB9CF37">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根据《遂宁市财政局关于开展2023年部门、项目、政策支出绩效自评工作的通知（遂财绩[2023]2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14:paraId="01311D6D">
      <w:pPr>
        <w:snapToGrid w:val="0"/>
        <w:spacing w:line="620" w:lineRule="exact"/>
        <w:ind w:firstLine="640" w:firstLineChars="200"/>
        <w:rPr>
          <w:rFonts w:eastAsia="黑体"/>
          <w:sz w:val="32"/>
          <w:szCs w:val="32"/>
        </w:rPr>
      </w:pPr>
      <w:r>
        <w:rPr>
          <w:rFonts w:hint="eastAsia" w:ascii="黑体" w:hAnsi="宋体" w:eastAsia="黑体" w:cs="黑体"/>
          <w:sz w:val="32"/>
          <w:szCs w:val="32"/>
        </w:rPr>
        <w:t>三、综合评价结论（附评分表）</w:t>
      </w:r>
    </w:p>
    <w:p w14:paraId="2C3589D7">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通过实施2022年度一期电子警察运行维护外包服务项目，提高了违法行为抓拍数据的有效率，</w:t>
      </w:r>
      <w:r>
        <w:rPr>
          <w:rFonts w:hint="eastAsia" w:ascii="仿宋_GB2312" w:eastAsia="仿宋_GB2312" w:cs="仿宋_GB2312"/>
          <w:color w:val="000000"/>
          <w:kern w:val="0"/>
          <w:sz w:val="32"/>
          <w:szCs w:val="32"/>
          <w:shd w:val="clear" w:color="auto" w:fill="FFFFFF"/>
          <w:lang w:eastAsia="zh-CN"/>
        </w:rPr>
        <w:t>能够更好地</w:t>
      </w:r>
      <w:r>
        <w:rPr>
          <w:rFonts w:ascii="仿宋_GB2312" w:eastAsia="仿宋_GB2312" w:cs="仿宋_GB2312"/>
          <w:color w:val="000000"/>
          <w:kern w:val="0"/>
          <w:sz w:val="32"/>
          <w:szCs w:val="32"/>
          <w:shd w:val="clear" w:color="auto" w:fill="FFFFFF"/>
        </w:rPr>
        <w:t>规范城市文明交通行为，有效降低了道路交通事故发生，营造文明和谐的道路交通环境。</w:t>
      </w:r>
    </w:p>
    <w:p w14:paraId="2FE4050E">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根据《</w:t>
      </w:r>
      <w:r>
        <w:rPr>
          <w:rFonts w:eastAsia="微软雅黑"/>
          <w:color w:val="000000"/>
          <w:kern w:val="0"/>
          <w:sz w:val="32"/>
          <w:szCs w:val="32"/>
          <w:shd w:val="clear" w:color="auto" w:fill="FFFFFF"/>
        </w:rPr>
        <w:t>2023</w:t>
      </w:r>
      <w:r>
        <w:rPr>
          <w:rFonts w:ascii="仿宋_GB2312" w:eastAsia="仿宋_GB2312" w:cs="仿宋_GB2312"/>
          <w:color w:val="000000"/>
          <w:kern w:val="0"/>
          <w:sz w:val="32"/>
          <w:szCs w:val="32"/>
          <w:shd w:val="clear" w:color="auto" w:fill="FFFFFF"/>
        </w:rPr>
        <w:t>年度实际项目支出绩效评价指标体系》，</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年度遂宁市公安局交警支队一期电子警察运行维护外包服务费用绩效评价综合得分为9</w:t>
      </w:r>
      <w:r>
        <w:rPr>
          <w:rFonts w:eastAsia="微软雅黑"/>
          <w:color w:val="000000"/>
          <w:kern w:val="0"/>
          <w:sz w:val="32"/>
          <w:szCs w:val="32"/>
          <w:shd w:val="clear" w:color="auto" w:fill="FFFFFF"/>
        </w:rPr>
        <w:t>4</w:t>
      </w:r>
      <w:r>
        <w:rPr>
          <w:rFonts w:ascii="仿宋_GB2312" w:eastAsia="仿宋_GB2312" w:cs="仿宋_GB2312"/>
          <w:color w:val="000000"/>
          <w:kern w:val="0"/>
          <w:sz w:val="32"/>
          <w:szCs w:val="32"/>
          <w:shd w:val="clear" w:color="auto" w:fill="FFFFFF"/>
        </w:rPr>
        <w:t>分。评价等级为</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优</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w:t>
      </w:r>
    </w:p>
    <w:p w14:paraId="5847628E">
      <w:pPr>
        <w:snapToGrid w:val="0"/>
        <w:spacing w:line="620" w:lineRule="exact"/>
        <w:ind w:firstLine="640" w:firstLineChars="200"/>
        <w:rPr>
          <w:rFonts w:eastAsia="黑体"/>
          <w:bCs/>
          <w:sz w:val="32"/>
          <w:szCs w:val="32"/>
        </w:rPr>
      </w:pPr>
      <w:r>
        <w:rPr>
          <w:rFonts w:hint="eastAsia" w:ascii="黑体" w:hAnsi="宋体" w:eastAsia="黑体" w:cs="黑体"/>
          <w:bCs/>
          <w:sz w:val="32"/>
          <w:szCs w:val="32"/>
        </w:rPr>
        <w:t>四、绩效评价分析</w:t>
      </w:r>
    </w:p>
    <w:p w14:paraId="196C9CF8">
      <w:pPr>
        <w:pStyle w:val="2"/>
        <w:keepNext w:val="0"/>
        <w:keepLines w:val="0"/>
        <w:widowControl/>
        <w:wordWrap w:val="0"/>
        <w:spacing w:line="480" w:lineRule="atLeast"/>
        <w:ind w:firstLine="511" w:firstLineChars="159"/>
        <w:rPr>
          <w:rFonts w:ascii="微软雅黑" w:hAnsi="微软雅黑" w:eastAsia="楷体_GB2312" w:cs="微软雅黑"/>
          <w:bCs w:val="0"/>
          <w:color w:val="307BBB"/>
          <w:kern w:val="0"/>
          <w:sz w:val="21"/>
          <w:szCs w:val="21"/>
        </w:rPr>
      </w:pPr>
      <w:r>
        <w:rPr>
          <w:rFonts w:ascii="楷体_GB2312" w:hAnsi="微软雅黑" w:eastAsia="楷体_GB2312" w:cs="楷体_GB2312"/>
          <w:bCs w:val="0"/>
          <w:color w:val="000000"/>
          <w:kern w:val="0"/>
          <w:shd w:val="clear" w:color="auto" w:fill="FFFFFF"/>
        </w:rPr>
        <w:t>（一）项目决策、管理情况</w:t>
      </w:r>
    </w:p>
    <w:p w14:paraId="3346E76E">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交警支队一期电子警察运行维护外包服务项目，提高了违法行为抓拍数据的有效率，</w:t>
      </w:r>
      <w:r>
        <w:rPr>
          <w:rFonts w:hint="eastAsia" w:ascii="仿宋_GB2312" w:eastAsia="仿宋_GB2312" w:cs="仿宋_GB2312"/>
          <w:color w:val="000000"/>
          <w:kern w:val="0"/>
          <w:sz w:val="32"/>
          <w:szCs w:val="32"/>
          <w:shd w:val="clear" w:color="auto" w:fill="FFFFFF"/>
          <w:lang w:eastAsia="zh-CN"/>
        </w:rPr>
        <w:t>能够更好地</w:t>
      </w:r>
      <w:r>
        <w:rPr>
          <w:rFonts w:ascii="仿宋_GB2312" w:eastAsia="仿宋_GB2312" w:cs="仿宋_GB2312"/>
          <w:color w:val="000000"/>
          <w:kern w:val="0"/>
          <w:sz w:val="32"/>
          <w:szCs w:val="32"/>
          <w:shd w:val="clear" w:color="auto" w:fill="FFFFFF"/>
        </w:rPr>
        <w:t>规范城市文明交通行为，有效降低了道路交通事故发生，营造文明和谐的道路交通环境。</w:t>
      </w:r>
    </w:p>
    <w:p w14:paraId="0B14B894">
      <w:pPr>
        <w:widowControl/>
        <w:wordWrap w:val="0"/>
        <w:spacing w:line="252" w:lineRule="atLeast"/>
        <w:ind w:firstLine="640"/>
        <w:rPr>
          <w:rFonts w:ascii="微软雅黑" w:hAnsi="微软雅黑" w:eastAsia="楷体_GB2312" w:cs="微软雅黑"/>
          <w:b/>
          <w:color w:val="307BBB"/>
          <w:szCs w:val="21"/>
        </w:rPr>
      </w:pPr>
      <w:r>
        <w:rPr>
          <w:rFonts w:ascii="楷体_GB2312" w:hAnsi="微软雅黑" w:eastAsia="楷体_GB2312" w:cs="楷体_GB2312"/>
          <w:b/>
          <w:color w:val="000000"/>
          <w:sz w:val="32"/>
          <w:szCs w:val="32"/>
          <w:shd w:val="clear" w:color="auto" w:fill="FFFFFF"/>
        </w:rPr>
        <w:t>（二）项目产出、效益情况</w:t>
      </w:r>
    </w:p>
    <w:p w14:paraId="48CDFC98">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民辅警积极开展公安交管工作，公众安全感指数增长率达到20%，重大活动突发事件下降率达到12%，群体性事件成功处置率达到90%。全市取得了发案下降、安全事故下降、破案率上升、群众安全感上升、满意度上升</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两下降三上升</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的好成绩。</w:t>
      </w:r>
    </w:p>
    <w:p w14:paraId="6B046BE1">
      <w:pPr>
        <w:snapToGrid w:val="0"/>
        <w:spacing w:line="620" w:lineRule="exact"/>
        <w:ind w:firstLine="640" w:firstLineChars="200"/>
        <w:rPr>
          <w:rFonts w:eastAsia="黑体"/>
          <w:sz w:val="32"/>
          <w:szCs w:val="32"/>
        </w:rPr>
      </w:pPr>
      <w:r>
        <w:rPr>
          <w:rFonts w:hint="eastAsia" w:ascii="黑体" w:hAnsi="宋体" w:eastAsia="黑体" w:cs="黑体"/>
          <w:sz w:val="32"/>
          <w:szCs w:val="32"/>
        </w:rPr>
        <w:t>五、存在主要问题</w:t>
      </w:r>
    </w:p>
    <w:p w14:paraId="0C94100F">
      <w:pPr>
        <w:ind w:firstLine="627" w:firstLineChars="196"/>
        <w:rPr>
          <w:rFonts w:ascii="仿宋_GB2312" w:hAnsi="宋体" w:eastAsia="仿宋_GB2312"/>
          <w:bCs/>
          <w:sz w:val="32"/>
          <w:szCs w:val="32"/>
        </w:rPr>
      </w:pPr>
      <w:r>
        <w:rPr>
          <w:rFonts w:ascii="仿宋_GB2312" w:hAnsi="宋体" w:eastAsia="仿宋_GB2312" w:cs="仿宋_GB2312"/>
          <w:bCs/>
          <w:sz w:val="32"/>
          <w:szCs w:val="32"/>
        </w:rPr>
        <w:t>电子警察一期于2005年投资建设，距今18年，设备老化严重，故障率高，设备部分性能不能满足目前交通管理的需要，例如视频像素等、夜间视频效果差等。</w:t>
      </w:r>
    </w:p>
    <w:p w14:paraId="4CB65189">
      <w:pPr>
        <w:snapToGrid w:val="0"/>
        <w:spacing w:line="620" w:lineRule="exact"/>
        <w:ind w:firstLine="640" w:firstLineChars="200"/>
        <w:rPr>
          <w:rFonts w:eastAsia="黑体"/>
          <w:sz w:val="32"/>
          <w:szCs w:val="32"/>
        </w:rPr>
      </w:pPr>
      <w:r>
        <w:rPr>
          <w:rFonts w:hint="eastAsia" w:ascii="黑体" w:hAnsi="宋体" w:eastAsia="黑体" w:cs="黑体"/>
          <w:sz w:val="32"/>
          <w:szCs w:val="32"/>
        </w:rPr>
        <w:t>六、相关措施建议</w:t>
      </w:r>
    </w:p>
    <w:p w14:paraId="2DE91745">
      <w:pPr>
        <w:widowControl/>
        <w:wordWrap w:val="0"/>
        <w:spacing w:line="252" w:lineRule="atLeast"/>
        <w:ind w:firstLine="640"/>
        <w:rPr>
          <w:rFonts w:eastAsia="仿宋_GB2312"/>
          <w:sz w:val="32"/>
          <w:szCs w:val="32"/>
        </w:rPr>
      </w:pPr>
      <w:r>
        <w:rPr>
          <w:rFonts w:ascii="仿宋_GB2312" w:hAnsi="宋体" w:eastAsia="仿宋_GB2312" w:cs="仿宋_GB2312"/>
          <w:sz w:val="32"/>
          <w:szCs w:val="32"/>
        </w:rPr>
        <w:t>为更好满足交通管理对交通监控设备的需求，以科技手段来科学的进行交通管理，建议改造、升级、更换老旧设备。</w:t>
      </w:r>
    </w:p>
    <w:p w14:paraId="17C865FB">
      <w:pPr>
        <w:pStyle w:val="5"/>
        <w:spacing w:before="93"/>
        <w:rPr>
          <w:rFonts w:ascii="仿宋" w:hAnsi="仿宋" w:eastAsia="仿宋" w:cs="仿宋"/>
          <w:color w:val="000000"/>
          <w:sz w:val="32"/>
          <w:szCs w:val="32"/>
          <w:shd w:val="clear" w:color="auto" w:fill="FFFFFF"/>
          <w:lang w:val="zh-CN"/>
        </w:rPr>
      </w:pPr>
    </w:p>
    <w:p w14:paraId="1F2E032E">
      <w:pPr>
        <w:pStyle w:val="5"/>
        <w:spacing w:before="93"/>
        <w:rPr>
          <w:rFonts w:ascii="仿宋" w:hAnsi="仿宋" w:eastAsia="仿宋" w:cs="仿宋"/>
          <w:color w:val="000000"/>
          <w:sz w:val="32"/>
          <w:szCs w:val="32"/>
          <w:shd w:val="clear" w:color="auto" w:fill="FFFFFF"/>
          <w:lang w:val="zh-CN"/>
        </w:rPr>
      </w:pPr>
    </w:p>
    <w:p w14:paraId="01D3D160">
      <w:pPr>
        <w:snapToGrid w:val="0"/>
        <w:spacing w:line="620" w:lineRule="exact"/>
        <w:jc w:val="center"/>
        <w:rPr>
          <w:rFonts w:ascii="宋体" w:hAnsi="宋体" w:cs="宋体"/>
          <w:b/>
          <w:bCs/>
          <w:sz w:val="44"/>
          <w:szCs w:val="44"/>
        </w:rPr>
      </w:pPr>
      <w:r>
        <w:rPr>
          <w:rFonts w:hint="eastAsia" w:ascii="宋体" w:hAnsi="宋体" w:cs="宋体"/>
          <w:b/>
          <w:bCs/>
          <w:sz w:val="44"/>
          <w:szCs w:val="44"/>
        </w:rPr>
        <w:t>部门预算项目支出绩效自评报告</w:t>
      </w:r>
    </w:p>
    <w:p w14:paraId="7CD5E996">
      <w:pPr>
        <w:snapToGrid w:val="0"/>
        <w:spacing w:line="620" w:lineRule="exact"/>
        <w:jc w:val="center"/>
        <w:rPr>
          <w:rFonts w:eastAsia="仿宋_GB2312"/>
          <w:sz w:val="32"/>
          <w:szCs w:val="32"/>
        </w:rPr>
      </w:pPr>
      <w:r>
        <w:rPr>
          <w:rFonts w:ascii="仿宋_GB2312" w:eastAsia="仿宋_GB2312" w:cs="仿宋_GB2312"/>
          <w:sz w:val="32"/>
          <w:szCs w:val="32"/>
        </w:rPr>
        <w:t>（二期电子警察建设费项目）</w:t>
      </w:r>
    </w:p>
    <w:p w14:paraId="0FE35786">
      <w:pPr>
        <w:spacing w:line="700" w:lineRule="exact"/>
        <w:ind w:firstLine="640" w:firstLineChars="200"/>
        <w:jc w:val="left"/>
        <w:rPr>
          <w:rFonts w:ascii="方正小标宋简体" w:hAnsi="宋体" w:eastAsia="方正小标宋简体" w:cs="黑体"/>
          <w:bCs/>
          <w:sz w:val="32"/>
          <w:szCs w:val="32"/>
        </w:rPr>
      </w:pPr>
      <w:r>
        <w:rPr>
          <w:rFonts w:ascii="仿宋_GB2312" w:eastAsia="仿宋_GB2312" w:cs="仿宋_GB2312"/>
          <w:color w:val="000000"/>
          <w:kern w:val="0"/>
          <w:sz w:val="32"/>
          <w:szCs w:val="32"/>
          <w:shd w:val="clear" w:color="auto" w:fill="FFFFFF"/>
        </w:rPr>
        <w:t>为了对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二期电子警察建设费专项资金使用、管理的科学性、合理性和效益性进行客观、公正的评价，规范警务辅助人员专项资金管理，提高资金使用效益，根据《遂宁市财政局关于开展2023年部门、项目、政策支出绩效自评工作的通知（遂财绩[2023]2号）文件精神，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年度遂宁市公安局交警支队二期电子警察建设费专项资金项目实施了绩效评价。现将项目绩效评价情况报告如下</w:t>
      </w:r>
      <w:r>
        <w:rPr>
          <w:rFonts w:hint="eastAsia" w:ascii="新宋体" w:hAnsi="新宋体" w:eastAsia="新宋体" w:cs="新宋体"/>
          <w:color w:val="000000"/>
          <w:kern w:val="0"/>
          <w:sz w:val="32"/>
          <w:szCs w:val="32"/>
          <w:shd w:val="clear" w:color="auto" w:fill="FFFFFF"/>
        </w:rPr>
        <w:t>：</w:t>
      </w:r>
    </w:p>
    <w:p w14:paraId="29B5E13F">
      <w:pPr>
        <w:snapToGrid w:val="0"/>
        <w:spacing w:line="620" w:lineRule="exact"/>
        <w:ind w:left="632"/>
        <w:jc w:val="left"/>
        <w:rPr>
          <w:rFonts w:eastAsia="黑体"/>
          <w:sz w:val="32"/>
          <w:szCs w:val="32"/>
        </w:rPr>
      </w:pPr>
      <w:r>
        <w:rPr>
          <w:rFonts w:hint="eastAsia" w:ascii="黑体" w:hAnsi="宋体" w:eastAsia="黑体" w:cs="黑体"/>
          <w:sz w:val="32"/>
          <w:szCs w:val="32"/>
        </w:rPr>
        <w:t>一、基本情况</w:t>
      </w:r>
    </w:p>
    <w:p w14:paraId="7B5D514E">
      <w:pPr>
        <w:ind w:firstLine="640" w:firstLineChars="200"/>
        <w:rPr>
          <w:rFonts w:ascii="仿宋_GB2312" w:hAnsi="仿宋" w:eastAsia="仿宋_GB2312" w:cs="仿宋"/>
          <w:color w:val="000000"/>
          <w:sz w:val="32"/>
          <w:szCs w:val="32"/>
        </w:rPr>
      </w:pPr>
      <w:r>
        <w:rPr>
          <w:rFonts w:ascii="仿宋_GB2312" w:eastAsia="仿宋_GB2312" w:cs="仿宋_GB2312"/>
          <w:color w:val="000000"/>
          <w:kern w:val="0"/>
          <w:sz w:val="32"/>
          <w:szCs w:val="32"/>
          <w:shd w:val="clear" w:color="auto" w:fill="FFFFFF"/>
        </w:rPr>
        <w:t>为了保障市城区道路畅通、交通秩序良好，</w:t>
      </w:r>
      <w:r>
        <w:rPr>
          <w:rFonts w:ascii="仿宋_GB2312" w:hAnsi="仿宋" w:eastAsia="仿宋_GB2312" w:cs="仿宋_GB2312"/>
          <w:color w:val="000000"/>
          <w:sz w:val="32"/>
          <w:szCs w:val="32"/>
        </w:rPr>
        <w:t>遂宁市城区二期电子警察建设工程-智能交通采购项目于2015年11月经市政府同意建设，后经方案设计、财政评审、招投标、验收等，验收合格后投入使用。</w:t>
      </w:r>
    </w:p>
    <w:p w14:paraId="1FF3165A">
      <w:pPr>
        <w:widowControl/>
        <w:numPr>
          <w:ilvl w:val="0"/>
          <w:numId w:val="6"/>
        </w:numPr>
        <w:wordWrap w:val="0"/>
        <w:spacing w:line="480" w:lineRule="atLeast"/>
        <w:jc w:val="left"/>
        <w:outlineLvl w:val="1"/>
        <w:rPr>
          <w:rFonts w:ascii="仿宋_GB2312" w:hAnsi="微软雅黑" w:eastAsia="仿宋_GB2312" w:cs="微软雅黑"/>
          <w:color w:val="307BBB"/>
          <w:kern w:val="0"/>
          <w:szCs w:val="21"/>
        </w:rPr>
      </w:pPr>
      <w:r>
        <w:rPr>
          <w:rFonts w:ascii="仿宋_GB2312" w:hAnsi="微软雅黑" w:eastAsia="仿宋_GB2312" w:cs="仿宋_GB2312"/>
          <w:b/>
          <w:color w:val="000000"/>
          <w:kern w:val="0"/>
          <w:sz w:val="32"/>
          <w:szCs w:val="32"/>
        </w:rPr>
        <w:t>项目绩效目标</w:t>
      </w:r>
    </w:p>
    <w:p w14:paraId="218702E9">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通过二期电子警察建设，提高了违法行为抓拍数据的有效率，</w:t>
      </w:r>
      <w:r>
        <w:rPr>
          <w:rFonts w:hint="eastAsia" w:ascii="仿宋_GB2312" w:eastAsia="仿宋_GB2312" w:cs="仿宋_GB2312"/>
          <w:color w:val="000000"/>
          <w:kern w:val="0"/>
          <w:sz w:val="32"/>
          <w:szCs w:val="32"/>
          <w:shd w:val="clear" w:color="auto" w:fill="FFFFFF"/>
          <w:lang w:eastAsia="zh-CN"/>
        </w:rPr>
        <w:t>能够更好地</w:t>
      </w:r>
      <w:r>
        <w:rPr>
          <w:rFonts w:ascii="仿宋_GB2312" w:eastAsia="仿宋_GB2312" w:cs="仿宋_GB2312"/>
          <w:color w:val="000000"/>
          <w:kern w:val="0"/>
          <w:sz w:val="32"/>
          <w:szCs w:val="32"/>
          <w:shd w:val="clear" w:color="auto" w:fill="FFFFFF"/>
        </w:rPr>
        <w:t>规范城市文明交通行为，有效降低了道路交通事故发生，营造文明和谐的道路交通环境。</w:t>
      </w:r>
    </w:p>
    <w:p w14:paraId="37141481">
      <w:pPr>
        <w:widowControl/>
        <w:numPr>
          <w:ilvl w:val="0"/>
          <w:numId w:val="6"/>
        </w:numPr>
        <w:wordWrap w:val="0"/>
        <w:spacing w:line="480" w:lineRule="atLeast"/>
        <w:jc w:val="left"/>
        <w:outlineLvl w:val="1"/>
        <w:rPr>
          <w:rFonts w:ascii="仿宋_GB2312" w:hAnsi="微软雅黑" w:eastAsia="仿宋_GB2312" w:cs="微软雅黑"/>
          <w:color w:val="307BBB"/>
          <w:kern w:val="0"/>
          <w:szCs w:val="21"/>
        </w:rPr>
      </w:pPr>
      <w:r>
        <w:rPr>
          <w:rFonts w:ascii="仿宋_GB2312" w:hAnsi="微软雅黑" w:eastAsia="仿宋_GB2312" w:cs="仿宋_GB2312"/>
          <w:b/>
          <w:color w:val="000000"/>
          <w:kern w:val="0"/>
          <w:sz w:val="32"/>
          <w:szCs w:val="32"/>
        </w:rPr>
        <w:t>专项资金的使用及管理情况</w:t>
      </w:r>
    </w:p>
    <w:p w14:paraId="00664CD8">
      <w:pPr>
        <w:widowControl/>
        <w:wordWrap w:val="0"/>
        <w:spacing w:line="252" w:lineRule="atLeast"/>
        <w:ind w:firstLine="640" w:firstLineChars="200"/>
        <w:rPr>
          <w:rFonts w:eastAsia="仿宋_GB2312"/>
          <w:sz w:val="32"/>
          <w:szCs w:val="32"/>
        </w:rPr>
      </w:pPr>
      <w:r>
        <w:rPr>
          <w:rFonts w:ascii="仿宋_GB2312" w:eastAsia="仿宋_GB2312" w:cs="仿宋_GB2312"/>
          <w:color w:val="000000"/>
          <w:kern w:val="0"/>
          <w:sz w:val="32"/>
          <w:szCs w:val="32"/>
          <w:shd w:val="clear" w:color="auto" w:fill="FFFFFF"/>
        </w:rPr>
        <w:t>1.专项资金安排、拨付情况</w:t>
      </w:r>
    </w:p>
    <w:p w14:paraId="131BEE7A">
      <w:pPr>
        <w:ind w:firstLine="640" w:firstLineChars="200"/>
        <w:rPr>
          <w:rFonts w:ascii="仿宋_GB2312" w:hAnsi="Calibri" w:eastAsia="仿宋_GB2312"/>
          <w:sz w:val="32"/>
          <w:szCs w:val="32"/>
        </w:rPr>
      </w:pPr>
      <w:r>
        <w:rPr>
          <w:rFonts w:ascii="仿宋_GB2312" w:hAnsi="Calibri" w:eastAsia="仿宋_GB2312" w:cs="仿宋_GB2312"/>
          <w:sz w:val="32"/>
          <w:szCs w:val="32"/>
        </w:rPr>
        <w:t>该项目建设内容包括闯红灯自动抓拍系统171套、违停抓拍系统20套、违反禁令标志、逆行抓拍系统37套、后端智能交通管控平台系统和存储、对上述建设内容进行10年运行维护，2022年度安排了专项资金497.51万元，2022年财政实际拨款497.51万元。</w:t>
      </w:r>
    </w:p>
    <w:p w14:paraId="140CE435">
      <w:pPr>
        <w:widowControl/>
        <w:wordWrap w:val="0"/>
        <w:spacing w:line="252" w:lineRule="atLeast"/>
        <w:ind w:firstLine="640" w:firstLineChars="200"/>
        <w:rPr>
          <w:rFonts w:eastAsia="仿宋_GB2312"/>
          <w:sz w:val="32"/>
          <w:szCs w:val="32"/>
        </w:rPr>
      </w:pPr>
      <w:r>
        <w:rPr>
          <w:rFonts w:ascii="仿宋_GB2312" w:eastAsia="仿宋_GB2312" w:cs="仿宋_GB2312"/>
          <w:color w:val="000000"/>
          <w:kern w:val="0"/>
          <w:sz w:val="32"/>
          <w:szCs w:val="32"/>
          <w:shd w:val="clear" w:color="auto" w:fill="FFFFFF"/>
        </w:rPr>
        <w:t>2.专项资金使用情况</w:t>
      </w:r>
    </w:p>
    <w:p w14:paraId="0F219E4E">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2022年度二期电子警察建设费用实际支出</w:t>
      </w:r>
      <w:r>
        <w:rPr>
          <w:rFonts w:ascii="仿宋_GB2312" w:hAnsi="Calibri" w:eastAsia="仿宋_GB2312" w:cs="仿宋_GB2312"/>
          <w:sz w:val="32"/>
          <w:szCs w:val="32"/>
        </w:rPr>
        <w:t>497.51</w:t>
      </w:r>
      <w:r>
        <w:rPr>
          <w:rFonts w:ascii="仿宋_GB2312" w:eastAsia="仿宋_GB2312" w:cs="仿宋_GB2312"/>
          <w:color w:val="000000"/>
          <w:kern w:val="0"/>
          <w:sz w:val="32"/>
          <w:szCs w:val="32"/>
          <w:shd w:val="clear" w:color="auto" w:fill="FFFFFF"/>
        </w:rPr>
        <w:t>万元。主要用于二期电子警察建设费用及运行维护支出。</w:t>
      </w:r>
    </w:p>
    <w:p w14:paraId="679E6BA0">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3.资金管理情况</w:t>
      </w:r>
    </w:p>
    <w:p w14:paraId="796C3EFC">
      <w:pPr>
        <w:widowControl/>
        <w:shd w:val="clear" w:color="auto" w:fill="FFFFFF"/>
        <w:wordWrap w:val="0"/>
        <w:spacing w:line="288" w:lineRule="atLeast"/>
        <w:ind w:firstLine="640"/>
        <w:jc w:val="left"/>
        <w:rPr>
          <w:rFonts w:ascii="宋体" w:hAnsi="宋体" w:cs="宋体"/>
          <w:kern w:val="0"/>
          <w:sz w:val="24"/>
          <w:shd w:val="clear" w:color="auto" w:fill="FFFFFF"/>
        </w:rPr>
      </w:pPr>
      <w:r>
        <w:rPr>
          <w:rFonts w:ascii="仿宋_GB2312" w:hAnsi="宋体" w:eastAsia="仿宋_GB2312" w:cs="仿宋_GB2312"/>
          <w:color w:val="000000"/>
          <w:kern w:val="0"/>
          <w:sz w:val="32"/>
          <w:szCs w:val="32"/>
          <w:shd w:val="clear" w:color="auto" w:fill="FFFFFF"/>
        </w:rPr>
        <w:t>每月对二期电子警察建设情况、运维情况进行考核，如外包服务公司未在规定时间内对电警故障进行维护，及时按照合同约定扣除费用后再进行支付建设、运维费。</w:t>
      </w:r>
    </w:p>
    <w:p w14:paraId="0EEC9B1A">
      <w:pPr>
        <w:widowControl/>
        <w:wordWrap w:val="0"/>
        <w:spacing w:line="252" w:lineRule="atLeast"/>
        <w:ind w:left="105" w:leftChars="50" w:firstLine="640" w:firstLineChars="200"/>
        <w:rPr>
          <w:rFonts w:ascii="仿宋_GB2312" w:eastAsia="仿宋_GB2312" w:cs="仿宋_GB2312"/>
          <w:color w:val="000000"/>
          <w:kern w:val="0"/>
          <w:sz w:val="32"/>
          <w:szCs w:val="32"/>
          <w:shd w:val="clear" w:color="auto" w:fill="FFFFFF"/>
        </w:rPr>
      </w:pPr>
      <w:r>
        <w:rPr>
          <w:rFonts w:eastAsia="微软雅黑"/>
          <w:color w:val="000000"/>
          <w:kern w:val="0"/>
          <w:sz w:val="32"/>
          <w:szCs w:val="32"/>
          <w:shd w:val="clear" w:color="auto" w:fill="FFFFFF"/>
        </w:rPr>
        <w:t>4.</w:t>
      </w:r>
      <w:r>
        <w:rPr>
          <w:rFonts w:ascii="仿宋_GB2312" w:eastAsia="仿宋_GB2312" w:cs="仿宋_GB2312"/>
          <w:color w:val="000000"/>
          <w:kern w:val="0"/>
          <w:sz w:val="32"/>
          <w:szCs w:val="32"/>
          <w:shd w:val="clear" w:color="auto" w:fill="FFFFFF"/>
        </w:rPr>
        <w:t>项目管理情况</w:t>
      </w:r>
    </w:p>
    <w:p w14:paraId="51CD67E7">
      <w:pPr>
        <w:widowControl/>
        <w:wordWrap w:val="0"/>
        <w:spacing w:line="252" w:lineRule="atLeast"/>
        <w:ind w:firstLine="640"/>
        <w:rPr>
          <w:rFonts w:ascii="仿宋_GB2312" w:hAnsi="Calibri" w:eastAsia="仿宋_GB2312" w:cs="仿宋_GB2312"/>
          <w:color w:val="000000"/>
          <w:kern w:val="0"/>
          <w:sz w:val="32"/>
          <w:szCs w:val="32"/>
          <w:shd w:val="clear" w:color="auto" w:fill="FFFFFF"/>
        </w:rPr>
      </w:pPr>
      <w:r>
        <w:rPr>
          <w:rFonts w:ascii="仿宋_GB2312" w:hAnsi="Calibri" w:eastAsia="仿宋_GB2312" w:cs="仿宋_GB2312"/>
          <w:color w:val="000000"/>
          <w:kern w:val="0"/>
          <w:sz w:val="32"/>
          <w:szCs w:val="32"/>
          <w:shd w:val="clear" w:color="auto" w:fill="FFFFFF"/>
        </w:rPr>
        <w:t>项目由支队科技科负责管理，并不定时对电警运维情况进行抽查，及时监控电警建设、运行情况，恢复故障电警设备。</w:t>
      </w:r>
    </w:p>
    <w:p w14:paraId="775E9210">
      <w:pPr>
        <w:snapToGrid w:val="0"/>
        <w:spacing w:line="620" w:lineRule="exact"/>
        <w:ind w:firstLine="640" w:firstLineChars="200"/>
        <w:rPr>
          <w:rFonts w:eastAsia="仿宋_GB2312"/>
          <w:sz w:val="32"/>
          <w:szCs w:val="32"/>
        </w:rPr>
      </w:pPr>
      <w:r>
        <w:rPr>
          <w:rFonts w:hint="eastAsia" w:ascii="黑体" w:hAnsi="宋体" w:eastAsia="黑体" w:cs="黑体"/>
          <w:sz w:val="32"/>
          <w:szCs w:val="32"/>
        </w:rPr>
        <w:t>二、评价工作开展情况</w:t>
      </w:r>
    </w:p>
    <w:p w14:paraId="1FE960A6">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（一）绩效评价目的</w:t>
      </w:r>
    </w:p>
    <w:p w14:paraId="1A954148">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p>
    <w:p w14:paraId="08A217FC">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（二）绩效评价过程</w:t>
      </w:r>
    </w:p>
    <w:p w14:paraId="389BFA11">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根据《遂宁市财政局关于开展2023年部门、项目、政策支出绩效自评工作的通知（遂财绩[2023]2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14:paraId="3B32CD90">
      <w:pPr>
        <w:snapToGrid w:val="0"/>
        <w:spacing w:line="620" w:lineRule="exact"/>
        <w:ind w:firstLine="640" w:firstLineChars="200"/>
        <w:rPr>
          <w:rFonts w:eastAsia="黑体"/>
          <w:sz w:val="32"/>
          <w:szCs w:val="32"/>
        </w:rPr>
      </w:pPr>
      <w:r>
        <w:rPr>
          <w:rFonts w:hint="eastAsia" w:ascii="黑体" w:hAnsi="宋体" w:eastAsia="黑体" w:cs="黑体"/>
          <w:sz w:val="32"/>
          <w:szCs w:val="32"/>
        </w:rPr>
        <w:t>三、综合评价结论（附评分表）</w:t>
      </w:r>
    </w:p>
    <w:p w14:paraId="7D14321F">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通过实施2022年度二期电子警察建设，提高了违法行为抓拍数据的有效率，</w:t>
      </w:r>
      <w:r>
        <w:rPr>
          <w:rFonts w:hint="eastAsia" w:ascii="仿宋_GB2312" w:eastAsia="仿宋_GB2312" w:cs="仿宋_GB2312"/>
          <w:color w:val="000000"/>
          <w:kern w:val="0"/>
          <w:sz w:val="32"/>
          <w:szCs w:val="32"/>
          <w:shd w:val="clear" w:color="auto" w:fill="FFFFFF"/>
          <w:lang w:eastAsia="zh-CN"/>
        </w:rPr>
        <w:t>能够更好地</w:t>
      </w:r>
      <w:r>
        <w:rPr>
          <w:rFonts w:ascii="仿宋_GB2312" w:eastAsia="仿宋_GB2312" w:cs="仿宋_GB2312"/>
          <w:color w:val="000000"/>
          <w:kern w:val="0"/>
          <w:sz w:val="32"/>
          <w:szCs w:val="32"/>
          <w:shd w:val="clear" w:color="auto" w:fill="FFFFFF"/>
        </w:rPr>
        <w:t>规范城市文明交通行为，有效降低了道路交通事故发生，营造文明和谐的道路交通环境。</w:t>
      </w:r>
    </w:p>
    <w:p w14:paraId="0CADEAC6">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根据《</w:t>
      </w:r>
      <w:r>
        <w:rPr>
          <w:rFonts w:eastAsia="微软雅黑"/>
          <w:color w:val="000000"/>
          <w:kern w:val="0"/>
          <w:sz w:val="32"/>
          <w:szCs w:val="32"/>
          <w:shd w:val="clear" w:color="auto" w:fill="FFFFFF"/>
        </w:rPr>
        <w:t>2023</w:t>
      </w:r>
      <w:r>
        <w:rPr>
          <w:rFonts w:ascii="仿宋_GB2312" w:eastAsia="仿宋_GB2312" w:cs="仿宋_GB2312"/>
          <w:color w:val="000000"/>
          <w:kern w:val="0"/>
          <w:sz w:val="32"/>
          <w:szCs w:val="32"/>
          <w:shd w:val="clear" w:color="auto" w:fill="FFFFFF"/>
        </w:rPr>
        <w:t>年度实际项目支出绩效评价指标体系》，</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年度遂宁市公安局交警支队二期电子警察建设费用绩效评价综合得分为</w:t>
      </w:r>
      <w:r>
        <w:rPr>
          <w:rFonts w:eastAsia="微软雅黑"/>
          <w:color w:val="000000"/>
          <w:kern w:val="0"/>
          <w:sz w:val="32"/>
          <w:szCs w:val="32"/>
          <w:shd w:val="clear" w:color="auto" w:fill="FFFFFF"/>
        </w:rPr>
        <w:t>95</w:t>
      </w:r>
      <w:r>
        <w:rPr>
          <w:rFonts w:ascii="仿宋_GB2312" w:eastAsia="仿宋_GB2312" w:cs="仿宋_GB2312"/>
          <w:color w:val="000000"/>
          <w:kern w:val="0"/>
          <w:sz w:val="32"/>
          <w:szCs w:val="32"/>
          <w:shd w:val="clear" w:color="auto" w:fill="FFFFFF"/>
        </w:rPr>
        <w:t>分。评价等级为</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优</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w:t>
      </w:r>
    </w:p>
    <w:p w14:paraId="447C4D1B">
      <w:pPr>
        <w:snapToGrid w:val="0"/>
        <w:spacing w:line="620" w:lineRule="exact"/>
        <w:ind w:firstLine="640" w:firstLineChars="200"/>
        <w:rPr>
          <w:rFonts w:eastAsia="黑体"/>
          <w:bCs/>
          <w:sz w:val="32"/>
          <w:szCs w:val="32"/>
        </w:rPr>
      </w:pPr>
      <w:r>
        <w:rPr>
          <w:rFonts w:hint="eastAsia" w:ascii="黑体" w:hAnsi="宋体" w:eastAsia="黑体" w:cs="黑体"/>
          <w:bCs/>
          <w:sz w:val="32"/>
          <w:szCs w:val="32"/>
        </w:rPr>
        <w:t>四、绩效评价分析</w:t>
      </w:r>
    </w:p>
    <w:p w14:paraId="68923079">
      <w:pPr>
        <w:pStyle w:val="2"/>
        <w:keepNext w:val="0"/>
        <w:keepLines w:val="0"/>
        <w:widowControl/>
        <w:wordWrap w:val="0"/>
        <w:spacing w:line="480" w:lineRule="atLeast"/>
        <w:ind w:firstLine="511" w:firstLineChars="159"/>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（一）项目决策、管理情况</w:t>
      </w:r>
    </w:p>
    <w:p w14:paraId="13C900F0">
      <w:pPr>
        <w:widowControl/>
        <w:wordWrap w:val="0"/>
        <w:spacing w:line="252"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交警支队一期电子警察运行维护外包服务项目，提高了违法行为抓拍数据的有效率，</w:t>
      </w:r>
      <w:r>
        <w:rPr>
          <w:rFonts w:hint="eastAsia" w:ascii="仿宋_GB2312" w:eastAsia="仿宋_GB2312" w:cs="仿宋_GB2312"/>
          <w:color w:val="000000"/>
          <w:kern w:val="0"/>
          <w:sz w:val="32"/>
          <w:szCs w:val="32"/>
          <w:shd w:val="clear" w:color="auto" w:fill="FFFFFF"/>
          <w:lang w:eastAsia="zh-CN"/>
        </w:rPr>
        <w:t>能够更好地</w:t>
      </w:r>
      <w:r>
        <w:rPr>
          <w:rFonts w:ascii="仿宋_GB2312" w:eastAsia="仿宋_GB2312" w:cs="仿宋_GB2312"/>
          <w:color w:val="000000"/>
          <w:kern w:val="0"/>
          <w:sz w:val="32"/>
          <w:szCs w:val="32"/>
          <w:shd w:val="clear" w:color="auto" w:fill="FFFFFF"/>
        </w:rPr>
        <w:t>规范城市文明交通行为，有效降低了道路交通事故发生，营造文明和谐的道路交通环境。</w:t>
      </w:r>
    </w:p>
    <w:p w14:paraId="62D806AC">
      <w:pPr>
        <w:widowControl/>
        <w:wordWrap w:val="0"/>
        <w:spacing w:line="252" w:lineRule="atLeast"/>
        <w:ind w:firstLine="640"/>
        <w:rPr>
          <w:rFonts w:ascii="微软雅黑" w:hAnsi="微软雅黑" w:eastAsia="楷体_GB2312" w:cs="微软雅黑"/>
          <w:b/>
          <w:color w:val="307BBB"/>
          <w:szCs w:val="21"/>
        </w:rPr>
      </w:pPr>
      <w:r>
        <w:rPr>
          <w:rFonts w:ascii="楷体_GB2312" w:hAnsi="微软雅黑" w:eastAsia="楷体_GB2312" w:cs="楷体_GB2312"/>
          <w:color w:val="000000"/>
          <w:sz w:val="32"/>
          <w:szCs w:val="32"/>
          <w:shd w:val="clear" w:color="auto" w:fill="FFFFFF"/>
        </w:rPr>
        <w:t>（二）项目产出、效益情况</w:t>
      </w:r>
    </w:p>
    <w:p w14:paraId="37F16A3C">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民辅警积极开展公安交管工作，公众安全感指数增长率达到20%，重大活动突发事件下降率达到12%，群体性事件成功处置率达到90%。全市取得了发案下降、安全事故下降、破案率上升、群众安全感上升、满意度上升</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两下降三上升</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的好成绩。</w:t>
      </w:r>
    </w:p>
    <w:p w14:paraId="0E3963B4">
      <w:pPr>
        <w:snapToGrid w:val="0"/>
        <w:spacing w:line="620" w:lineRule="exact"/>
        <w:ind w:firstLine="640" w:firstLineChars="200"/>
        <w:rPr>
          <w:rFonts w:eastAsia="黑体"/>
          <w:sz w:val="32"/>
          <w:szCs w:val="32"/>
        </w:rPr>
      </w:pPr>
      <w:r>
        <w:rPr>
          <w:rFonts w:hint="eastAsia" w:ascii="黑体" w:hAnsi="宋体" w:eastAsia="黑体" w:cs="黑体"/>
          <w:sz w:val="32"/>
          <w:szCs w:val="32"/>
        </w:rPr>
        <w:t>五、存在主要问题</w:t>
      </w:r>
    </w:p>
    <w:p w14:paraId="275A5077">
      <w:pPr>
        <w:ind w:firstLine="640" w:firstLineChars="200"/>
        <w:rPr>
          <w:rFonts w:ascii="仿宋_GB2312" w:eastAsia="仿宋_GB2312"/>
          <w:bCs/>
          <w:sz w:val="32"/>
          <w:szCs w:val="32"/>
        </w:rPr>
      </w:pPr>
      <w:r>
        <w:rPr>
          <w:rFonts w:ascii="仿宋_GB2312" w:eastAsia="仿宋_GB2312" w:cs="仿宋_GB2312"/>
          <w:sz w:val="32"/>
          <w:szCs w:val="32"/>
        </w:rPr>
        <w:t>电子警察二期于2015年建设，已使用6年，设备智能化低，无二次识别功能，不能完全发挥出卡口图片、监控视频在交通管理、案件办理中的</w:t>
      </w:r>
      <w:r>
        <w:rPr>
          <w:rFonts w:ascii="仿宋_GB2312" w:eastAsia="仿宋_GB2312" w:cs="仿宋_GB2312"/>
          <w:bCs/>
          <w:sz w:val="32"/>
          <w:szCs w:val="32"/>
        </w:rPr>
        <w:t>强大作用。</w:t>
      </w:r>
    </w:p>
    <w:p w14:paraId="28293895">
      <w:pPr>
        <w:snapToGrid w:val="0"/>
        <w:spacing w:line="620" w:lineRule="exact"/>
        <w:ind w:firstLine="640" w:firstLineChars="200"/>
        <w:rPr>
          <w:rFonts w:eastAsia="黑体"/>
          <w:sz w:val="32"/>
          <w:szCs w:val="32"/>
        </w:rPr>
      </w:pPr>
      <w:r>
        <w:rPr>
          <w:rFonts w:hint="eastAsia" w:ascii="黑体" w:hAnsi="宋体" w:eastAsia="黑体" w:cs="黑体"/>
          <w:sz w:val="32"/>
          <w:szCs w:val="32"/>
        </w:rPr>
        <w:t>六、相关措施建议</w:t>
      </w:r>
    </w:p>
    <w:p w14:paraId="18C7607F">
      <w:pPr>
        <w:ind w:firstLine="640" w:firstLineChars="200"/>
        <w:rPr>
          <w:rFonts w:ascii="仿宋_GB2312" w:eastAsia="仿宋_GB2312"/>
          <w:bCs/>
          <w:sz w:val="32"/>
          <w:szCs w:val="32"/>
        </w:rPr>
      </w:pPr>
      <w:r>
        <w:rPr>
          <w:rFonts w:ascii="仿宋_GB2312" w:eastAsia="仿宋_GB2312" w:cs="仿宋_GB2312"/>
          <w:bCs/>
          <w:sz w:val="32"/>
          <w:szCs w:val="32"/>
        </w:rPr>
        <w:t>对电子警察进行升级，增加二次识别、数据分析等功能，发挥出交通监控设备在交通管理、案件办理等方面的强大支撑作用。</w:t>
      </w:r>
    </w:p>
    <w:p w14:paraId="072F4F3F">
      <w:pPr>
        <w:pStyle w:val="5"/>
        <w:spacing w:before="93"/>
        <w:rPr>
          <w:rFonts w:ascii="仿宋" w:hAnsi="仿宋" w:eastAsia="仿宋" w:cs="仿宋"/>
          <w:color w:val="000000"/>
          <w:sz w:val="32"/>
          <w:szCs w:val="32"/>
          <w:shd w:val="clear" w:color="auto" w:fill="FFFFFF"/>
          <w:lang w:val="zh-CN"/>
        </w:rPr>
      </w:pPr>
    </w:p>
    <w:tbl>
      <w:tblPr>
        <w:tblStyle w:val="13"/>
        <w:tblW w:w="8570" w:type="dxa"/>
        <w:tblInd w:w="98" w:type="dxa"/>
        <w:tblLayout w:type="autofit"/>
        <w:tblCellMar>
          <w:top w:w="0" w:type="dxa"/>
          <w:left w:w="108" w:type="dxa"/>
          <w:bottom w:w="0" w:type="dxa"/>
          <w:right w:w="108" w:type="dxa"/>
        </w:tblCellMar>
      </w:tblPr>
      <w:tblGrid>
        <w:gridCol w:w="626"/>
        <w:gridCol w:w="1026"/>
        <w:gridCol w:w="927"/>
        <w:gridCol w:w="1345"/>
        <w:gridCol w:w="476"/>
        <w:gridCol w:w="886"/>
        <w:gridCol w:w="476"/>
        <w:gridCol w:w="999"/>
        <w:gridCol w:w="486"/>
        <w:gridCol w:w="418"/>
        <w:gridCol w:w="905"/>
      </w:tblGrid>
      <w:tr w14:paraId="0898165F">
        <w:tblPrEx>
          <w:tblCellMar>
            <w:top w:w="0" w:type="dxa"/>
            <w:left w:w="108" w:type="dxa"/>
            <w:bottom w:w="0" w:type="dxa"/>
            <w:right w:w="108" w:type="dxa"/>
          </w:tblCellMar>
        </w:tblPrEx>
        <w:trPr>
          <w:trHeight w:val="904" w:hRule="atLeast"/>
        </w:trPr>
        <w:tc>
          <w:tcPr>
            <w:tcW w:w="85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F11D14">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14:paraId="0A51956F">
        <w:tblPrEx>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85DA6">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484DF5">
            <w:pPr>
              <w:widowControl/>
              <w:jc w:val="left"/>
              <w:textAlignment w:val="center"/>
              <w:rPr>
                <w:rFonts w:ascii="宋体" w:hAnsi="宋体" w:cs="宋体"/>
                <w:color w:val="000000"/>
                <w:sz w:val="18"/>
                <w:szCs w:val="18"/>
              </w:rPr>
            </w:pPr>
            <w:r>
              <w:rPr>
                <w:rFonts w:ascii="宋体" w:hAnsi="宋体" w:cs="宋体"/>
                <w:color w:val="000000"/>
                <w:kern w:val="0"/>
                <w:sz w:val="18"/>
                <w:szCs w:val="18"/>
              </w:rPr>
              <w:t>51090022T000007271300-一期电子警察运维和二期电子警察建设工程项目</w:t>
            </w:r>
          </w:p>
        </w:tc>
      </w:tr>
      <w:tr w14:paraId="5BF63EDA">
        <w:tblPrEx>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1E8A5">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25351">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遂宁市公安局部门</w:t>
            </w:r>
          </w:p>
        </w:tc>
        <w:tc>
          <w:tcPr>
            <w:tcW w:w="1000" w:type="dxa"/>
            <w:tcBorders>
              <w:top w:val="nil"/>
              <w:left w:val="nil"/>
              <w:bottom w:val="nil"/>
              <w:right w:val="nil"/>
            </w:tcBorders>
            <w:shd w:val="clear" w:color="auto" w:fill="auto"/>
            <w:vAlign w:val="center"/>
          </w:tcPr>
          <w:p w14:paraId="18551C4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CA584">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遂宁市公安局交通警察支队</w:t>
            </w:r>
          </w:p>
        </w:tc>
      </w:tr>
      <w:tr w14:paraId="65C4AC1B">
        <w:tblPrEx>
          <w:tblCellMar>
            <w:top w:w="0" w:type="dxa"/>
            <w:left w:w="108" w:type="dxa"/>
            <w:bottom w:w="0" w:type="dxa"/>
            <w:right w:w="108" w:type="dxa"/>
          </w:tblCellMar>
        </w:tblPrEx>
        <w:trPr>
          <w:trHeight w:val="286"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679B1">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ADB19">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6B4FF">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8398F6">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0CA2018D">
        <w:tblPrEx>
          <w:tblCellMar>
            <w:top w:w="0" w:type="dxa"/>
            <w:left w:w="108" w:type="dxa"/>
            <w:bottom w:w="0" w:type="dxa"/>
            <w:right w:w="108" w:type="dxa"/>
          </w:tblCellMar>
        </w:tblPrEx>
        <w:trPr>
          <w:trHeight w:val="708"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6061E">
            <w:pP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569F">
            <w:pPr>
              <w:rPr>
                <w:rFonts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84796D">
            <w:pPr>
              <w:rPr>
                <w:rFonts w:ascii="宋体" w:hAnsi="宋体" w:cs="宋体"/>
                <w:color w:val="000000"/>
                <w:sz w:val="18"/>
                <w:szCs w:val="18"/>
              </w:rPr>
            </w:pP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2705C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对照年度目标，说明相关任务目标的完成情况（100字以内）</w:t>
            </w:r>
          </w:p>
        </w:tc>
      </w:tr>
      <w:tr w14:paraId="41BACB5F">
        <w:tblPrEx>
          <w:tblCellMar>
            <w:top w:w="0" w:type="dxa"/>
            <w:left w:w="108" w:type="dxa"/>
            <w:bottom w:w="0" w:type="dxa"/>
            <w:right w:w="108" w:type="dxa"/>
          </w:tblCellMar>
        </w:tblPrEx>
        <w:trPr>
          <w:trHeight w:val="693"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F87F">
            <w:pP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30EE">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165230">
            <w:pPr>
              <w:rPr>
                <w:rFonts w:ascii="宋体" w:hAnsi="宋体" w:cs="宋体"/>
                <w:color w:val="000000"/>
                <w:sz w:val="18"/>
                <w:szCs w:val="18"/>
              </w:rPr>
            </w:pPr>
          </w:p>
        </w:tc>
      </w:tr>
      <w:tr w14:paraId="4A2C7502">
        <w:tblPrEx>
          <w:tblCellMar>
            <w:top w:w="0" w:type="dxa"/>
            <w:left w:w="108" w:type="dxa"/>
            <w:bottom w:w="0" w:type="dxa"/>
            <w:right w:w="108" w:type="dxa"/>
          </w:tblCellMar>
        </w:tblPrEx>
        <w:trPr>
          <w:trHeight w:val="361"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5176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07B5">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F36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B29E">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5AC63">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1306">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A1C0">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D1DD">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697B">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0C7A50EE">
        <w:tblPrEx>
          <w:tblCellMar>
            <w:top w:w="0" w:type="dxa"/>
            <w:left w:w="108" w:type="dxa"/>
            <w:bottom w:w="0" w:type="dxa"/>
            <w:right w:w="108" w:type="dxa"/>
          </w:tblCellMar>
        </w:tblPrEx>
        <w:trPr>
          <w:trHeight w:val="38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C216">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8D96">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C58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DCF5">
            <w:pPr>
              <w:widowControl/>
              <w:jc w:val="center"/>
              <w:textAlignment w:val="center"/>
              <w:rPr>
                <w:rFonts w:ascii="宋体" w:hAnsi="宋体" w:cs="宋体"/>
                <w:color w:val="000000"/>
                <w:sz w:val="18"/>
                <w:szCs w:val="18"/>
              </w:rPr>
            </w:pPr>
            <w:r>
              <w:rPr>
                <w:rFonts w:ascii="宋体" w:hAnsi="宋体" w:cs="宋体"/>
                <w:color w:val="000000"/>
                <w:kern w:val="0"/>
                <w:sz w:val="18"/>
                <w:szCs w:val="18"/>
              </w:rPr>
              <w:t>674.00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AAD75">
            <w:pPr>
              <w:widowControl/>
              <w:jc w:val="center"/>
              <w:textAlignment w:val="center"/>
              <w:rPr>
                <w:rFonts w:ascii="宋体" w:hAnsi="宋体" w:cs="宋体"/>
                <w:color w:val="000000"/>
                <w:sz w:val="18"/>
                <w:szCs w:val="18"/>
              </w:rPr>
            </w:pPr>
            <w:r>
              <w:rPr>
                <w:rFonts w:ascii="宋体" w:hAnsi="宋体" w:cs="宋体"/>
                <w:color w:val="000000"/>
                <w:kern w:val="0"/>
                <w:sz w:val="18"/>
                <w:szCs w:val="18"/>
              </w:rPr>
              <w:t>674.00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3D6C">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A54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DB9C">
            <w:pPr>
              <w:jc w:val="center"/>
              <w:rPr>
                <w:rFonts w:ascii="宋体" w:hAnsi="宋体" w:cs="宋体"/>
                <w:color w:val="000000"/>
                <w:sz w:val="18"/>
                <w:szCs w:val="18"/>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EE0A0">
            <w:pPr>
              <w:rPr>
                <w:rFonts w:ascii="黑体" w:hAnsi="黑体" w:eastAsia="黑体" w:cs="黑体"/>
                <w:i/>
                <w:iCs/>
                <w:color w:val="000000"/>
                <w:sz w:val="18"/>
                <w:szCs w:val="18"/>
              </w:rPr>
            </w:pPr>
          </w:p>
        </w:tc>
      </w:tr>
      <w:tr w14:paraId="7A60316C">
        <w:tblPrEx>
          <w:tblCellMar>
            <w:top w:w="0" w:type="dxa"/>
            <w:left w:w="108" w:type="dxa"/>
            <w:bottom w:w="0" w:type="dxa"/>
            <w:right w:w="108" w:type="dxa"/>
          </w:tblCellMar>
        </w:tblPrEx>
        <w:trPr>
          <w:trHeight w:val="43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862D">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E25B">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31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4298">
            <w:pPr>
              <w:widowControl/>
              <w:jc w:val="center"/>
              <w:textAlignment w:val="center"/>
              <w:rPr>
                <w:rFonts w:ascii="宋体" w:hAnsi="宋体" w:cs="宋体"/>
                <w:color w:val="000000"/>
                <w:sz w:val="18"/>
                <w:szCs w:val="18"/>
              </w:rPr>
            </w:pPr>
            <w:r>
              <w:rPr>
                <w:rFonts w:ascii="宋体" w:hAnsi="宋体" w:cs="宋体"/>
                <w:color w:val="000000"/>
                <w:kern w:val="0"/>
                <w:sz w:val="18"/>
                <w:szCs w:val="18"/>
              </w:rPr>
              <w:t>674.00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2E649">
            <w:pPr>
              <w:widowControl/>
              <w:jc w:val="center"/>
              <w:textAlignment w:val="center"/>
              <w:rPr>
                <w:rFonts w:ascii="宋体" w:hAnsi="宋体" w:cs="宋体"/>
                <w:color w:val="000000"/>
                <w:sz w:val="18"/>
                <w:szCs w:val="18"/>
              </w:rPr>
            </w:pPr>
            <w:r>
              <w:rPr>
                <w:rFonts w:ascii="宋体" w:hAnsi="宋体" w:cs="宋体"/>
                <w:color w:val="000000"/>
                <w:kern w:val="0"/>
                <w:sz w:val="18"/>
                <w:szCs w:val="18"/>
              </w:rPr>
              <w:t>674.00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5AD0">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59B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132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BCA7">
            <w:pPr>
              <w:rPr>
                <w:rFonts w:ascii="黑体" w:hAnsi="黑体" w:eastAsia="黑体" w:cs="黑体"/>
                <w:i/>
                <w:iCs/>
                <w:color w:val="000000"/>
                <w:sz w:val="18"/>
                <w:szCs w:val="18"/>
              </w:rPr>
            </w:pPr>
          </w:p>
        </w:tc>
      </w:tr>
      <w:tr w14:paraId="55EB96D5">
        <w:tblPrEx>
          <w:tblCellMar>
            <w:top w:w="0" w:type="dxa"/>
            <w:left w:w="108" w:type="dxa"/>
            <w:bottom w:w="0" w:type="dxa"/>
            <w:right w:w="108" w:type="dxa"/>
          </w:tblCellMar>
        </w:tblPrEx>
        <w:trPr>
          <w:trHeight w:val="44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70EA">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3D8F">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0CC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0E2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5430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CF4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E5F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A72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FB46">
            <w:pPr>
              <w:rPr>
                <w:rFonts w:ascii="黑体" w:hAnsi="黑体" w:eastAsia="黑体" w:cs="黑体"/>
                <w:i/>
                <w:iCs/>
                <w:color w:val="000000"/>
                <w:sz w:val="18"/>
                <w:szCs w:val="18"/>
              </w:rPr>
            </w:pPr>
          </w:p>
        </w:tc>
      </w:tr>
      <w:tr w14:paraId="283E09F7">
        <w:tblPrEx>
          <w:tblCellMar>
            <w:top w:w="0" w:type="dxa"/>
            <w:left w:w="108" w:type="dxa"/>
            <w:bottom w:w="0" w:type="dxa"/>
            <w:right w:w="108" w:type="dxa"/>
          </w:tblCellMar>
        </w:tblPrEx>
        <w:trPr>
          <w:trHeight w:val="40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FB79">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F427">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3D7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BCA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484F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3DF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5A9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848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F562">
            <w:pPr>
              <w:rPr>
                <w:rFonts w:ascii="黑体" w:hAnsi="黑体" w:eastAsia="黑体" w:cs="黑体"/>
                <w:i/>
                <w:iCs/>
                <w:color w:val="000000"/>
                <w:sz w:val="18"/>
                <w:szCs w:val="18"/>
              </w:rPr>
            </w:pPr>
          </w:p>
        </w:tc>
      </w:tr>
      <w:tr w14:paraId="5575A4E1">
        <w:tblPrEx>
          <w:tblCellMar>
            <w:top w:w="0" w:type="dxa"/>
            <w:left w:w="108" w:type="dxa"/>
            <w:bottom w:w="0" w:type="dxa"/>
            <w:right w:w="108" w:type="dxa"/>
          </w:tblCellMar>
        </w:tblPrEx>
        <w:trPr>
          <w:trHeight w:val="37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6E9C">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E75A">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A0A6">
            <w:pPr>
              <w:jc w:val="center"/>
              <w:rPr>
                <w:rFonts w:ascii="微软雅黑" w:hAnsi="微软雅黑" w:eastAsia="微软雅黑" w:cs="微软雅黑"/>
                <w:i/>
                <w:iCs/>
                <w:color w:val="000000"/>
                <w:sz w:val="16"/>
                <w:szCs w:val="16"/>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52FF">
            <w:pPr>
              <w:jc w:val="center"/>
              <w:rPr>
                <w:rFonts w:ascii="微软雅黑" w:hAnsi="微软雅黑" w:eastAsia="微软雅黑" w:cs="微软雅黑"/>
                <w:i/>
                <w:iCs/>
                <w:color w:val="000000"/>
                <w:sz w:val="16"/>
                <w:szCs w:val="16"/>
              </w:rPr>
            </w:pP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84DCE">
            <w:pPr>
              <w:jc w:val="center"/>
              <w:rPr>
                <w:rFonts w:ascii="微软雅黑" w:hAnsi="微软雅黑" w:eastAsia="微软雅黑" w:cs="微软雅黑"/>
                <w:i/>
                <w:i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4891">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E61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7D0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AAA7">
            <w:pPr>
              <w:rPr>
                <w:rFonts w:ascii="黑体" w:hAnsi="黑体" w:eastAsia="黑体" w:cs="黑体"/>
                <w:i/>
                <w:iCs/>
                <w:color w:val="000000"/>
                <w:sz w:val="18"/>
                <w:szCs w:val="18"/>
              </w:rPr>
            </w:pPr>
          </w:p>
        </w:tc>
      </w:tr>
      <w:tr w14:paraId="4624DB40">
        <w:tblPrEx>
          <w:tblCellMar>
            <w:top w:w="0" w:type="dxa"/>
            <w:left w:w="108" w:type="dxa"/>
            <w:bottom w:w="0" w:type="dxa"/>
            <w:right w:w="108" w:type="dxa"/>
          </w:tblCellMar>
        </w:tblPrEx>
        <w:trPr>
          <w:trHeight w:val="452"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2D613">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1205">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B95">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3263">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A5E2">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6784">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A786">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0E3">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A17">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CA6F">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5E1C">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308D1697">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28540">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6006">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FBD9">
            <w:pPr>
              <w:jc w:val="center"/>
              <w:rPr>
                <w:rFonts w:ascii="宋体" w:hAnsi="宋体" w:cs="宋体"/>
                <w:color w:val="000000"/>
                <w:sz w:val="18"/>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2A49">
            <w:pPr>
              <w:jc w:val="center"/>
              <w:rPr>
                <w:rFonts w:ascii="宋体" w:hAnsi="宋体" w:cs="宋体"/>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1258">
            <w:pPr>
              <w:jc w:val="center"/>
              <w:rPr>
                <w:rFonts w:ascii="宋体" w:hAnsi="宋体" w:cs="宋体"/>
                <w:color w:val="000000"/>
                <w:sz w:val="18"/>
                <w:szCs w:val="18"/>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7F24">
            <w:pPr>
              <w:jc w:val="center"/>
              <w:rPr>
                <w:rFonts w:ascii="宋体" w:hAnsi="宋体" w:cs="宋体"/>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0302">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241F">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985B">
            <w:pPr>
              <w:jc w:val="center"/>
              <w:rPr>
                <w:rFonts w:ascii="宋体" w:hAnsi="宋体" w:cs="宋体"/>
                <w:color w:val="000000"/>
                <w:sz w:val="18"/>
                <w:szCs w:val="18"/>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0ED5">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F19A">
            <w:pPr>
              <w:jc w:val="center"/>
              <w:rPr>
                <w:rFonts w:ascii="微软雅黑" w:hAnsi="微软雅黑" w:eastAsia="微软雅黑" w:cs="微软雅黑"/>
                <w:i/>
                <w:iCs/>
                <w:color w:val="000000"/>
                <w:sz w:val="16"/>
                <w:szCs w:val="16"/>
              </w:rPr>
            </w:pPr>
          </w:p>
        </w:tc>
      </w:tr>
      <w:tr w14:paraId="5F60DC3A">
        <w:tblPrEx>
          <w:tblCellMar>
            <w:top w:w="0" w:type="dxa"/>
            <w:left w:w="108" w:type="dxa"/>
            <w:bottom w:w="0" w:type="dxa"/>
            <w:right w:w="108" w:type="dxa"/>
          </w:tblCellMar>
        </w:tblPrEx>
        <w:trPr>
          <w:trHeight w:val="286" w:hRule="atLeast"/>
        </w:trPr>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29CF87">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9F9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1FEC">
            <w:pP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4976">
            <w:pPr>
              <w:rPr>
                <w:rFonts w:ascii="宋体" w:hAnsi="宋体" w:cs="宋体"/>
                <w:color w:val="000000"/>
                <w:sz w:val="18"/>
                <w:szCs w:val="18"/>
              </w:rPr>
            </w:pPr>
          </w:p>
        </w:tc>
      </w:tr>
      <w:tr w14:paraId="639BD29B">
        <w:tblPrEx>
          <w:tblCellMar>
            <w:top w:w="0" w:type="dxa"/>
            <w:left w:w="108" w:type="dxa"/>
            <w:bottom w:w="0" w:type="dxa"/>
            <w:right w:w="108" w:type="dxa"/>
          </w:tblCellMar>
        </w:tblPrEx>
        <w:trPr>
          <w:trHeight w:val="60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2521">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532C6F">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结合自评情况，说明项目自评总分，说明项目实施取得的成效或成果。（200字以内）</w:t>
            </w:r>
          </w:p>
        </w:tc>
      </w:tr>
      <w:tr w14:paraId="5140BC1F">
        <w:tblPrEx>
          <w:tblCellMar>
            <w:top w:w="0" w:type="dxa"/>
            <w:left w:w="108" w:type="dxa"/>
            <w:bottom w:w="0" w:type="dxa"/>
            <w:right w:w="108" w:type="dxa"/>
          </w:tblCellMar>
        </w:tblPrEx>
        <w:trPr>
          <w:trHeight w:val="572"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7911">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44DE1D">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结合自评情况，分析存在的问题及原因。（200字以内）</w:t>
            </w:r>
          </w:p>
        </w:tc>
      </w:tr>
      <w:tr w14:paraId="47C517B5">
        <w:tblPrEx>
          <w:tblCellMar>
            <w:top w:w="0" w:type="dxa"/>
            <w:left w:w="108" w:type="dxa"/>
            <w:bottom w:w="0" w:type="dxa"/>
            <w:right w:w="108" w:type="dxa"/>
          </w:tblCellMar>
        </w:tblPrEx>
        <w:trPr>
          <w:trHeight w:val="63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0F1B">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51B300">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针对项目自评中发现的问题，提出下一步改进完善的意见及有关政策性建议。（200字以内）</w:t>
            </w:r>
          </w:p>
        </w:tc>
      </w:tr>
      <w:tr w14:paraId="4028097C">
        <w:tblPrEx>
          <w:tblCellMar>
            <w:top w:w="0" w:type="dxa"/>
            <w:left w:w="108" w:type="dxa"/>
            <w:bottom w:w="0" w:type="dxa"/>
            <w:right w:w="108" w:type="dxa"/>
          </w:tblCellMar>
        </w:tblPrEx>
        <w:trPr>
          <w:trHeight w:val="286" w:hRule="atLeast"/>
        </w:trPr>
        <w:tc>
          <w:tcPr>
            <w:tcW w:w="4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3B9AD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41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D3840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14:paraId="19A7A07A">
      <w:pPr>
        <w:pStyle w:val="5"/>
        <w:spacing w:before="93"/>
        <w:rPr>
          <w:rFonts w:ascii="仿宋" w:hAnsi="仿宋" w:eastAsia="仿宋" w:cs="仿宋"/>
          <w:color w:val="000000"/>
          <w:sz w:val="32"/>
          <w:szCs w:val="32"/>
          <w:shd w:val="clear" w:color="auto" w:fill="FFFFFF"/>
          <w:lang w:val="zh-CN"/>
        </w:rPr>
      </w:pPr>
    </w:p>
    <w:p w14:paraId="1100D2C9">
      <w:pPr>
        <w:pStyle w:val="5"/>
        <w:spacing w:before="93"/>
        <w:rPr>
          <w:rFonts w:ascii="仿宋" w:hAnsi="仿宋" w:eastAsia="仿宋" w:cs="仿宋"/>
          <w:color w:val="000000"/>
          <w:sz w:val="32"/>
          <w:szCs w:val="32"/>
          <w:shd w:val="clear" w:color="auto" w:fill="FFFFFF"/>
          <w:lang w:val="zh-CN"/>
        </w:rPr>
      </w:pPr>
    </w:p>
    <w:p w14:paraId="423E9F6C">
      <w:pPr>
        <w:snapToGrid w:val="0"/>
        <w:spacing w:line="620" w:lineRule="exact"/>
        <w:jc w:val="center"/>
        <w:rPr>
          <w:rFonts w:ascii="宋体" w:hAnsi="宋体" w:cs="宋体"/>
          <w:b/>
          <w:bCs/>
          <w:sz w:val="44"/>
          <w:szCs w:val="44"/>
        </w:rPr>
      </w:pPr>
      <w:r>
        <w:rPr>
          <w:rFonts w:hint="eastAsia" w:ascii="宋体" w:hAnsi="宋体" w:cs="宋体"/>
          <w:b/>
          <w:bCs/>
          <w:sz w:val="44"/>
          <w:szCs w:val="44"/>
        </w:rPr>
        <w:t>部门预算项目支出绩效自评报告</w:t>
      </w:r>
    </w:p>
    <w:p w14:paraId="599A1990">
      <w:pPr>
        <w:snapToGrid w:val="0"/>
        <w:spacing w:line="620" w:lineRule="exact"/>
        <w:jc w:val="center"/>
        <w:rPr>
          <w:rFonts w:eastAsia="仿宋_GB2312"/>
          <w:sz w:val="32"/>
          <w:szCs w:val="32"/>
        </w:rPr>
      </w:pPr>
      <w:r>
        <w:rPr>
          <w:rFonts w:ascii="仿宋_GB2312" w:eastAsia="仿宋_GB2312" w:cs="仿宋_GB2312"/>
          <w:sz w:val="32"/>
          <w:szCs w:val="32"/>
        </w:rPr>
        <w:t>（食堂后勤餐厨服务经费项目）</w:t>
      </w:r>
    </w:p>
    <w:p w14:paraId="0D87ABAB">
      <w:pPr>
        <w:snapToGrid w:val="0"/>
        <w:spacing w:line="600" w:lineRule="exact"/>
        <w:ind w:firstLine="640" w:firstLineChars="200"/>
        <w:jc w:val="left"/>
        <w:rPr>
          <w:rFonts w:ascii="宋体" w:hAnsi="宋体" w:eastAsia="仿宋_GB2312"/>
          <w:b/>
          <w:sz w:val="32"/>
          <w:szCs w:val="32"/>
        </w:rPr>
      </w:pPr>
      <w:r>
        <w:rPr>
          <w:rFonts w:ascii="仿宋_GB2312" w:eastAsia="仿宋_GB2312" w:cs="仿宋_GB2312"/>
          <w:color w:val="000000"/>
          <w:kern w:val="0"/>
          <w:sz w:val="32"/>
          <w:szCs w:val="32"/>
          <w:shd w:val="clear" w:color="auto" w:fill="FFFFFF"/>
        </w:rPr>
        <w:t>为了对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后勤保障服务资金使用、管理的科学性、合理性和效益性进行客观、公正的评价，规范警务辅助人员专项资金管理，提高资金使用效益，根据《遂宁市财政局关于开展2023年部门、项目、政策支出绩效自评工作的通知（遂财绩[2023]2号）文件精神，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年度遂宁市公安局交警支队后勤保障服务资金项目实施了绩效评价。现将项目绩效评价情况报告如下</w:t>
      </w:r>
      <w:r>
        <w:rPr>
          <w:rFonts w:hint="eastAsia" w:ascii="新宋体" w:hAnsi="新宋体" w:eastAsia="新宋体" w:cs="新宋体"/>
          <w:color w:val="000000"/>
          <w:kern w:val="0"/>
          <w:sz w:val="32"/>
          <w:szCs w:val="32"/>
          <w:shd w:val="clear" w:color="auto" w:fill="FFFFFF"/>
        </w:rPr>
        <w:t>：</w:t>
      </w:r>
    </w:p>
    <w:p w14:paraId="215B5A11">
      <w:pPr>
        <w:snapToGrid w:val="0"/>
        <w:spacing w:line="620" w:lineRule="exact"/>
        <w:ind w:left="632"/>
        <w:jc w:val="left"/>
        <w:rPr>
          <w:rFonts w:eastAsia="黑体"/>
          <w:sz w:val="32"/>
          <w:szCs w:val="32"/>
        </w:rPr>
      </w:pPr>
      <w:r>
        <w:rPr>
          <w:rFonts w:hint="eastAsia" w:ascii="黑体" w:hAnsi="宋体" w:eastAsia="黑体" w:cs="黑体"/>
          <w:sz w:val="32"/>
          <w:szCs w:val="32"/>
        </w:rPr>
        <w:t>一、基本情况</w:t>
      </w:r>
    </w:p>
    <w:p w14:paraId="30D7D219">
      <w:pPr>
        <w:snapToGrid w:val="0"/>
        <w:spacing w:line="600" w:lineRule="exact"/>
        <w:ind w:firstLine="640" w:firstLineChars="200"/>
        <w:jc w:val="left"/>
        <w:rPr>
          <w:rFonts w:ascii="仿宋" w:hAnsi="仿宋" w:eastAsia="仿宋" w:cs="仿宋"/>
          <w:sz w:val="32"/>
          <w:szCs w:val="32"/>
        </w:rPr>
      </w:pPr>
      <w:r>
        <w:rPr>
          <w:rFonts w:ascii="仿宋_GB2312" w:eastAsia="仿宋_GB2312" w:cs="仿宋_GB2312"/>
          <w:sz w:val="32"/>
          <w:szCs w:val="32"/>
        </w:rPr>
        <w:t>交警支队现有职工食堂4个，分别是支队机关、车辆管理所，直属一、二大队。每个食堂日均保障60-80名民辅警工作用餐。为进一步规范管理，提升餐厨服务质量，经</w:t>
      </w:r>
      <w:r>
        <w:rPr>
          <w:rFonts w:ascii="仿宋_GB2312" w:eastAsia="仿宋_GB2312" w:cs="仿宋_GB2312"/>
          <w:color w:val="000000"/>
          <w:kern w:val="0"/>
          <w:sz w:val="32"/>
          <w:szCs w:val="32"/>
          <w:shd w:val="clear" w:color="auto" w:fill="FFFFFF"/>
        </w:rPr>
        <w:t>财政、市局党委会同意，将支队食堂餐厨劳务进行政府购买社会服务，列入2021年财政预算</w:t>
      </w:r>
      <w:r>
        <w:rPr>
          <w:rFonts w:ascii="仿宋_GB2312" w:eastAsia="仿宋_GB2312" w:cs="仿宋_GB2312"/>
          <w:sz w:val="32"/>
          <w:szCs w:val="32"/>
        </w:rPr>
        <w:t>。后勤保障服务项目于2020年立项，属于常年性项目，</w:t>
      </w:r>
      <w:r>
        <w:rPr>
          <w:rFonts w:hint="eastAsia" w:ascii="仿宋" w:hAnsi="仿宋" w:eastAsia="仿宋" w:cs="仿宋"/>
          <w:sz w:val="32"/>
          <w:szCs w:val="32"/>
        </w:rPr>
        <w:t>经财政评审、招投标等，于2020年7月投入使用。</w:t>
      </w:r>
    </w:p>
    <w:p w14:paraId="3FF0CE3E">
      <w:pPr>
        <w:pStyle w:val="2"/>
        <w:keepNext w:val="0"/>
        <w:keepLines w:val="0"/>
        <w:widowControl/>
        <w:wordWrap w:val="0"/>
        <w:spacing w:line="480" w:lineRule="atLeast"/>
        <w:ind w:firstLine="353" w:firstLineChars="110"/>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rPr>
        <w:t>（一）项目绩效目标</w:t>
      </w:r>
    </w:p>
    <w:p w14:paraId="3A58BEF7">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通过招聘专业社会服务公司管理支队食堂，有效提升了餐厨服务质量，切实落实暖警爱警工程，让民辅警在高强度工作下能够感受到单位的温暖，</w:t>
      </w:r>
      <w:r>
        <w:rPr>
          <w:rFonts w:ascii="仿宋_GB2312" w:eastAsia="仿宋_GB2312" w:cs="仿宋_GB2312"/>
          <w:color w:val="000000"/>
          <w:sz w:val="32"/>
          <w:szCs w:val="32"/>
        </w:rPr>
        <w:t>不断提高队伍凝聚力、战斗力和创造力。</w:t>
      </w:r>
    </w:p>
    <w:p w14:paraId="17A1E71F">
      <w:pPr>
        <w:pStyle w:val="2"/>
        <w:keepNext w:val="0"/>
        <w:keepLines w:val="0"/>
        <w:widowControl/>
        <w:wordWrap w:val="0"/>
        <w:spacing w:line="480" w:lineRule="atLeast"/>
        <w:ind w:firstLine="196"/>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rPr>
        <w:t>（二）专项资金的使用及管理情况</w:t>
      </w:r>
    </w:p>
    <w:p w14:paraId="782DD1E6">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1</w:t>
      </w:r>
      <w:r>
        <w:rPr>
          <w:rFonts w:ascii="仿宋_GB2312" w:eastAsia="仿宋_GB2312" w:cs="仿宋_GB2312"/>
          <w:color w:val="000000"/>
          <w:kern w:val="0"/>
          <w:sz w:val="32"/>
          <w:szCs w:val="32"/>
          <w:shd w:val="clear" w:color="auto" w:fill="FFFFFF"/>
        </w:rPr>
        <w:t>．专项资金安排、拨付情况</w:t>
      </w:r>
    </w:p>
    <w:p w14:paraId="610863E4">
      <w:pPr>
        <w:widowControl/>
        <w:wordWrap w:val="0"/>
        <w:spacing w:line="252" w:lineRule="atLeast"/>
        <w:ind w:firstLine="640"/>
        <w:rPr>
          <w:rFonts w:ascii="仿宋" w:hAnsi="仿宋" w:eastAsia="仿宋" w:cs="仿宋"/>
          <w:sz w:val="32"/>
          <w:szCs w:val="32"/>
        </w:rPr>
      </w:pPr>
      <w:r>
        <w:rPr>
          <w:rFonts w:hint="eastAsia" w:ascii="仿宋" w:hAnsi="仿宋" w:eastAsia="仿宋" w:cs="仿宋"/>
          <w:sz w:val="32"/>
          <w:szCs w:val="32"/>
        </w:rPr>
        <w:t>支队食堂共聘有厨师5名，工作人员9名，</w:t>
      </w:r>
      <w:r>
        <w:rPr>
          <w:rFonts w:ascii="仿宋_GB2312" w:eastAsia="仿宋_GB2312" w:cs="仿宋_GB2312"/>
          <w:color w:val="000000"/>
          <w:kern w:val="0"/>
          <w:sz w:val="32"/>
          <w:szCs w:val="32"/>
          <w:shd w:val="clear" w:color="auto" w:fill="FFFFFF"/>
        </w:rPr>
        <w:t>2022年财政实际拨款</w:t>
      </w:r>
      <w:r>
        <w:rPr>
          <w:rFonts w:hint="eastAsia" w:ascii="仿宋" w:hAnsi="仿宋" w:eastAsia="仿宋" w:cs="仿宋"/>
          <w:sz w:val="32"/>
          <w:szCs w:val="32"/>
        </w:rPr>
        <w:t>63.3万元，项目按月支付，每月根据对后勤保障服务质量进行考核后支付费用。</w:t>
      </w:r>
    </w:p>
    <w:p w14:paraId="30AB7286">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2</w:t>
      </w:r>
      <w:r>
        <w:rPr>
          <w:rFonts w:ascii="仿宋_GB2312" w:eastAsia="仿宋_GB2312" w:cs="仿宋_GB2312"/>
          <w:color w:val="000000"/>
          <w:kern w:val="0"/>
          <w:sz w:val="32"/>
          <w:szCs w:val="32"/>
          <w:shd w:val="clear" w:color="auto" w:fill="FFFFFF"/>
        </w:rPr>
        <w:t>．专项资金使用情况</w:t>
      </w:r>
    </w:p>
    <w:p w14:paraId="767D6783">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2022年度</w:t>
      </w:r>
      <w:r>
        <w:rPr>
          <w:rFonts w:hint="eastAsia" w:ascii="仿宋" w:hAnsi="仿宋" w:eastAsia="仿宋" w:cs="仿宋"/>
          <w:sz w:val="32"/>
          <w:szCs w:val="32"/>
        </w:rPr>
        <w:t>后勤保障服务经费</w:t>
      </w:r>
      <w:r>
        <w:rPr>
          <w:rFonts w:ascii="仿宋_GB2312" w:eastAsia="仿宋_GB2312" w:cs="仿宋_GB2312"/>
          <w:color w:val="000000"/>
          <w:kern w:val="0"/>
          <w:sz w:val="32"/>
          <w:szCs w:val="32"/>
          <w:shd w:val="clear" w:color="auto" w:fill="FFFFFF"/>
        </w:rPr>
        <w:t>实际支出</w:t>
      </w:r>
      <w:r>
        <w:rPr>
          <w:rFonts w:hint="eastAsia" w:ascii="仿宋" w:hAnsi="仿宋" w:eastAsia="仿宋" w:cs="仿宋"/>
          <w:sz w:val="32"/>
          <w:szCs w:val="32"/>
        </w:rPr>
        <w:t>63.3</w:t>
      </w:r>
      <w:r>
        <w:rPr>
          <w:rFonts w:ascii="仿宋_GB2312" w:eastAsia="仿宋_GB2312" w:cs="仿宋_GB2312"/>
          <w:color w:val="000000"/>
          <w:kern w:val="0"/>
          <w:sz w:val="32"/>
          <w:szCs w:val="32"/>
          <w:shd w:val="clear" w:color="auto" w:fill="FFFFFF"/>
        </w:rPr>
        <w:t>万元。主要用于支付支队食堂餐厨服务人员工资。</w:t>
      </w:r>
    </w:p>
    <w:p w14:paraId="4642C220">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3</w:t>
      </w:r>
      <w:r>
        <w:rPr>
          <w:rFonts w:ascii="仿宋_GB2312" w:eastAsia="仿宋_GB2312" w:cs="仿宋_GB2312"/>
          <w:color w:val="000000"/>
          <w:kern w:val="0"/>
          <w:sz w:val="32"/>
          <w:szCs w:val="32"/>
          <w:shd w:val="clear" w:color="auto" w:fill="FFFFFF"/>
        </w:rPr>
        <w:t>．资金管理情况</w:t>
      </w:r>
    </w:p>
    <w:p w14:paraId="1D972647">
      <w:pPr>
        <w:pStyle w:val="12"/>
        <w:widowControl/>
        <w:shd w:val="clear" w:color="auto" w:fill="FFFFFF"/>
        <w:wordWrap w:val="0"/>
        <w:spacing w:line="288" w:lineRule="atLeast"/>
        <w:ind w:firstLine="640"/>
        <w:rPr>
          <w:rFonts w:ascii="宋体" w:hAnsi="宋体" w:cs="宋体"/>
          <w:shd w:val="clear" w:color="auto" w:fill="FFFFFF"/>
        </w:rPr>
      </w:pPr>
      <w:r>
        <w:rPr>
          <w:rFonts w:ascii="仿宋_GB2312" w:hAnsi="宋体" w:eastAsia="仿宋_GB2312" w:cs="仿宋_GB2312"/>
          <w:color w:val="000000"/>
          <w:sz w:val="32"/>
          <w:szCs w:val="32"/>
          <w:shd w:val="clear" w:color="auto" w:fill="FFFFFF"/>
        </w:rPr>
        <w:t>每月按时对食堂餐厨服务进行考核，考核合格后及时支付后勤保障服务经费。</w:t>
      </w:r>
    </w:p>
    <w:p w14:paraId="45A40DC8">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4</w:t>
      </w:r>
      <w:r>
        <w:rPr>
          <w:rFonts w:ascii="仿宋_GB2312" w:eastAsia="仿宋_GB2312" w:cs="仿宋_GB2312"/>
          <w:color w:val="000000"/>
          <w:kern w:val="0"/>
          <w:sz w:val="32"/>
          <w:szCs w:val="32"/>
          <w:shd w:val="clear" w:color="auto" w:fill="FFFFFF"/>
        </w:rPr>
        <w:t>．项目管理情况</w:t>
      </w:r>
    </w:p>
    <w:p w14:paraId="6E2880FF">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每月由管理食堂的部门对食堂餐厨服务满意率进行测评，并提出各食堂存在的问题和整改措施。</w:t>
      </w:r>
    </w:p>
    <w:p w14:paraId="59A84C41">
      <w:pPr>
        <w:snapToGrid w:val="0"/>
        <w:spacing w:line="620" w:lineRule="exact"/>
        <w:ind w:firstLine="640" w:firstLineChars="200"/>
        <w:rPr>
          <w:rFonts w:eastAsia="仿宋_GB2312"/>
          <w:sz w:val="32"/>
          <w:szCs w:val="32"/>
        </w:rPr>
      </w:pPr>
      <w:r>
        <w:rPr>
          <w:rFonts w:hint="eastAsia" w:ascii="黑体" w:hAnsi="宋体" w:eastAsia="黑体" w:cs="黑体"/>
          <w:sz w:val="32"/>
          <w:szCs w:val="32"/>
        </w:rPr>
        <w:t>二、评价工作开展情况</w:t>
      </w:r>
    </w:p>
    <w:p w14:paraId="6747DE4F">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（一）绩效评价目的</w:t>
      </w:r>
    </w:p>
    <w:p w14:paraId="4C81B17B">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p>
    <w:p w14:paraId="2BDB5159">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（二）绩效评价过程</w:t>
      </w:r>
    </w:p>
    <w:p w14:paraId="428478EF">
      <w:pPr>
        <w:snapToGrid w:val="0"/>
        <w:spacing w:line="620" w:lineRule="exac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根据《遂宁市财政局关于开展2023年部门、项目、政策支出绩效自评工作的通知（遂财绩[2023]2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14:paraId="51C4367F">
      <w:pPr>
        <w:snapToGrid w:val="0"/>
        <w:spacing w:line="620" w:lineRule="exact"/>
        <w:ind w:firstLine="640" w:firstLineChars="200"/>
        <w:rPr>
          <w:rFonts w:eastAsia="黑体"/>
          <w:sz w:val="32"/>
          <w:szCs w:val="32"/>
        </w:rPr>
      </w:pPr>
      <w:r>
        <w:rPr>
          <w:rFonts w:hint="eastAsia" w:ascii="黑体" w:hAnsi="宋体" w:eastAsia="黑体" w:cs="黑体"/>
          <w:sz w:val="32"/>
          <w:szCs w:val="32"/>
        </w:rPr>
        <w:t>三、综合评价结论（附评分表）</w:t>
      </w:r>
    </w:p>
    <w:p w14:paraId="2869D493">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通过实施2022年后勤保障服务项目，有效提升了餐厨服务质量，切实落实暖警爱警工程，让民辅警在高强度工作下能够感受到单位的温暖，</w:t>
      </w:r>
      <w:r>
        <w:rPr>
          <w:rFonts w:ascii="仿宋_GB2312" w:eastAsia="仿宋_GB2312" w:cs="仿宋_GB2312"/>
          <w:color w:val="000000"/>
          <w:sz w:val="32"/>
          <w:szCs w:val="32"/>
        </w:rPr>
        <w:t>不断提高队伍凝聚力、战斗力和创造力。</w:t>
      </w:r>
    </w:p>
    <w:p w14:paraId="62323070">
      <w:pPr>
        <w:widowControl/>
        <w:wordWrap w:val="0"/>
        <w:spacing w:line="252" w:lineRule="atLeast"/>
        <w:ind w:firstLine="640" w:firstLineChars="200"/>
        <w:rPr>
          <w:rFonts w:eastAsia="仿宋_GB2312"/>
          <w:sz w:val="32"/>
          <w:szCs w:val="32"/>
          <w:highlight w:val="yellow"/>
        </w:rPr>
      </w:pPr>
      <w:r>
        <w:rPr>
          <w:rFonts w:ascii="仿宋_GB2312" w:eastAsia="仿宋_GB2312" w:cs="仿宋_GB2312"/>
          <w:color w:val="000000"/>
          <w:kern w:val="0"/>
          <w:sz w:val="32"/>
          <w:szCs w:val="32"/>
          <w:shd w:val="clear" w:color="auto" w:fill="FFFFFF"/>
        </w:rPr>
        <w:t>根据《</w:t>
      </w:r>
      <w:r>
        <w:rPr>
          <w:rFonts w:eastAsia="微软雅黑"/>
          <w:color w:val="000000"/>
          <w:kern w:val="0"/>
          <w:sz w:val="32"/>
          <w:szCs w:val="32"/>
          <w:shd w:val="clear" w:color="auto" w:fill="FFFFFF"/>
        </w:rPr>
        <w:t>2023</w:t>
      </w:r>
      <w:r>
        <w:rPr>
          <w:rFonts w:ascii="仿宋_GB2312" w:eastAsia="仿宋_GB2312" w:cs="仿宋_GB2312"/>
          <w:color w:val="000000"/>
          <w:kern w:val="0"/>
          <w:sz w:val="32"/>
          <w:szCs w:val="32"/>
          <w:shd w:val="clear" w:color="auto" w:fill="FFFFFF"/>
        </w:rPr>
        <w:t>年度实际项目支出绩效评价指标体系》，</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年度遂宁市公安局交警支队后勤保障服务项目经费绩效评价综合得分为</w:t>
      </w:r>
      <w:r>
        <w:rPr>
          <w:rFonts w:eastAsia="微软雅黑"/>
          <w:color w:val="000000"/>
          <w:kern w:val="0"/>
          <w:sz w:val="32"/>
          <w:szCs w:val="32"/>
          <w:shd w:val="clear" w:color="auto" w:fill="FFFFFF"/>
        </w:rPr>
        <w:t>96</w:t>
      </w:r>
      <w:r>
        <w:rPr>
          <w:rFonts w:ascii="仿宋_GB2312" w:eastAsia="仿宋_GB2312" w:cs="仿宋_GB2312"/>
          <w:color w:val="000000"/>
          <w:kern w:val="0"/>
          <w:sz w:val="32"/>
          <w:szCs w:val="32"/>
          <w:shd w:val="clear" w:color="auto" w:fill="FFFFFF"/>
        </w:rPr>
        <w:t>分。评价等级为</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优</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w:t>
      </w:r>
    </w:p>
    <w:p w14:paraId="4B3140D4">
      <w:pPr>
        <w:snapToGrid w:val="0"/>
        <w:spacing w:line="620" w:lineRule="exact"/>
        <w:ind w:firstLine="640" w:firstLineChars="200"/>
        <w:rPr>
          <w:rFonts w:eastAsia="黑体"/>
          <w:bCs/>
          <w:sz w:val="32"/>
          <w:szCs w:val="32"/>
        </w:rPr>
      </w:pPr>
      <w:r>
        <w:rPr>
          <w:rFonts w:hint="eastAsia" w:ascii="黑体" w:hAnsi="宋体" w:eastAsia="黑体" w:cs="黑体"/>
          <w:bCs/>
          <w:sz w:val="32"/>
          <w:szCs w:val="32"/>
        </w:rPr>
        <w:t>四、绩效评价分析</w:t>
      </w:r>
    </w:p>
    <w:p w14:paraId="28BEDED1">
      <w:pPr>
        <w:pStyle w:val="2"/>
        <w:keepNext w:val="0"/>
        <w:keepLines w:val="0"/>
        <w:widowControl/>
        <w:wordWrap w:val="0"/>
        <w:spacing w:line="480" w:lineRule="atLeast"/>
        <w:ind w:firstLine="511" w:firstLineChars="159"/>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（一）项目决策、管理情况</w:t>
      </w:r>
    </w:p>
    <w:p w14:paraId="4D46093C">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交警支队后勤保障服务项目，有效提升了餐厨服务质量，切实落实暖警爱警工程，让民辅警在高强度工作下能够感受到单位的温暖，</w:t>
      </w:r>
      <w:r>
        <w:rPr>
          <w:rFonts w:ascii="仿宋_GB2312" w:eastAsia="仿宋_GB2312" w:cs="仿宋_GB2312"/>
          <w:color w:val="000000"/>
          <w:sz w:val="32"/>
          <w:szCs w:val="32"/>
        </w:rPr>
        <w:t>不断提高队伍凝聚力、战斗力和创造力。</w:t>
      </w:r>
    </w:p>
    <w:p w14:paraId="47A1B1B7">
      <w:pPr>
        <w:pStyle w:val="2"/>
        <w:keepNext w:val="0"/>
        <w:keepLines w:val="0"/>
        <w:widowControl/>
        <w:wordWrap w:val="0"/>
        <w:spacing w:line="480" w:lineRule="atLeast"/>
        <w:ind w:firstLine="196"/>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（二）项目产出、效益情况</w:t>
      </w:r>
    </w:p>
    <w:p w14:paraId="2CBC4B6C">
      <w:pPr>
        <w:widowControl/>
        <w:wordWrap w:val="0"/>
        <w:spacing w:line="252" w:lineRule="atLeast"/>
        <w:ind w:firstLine="640"/>
        <w:rPr>
          <w:rFonts w:ascii="楷体_GB2312" w:hAnsi="宋体" w:eastAsia="楷体_GB2312"/>
          <w:b/>
          <w:sz w:val="32"/>
          <w:szCs w:val="32"/>
        </w:rPr>
      </w:pPr>
      <w:r>
        <w:rPr>
          <w:rFonts w:ascii="仿宋_GB2312" w:eastAsia="仿宋_GB2312" w:cs="仿宋_GB2312"/>
          <w:color w:val="000000"/>
          <w:kern w:val="0"/>
          <w:sz w:val="32"/>
          <w:szCs w:val="32"/>
          <w:shd w:val="clear" w:color="auto" w:fill="FFFFFF"/>
        </w:rPr>
        <w:t>民辅警积极开展公安交管工作，职工满意度有效提升达到95%，带动服务外包企业就业人数增长，助力企业经济增长。</w:t>
      </w:r>
    </w:p>
    <w:p w14:paraId="660B1DDA">
      <w:pPr>
        <w:snapToGrid w:val="0"/>
        <w:spacing w:line="620" w:lineRule="exact"/>
        <w:ind w:firstLine="640" w:firstLineChars="200"/>
        <w:rPr>
          <w:rFonts w:eastAsia="黑体"/>
          <w:sz w:val="32"/>
          <w:szCs w:val="32"/>
        </w:rPr>
      </w:pPr>
      <w:r>
        <w:rPr>
          <w:rFonts w:hint="eastAsia" w:ascii="黑体" w:hAnsi="宋体" w:eastAsia="黑体" w:cs="黑体"/>
          <w:sz w:val="32"/>
          <w:szCs w:val="32"/>
        </w:rPr>
        <w:t>五、存在主要问题</w:t>
      </w:r>
    </w:p>
    <w:p w14:paraId="6C3752CB">
      <w:pPr>
        <w:snapToGrid w:val="0"/>
        <w:spacing w:line="620" w:lineRule="exact"/>
        <w:ind w:firstLine="640" w:firstLineChars="200"/>
        <w:rPr>
          <w:rFonts w:eastAsia="黑体"/>
          <w:sz w:val="32"/>
          <w:szCs w:val="32"/>
        </w:rPr>
      </w:pPr>
      <w:r>
        <w:rPr>
          <w:rFonts w:ascii="仿宋_GB2312" w:eastAsia="仿宋_GB2312" w:cs="仿宋_GB2312"/>
          <w:color w:val="000000"/>
          <w:kern w:val="0"/>
          <w:sz w:val="32"/>
          <w:szCs w:val="32"/>
          <w:shd w:val="clear" w:color="auto" w:fill="FFFFFF"/>
        </w:rPr>
        <w:t>无</w:t>
      </w:r>
    </w:p>
    <w:p w14:paraId="729C57C2">
      <w:pPr>
        <w:snapToGrid w:val="0"/>
        <w:spacing w:line="620" w:lineRule="exact"/>
        <w:ind w:firstLine="640" w:firstLineChars="200"/>
        <w:rPr>
          <w:rFonts w:eastAsia="黑体"/>
          <w:sz w:val="32"/>
          <w:szCs w:val="32"/>
        </w:rPr>
      </w:pPr>
      <w:r>
        <w:rPr>
          <w:rFonts w:hint="eastAsia" w:ascii="黑体" w:hAnsi="宋体" w:eastAsia="黑体" w:cs="黑体"/>
          <w:sz w:val="32"/>
          <w:szCs w:val="32"/>
        </w:rPr>
        <w:t>六、相关措施建议</w:t>
      </w:r>
    </w:p>
    <w:p w14:paraId="4D752DC7">
      <w:pPr>
        <w:snapToGrid w:val="0"/>
        <w:spacing w:line="620" w:lineRule="exact"/>
        <w:ind w:firstLine="640" w:firstLineChars="200"/>
        <w:rPr>
          <w:rFonts w:eastAsia="仿宋_GB2312"/>
          <w:sz w:val="32"/>
          <w:szCs w:val="32"/>
        </w:rPr>
      </w:pPr>
      <w:r>
        <w:rPr>
          <w:rFonts w:ascii="仿宋_GB2312" w:eastAsia="仿宋_GB2312" w:cs="仿宋_GB2312"/>
          <w:color w:val="000000"/>
          <w:kern w:val="0"/>
          <w:sz w:val="32"/>
          <w:szCs w:val="32"/>
          <w:shd w:val="clear" w:color="auto" w:fill="FFFFFF"/>
        </w:rPr>
        <w:t>无</w:t>
      </w:r>
    </w:p>
    <w:p w14:paraId="093F86B4">
      <w:pPr>
        <w:pStyle w:val="5"/>
        <w:spacing w:before="93"/>
        <w:rPr>
          <w:rFonts w:ascii="仿宋" w:hAnsi="仿宋" w:eastAsia="仿宋" w:cs="仿宋"/>
          <w:color w:val="000000"/>
          <w:sz w:val="32"/>
          <w:szCs w:val="32"/>
          <w:shd w:val="clear" w:color="auto" w:fill="FFFFFF"/>
          <w:lang w:val="zh-CN"/>
        </w:rPr>
      </w:pPr>
    </w:p>
    <w:p w14:paraId="4D8EEFD2">
      <w:pPr>
        <w:pStyle w:val="5"/>
        <w:spacing w:before="93"/>
        <w:rPr>
          <w:rFonts w:ascii="仿宋" w:hAnsi="仿宋" w:eastAsia="仿宋" w:cs="仿宋"/>
          <w:color w:val="000000"/>
          <w:sz w:val="32"/>
          <w:szCs w:val="32"/>
          <w:shd w:val="clear" w:color="auto" w:fill="FFFFFF"/>
          <w:lang w:val="zh-CN"/>
        </w:rPr>
      </w:pPr>
    </w:p>
    <w:tbl>
      <w:tblPr>
        <w:tblStyle w:val="13"/>
        <w:tblW w:w="8570" w:type="dxa"/>
        <w:tblInd w:w="98" w:type="dxa"/>
        <w:tblLayout w:type="autofit"/>
        <w:tblCellMar>
          <w:top w:w="0" w:type="dxa"/>
          <w:left w:w="108" w:type="dxa"/>
          <w:bottom w:w="0" w:type="dxa"/>
          <w:right w:w="108" w:type="dxa"/>
        </w:tblCellMar>
      </w:tblPr>
      <w:tblGrid>
        <w:gridCol w:w="627"/>
        <w:gridCol w:w="1026"/>
        <w:gridCol w:w="927"/>
        <w:gridCol w:w="1343"/>
        <w:gridCol w:w="476"/>
        <w:gridCol w:w="887"/>
        <w:gridCol w:w="476"/>
        <w:gridCol w:w="999"/>
        <w:gridCol w:w="486"/>
        <w:gridCol w:w="418"/>
        <w:gridCol w:w="905"/>
      </w:tblGrid>
      <w:tr w14:paraId="312DA891">
        <w:tblPrEx>
          <w:tblCellMar>
            <w:top w:w="0" w:type="dxa"/>
            <w:left w:w="108" w:type="dxa"/>
            <w:bottom w:w="0" w:type="dxa"/>
            <w:right w:w="108" w:type="dxa"/>
          </w:tblCellMar>
        </w:tblPrEx>
        <w:trPr>
          <w:trHeight w:val="904" w:hRule="atLeast"/>
        </w:trPr>
        <w:tc>
          <w:tcPr>
            <w:tcW w:w="85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67E845">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14:paraId="2E23B0DC">
        <w:tblPrEx>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9AAE0">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70926C">
            <w:pPr>
              <w:widowControl/>
              <w:jc w:val="left"/>
              <w:textAlignment w:val="center"/>
              <w:rPr>
                <w:rFonts w:ascii="宋体" w:hAnsi="宋体" w:cs="宋体"/>
                <w:color w:val="000000"/>
                <w:sz w:val="18"/>
                <w:szCs w:val="18"/>
              </w:rPr>
            </w:pPr>
            <w:r>
              <w:rPr>
                <w:rFonts w:ascii="宋体" w:hAnsi="宋体" w:cs="宋体"/>
                <w:color w:val="000000"/>
                <w:kern w:val="0"/>
                <w:sz w:val="18"/>
                <w:szCs w:val="18"/>
              </w:rPr>
              <w:t>51090022T000004783494-后勤保障服务经费</w:t>
            </w:r>
          </w:p>
        </w:tc>
      </w:tr>
      <w:tr w14:paraId="67AB1B34">
        <w:tblPrEx>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DD7B4">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8F769D">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遂宁市公安局部门</w:t>
            </w:r>
          </w:p>
        </w:tc>
        <w:tc>
          <w:tcPr>
            <w:tcW w:w="1000" w:type="dxa"/>
            <w:tcBorders>
              <w:top w:val="nil"/>
              <w:left w:val="nil"/>
              <w:bottom w:val="nil"/>
              <w:right w:val="nil"/>
            </w:tcBorders>
            <w:shd w:val="clear" w:color="auto" w:fill="auto"/>
            <w:vAlign w:val="center"/>
          </w:tcPr>
          <w:p w14:paraId="5BEB0B6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D0C95">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遂宁市公安局交通警察支队</w:t>
            </w:r>
          </w:p>
        </w:tc>
      </w:tr>
      <w:tr w14:paraId="0D4BF6F7">
        <w:tblPrEx>
          <w:tblCellMar>
            <w:top w:w="0" w:type="dxa"/>
            <w:left w:w="108" w:type="dxa"/>
            <w:bottom w:w="0" w:type="dxa"/>
            <w:right w:w="108" w:type="dxa"/>
          </w:tblCellMar>
        </w:tblPrEx>
        <w:trPr>
          <w:trHeight w:val="286"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50EF9">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58E33">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7DEBB">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21F75">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7E75A5FC">
        <w:tblPrEx>
          <w:tblCellMar>
            <w:top w:w="0" w:type="dxa"/>
            <w:left w:w="108" w:type="dxa"/>
            <w:bottom w:w="0" w:type="dxa"/>
            <w:right w:w="108" w:type="dxa"/>
          </w:tblCellMar>
        </w:tblPrEx>
        <w:trPr>
          <w:trHeight w:val="708"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EC24">
            <w:pP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C6DC">
            <w:pPr>
              <w:rPr>
                <w:rFonts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AA883D">
            <w:pPr>
              <w:widowControl/>
              <w:jc w:val="left"/>
              <w:textAlignment w:val="center"/>
              <w:rPr>
                <w:rFonts w:ascii="宋体" w:hAnsi="宋体" w:cs="宋体"/>
                <w:color w:val="000000"/>
                <w:sz w:val="18"/>
                <w:szCs w:val="18"/>
              </w:rPr>
            </w:pPr>
            <w:r>
              <w:rPr>
                <w:rFonts w:ascii="宋体" w:hAnsi="宋体" w:cs="宋体"/>
                <w:color w:val="000000"/>
                <w:kern w:val="0"/>
                <w:sz w:val="18"/>
                <w:szCs w:val="18"/>
              </w:rPr>
              <w:t>通过政府采购的后勤保障服务项目，保障支队后勤工作</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1F67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对照年度目标，说明相关任务目标的完成情况（100字以内）</w:t>
            </w:r>
          </w:p>
        </w:tc>
      </w:tr>
      <w:tr w14:paraId="4D3E1B28">
        <w:tblPrEx>
          <w:tblCellMar>
            <w:top w:w="0" w:type="dxa"/>
            <w:left w:w="108" w:type="dxa"/>
            <w:bottom w:w="0" w:type="dxa"/>
            <w:right w:w="108" w:type="dxa"/>
          </w:tblCellMar>
        </w:tblPrEx>
        <w:trPr>
          <w:trHeight w:val="693"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F20EF">
            <w:pP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B46">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537D32">
            <w:pPr>
              <w:rPr>
                <w:rFonts w:ascii="宋体" w:hAnsi="宋体" w:cs="宋体"/>
                <w:color w:val="000000"/>
                <w:sz w:val="18"/>
                <w:szCs w:val="18"/>
              </w:rPr>
            </w:pPr>
          </w:p>
        </w:tc>
      </w:tr>
      <w:tr w14:paraId="5850E531">
        <w:tblPrEx>
          <w:tblCellMar>
            <w:top w:w="0" w:type="dxa"/>
            <w:left w:w="108" w:type="dxa"/>
            <w:bottom w:w="0" w:type="dxa"/>
            <w:right w:w="108" w:type="dxa"/>
          </w:tblCellMar>
        </w:tblPrEx>
        <w:trPr>
          <w:trHeight w:val="361"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8BFF2">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F609">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C119">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B7CC">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05E5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4EC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E55C">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DB4E">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A4CC">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2BBAED74">
        <w:tblPrEx>
          <w:tblCellMar>
            <w:top w:w="0" w:type="dxa"/>
            <w:left w:w="108" w:type="dxa"/>
            <w:bottom w:w="0" w:type="dxa"/>
            <w:right w:w="108" w:type="dxa"/>
          </w:tblCellMar>
        </w:tblPrEx>
        <w:trPr>
          <w:trHeight w:val="38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7875">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BBBE">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3A5C">
            <w:pPr>
              <w:widowControl/>
              <w:jc w:val="center"/>
              <w:textAlignment w:val="center"/>
              <w:rPr>
                <w:rFonts w:ascii="宋体" w:hAnsi="宋体" w:cs="宋体"/>
                <w:color w:val="000000"/>
                <w:sz w:val="18"/>
                <w:szCs w:val="18"/>
              </w:rPr>
            </w:pPr>
            <w:r>
              <w:rPr>
                <w:rFonts w:ascii="宋体" w:hAnsi="宋体" w:cs="宋体"/>
                <w:color w:val="000000"/>
                <w:kern w:val="0"/>
                <w:sz w:val="18"/>
                <w:szCs w:val="18"/>
              </w:rPr>
              <w:t>63.30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F79C">
            <w:pPr>
              <w:widowControl/>
              <w:jc w:val="center"/>
              <w:textAlignment w:val="center"/>
              <w:rPr>
                <w:rFonts w:ascii="宋体" w:hAnsi="宋体" w:cs="宋体"/>
                <w:color w:val="000000"/>
                <w:sz w:val="18"/>
                <w:szCs w:val="18"/>
              </w:rPr>
            </w:pPr>
            <w:r>
              <w:rPr>
                <w:rFonts w:ascii="宋体" w:hAnsi="宋体" w:cs="宋体"/>
                <w:color w:val="000000"/>
                <w:kern w:val="0"/>
                <w:sz w:val="18"/>
                <w:szCs w:val="18"/>
              </w:rPr>
              <w:t>63.30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AFDD9">
            <w:pPr>
              <w:widowControl/>
              <w:jc w:val="center"/>
              <w:textAlignment w:val="center"/>
              <w:rPr>
                <w:rFonts w:ascii="宋体" w:hAnsi="宋体" w:cs="宋体"/>
                <w:color w:val="000000"/>
                <w:sz w:val="18"/>
                <w:szCs w:val="18"/>
              </w:rPr>
            </w:pPr>
            <w:r>
              <w:rPr>
                <w:rFonts w:ascii="宋体" w:hAnsi="宋体" w:cs="宋体"/>
                <w:color w:val="000000"/>
                <w:kern w:val="0"/>
                <w:sz w:val="18"/>
                <w:szCs w:val="18"/>
              </w:rPr>
              <w:t>63.30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0126">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465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CAFE">
            <w:pPr>
              <w:jc w:val="center"/>
              <w:rPr>
                <w:rFonts w:ascii="宋体" w:hAnsi="宋体" w:cs="宋体"/>
                <w:color w:val="000000"/>
                <w:sz w:val="18"/>
                <w:szCs w:val="18"/>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80017">
            <w:pPr>
              <w:rPr>
                <w:rFonts w:ascii="黑体" w:hAnsi="黑体" w:eastAsia="黑体" w:cs="黑体"/>
                <w:i/>
                <w:iCs/>
                <w:color w:val="000000"/>
                <w:sz w:val="18"/>
                <w:szCs w:val="18"/>
              </w:rPr>
            </w:pPr>
          </w:p>
        </w:tc>
      </w:tr>
      <w:tr w14:paraId="4507ED7B">
        <w:tblPrEx>
          <w:tblCellMar>
            <w:top w:w="0" w:type="dxa"/>
            <w:left w:w="108" w:type="dxa"/>
            <w:bottom w:w="0" w:type="dxa"/>
            <w:right w:w="108" w:type="dxa"/>
          </w:tblCellMar>
        </w:tblPrEx>
        <w:trPr>
          <w:trHeight w:val="43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7B0E">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65F6">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6A23">
            <w:pPr>
              <w:widowControl/>
              <w:jc w:val="center"/>
              <w:textAlignment w:val="center"/>
              <w:rPr>
                <w:rFonts w:ascii="宋体" w:hAnsi="宋体" w:cs="宋体"/>
                <w:color w:val="000000"/>
                <w:sz w:val="18"/>
                <w:szCs w:val="18"/>
              </w:rPr>
            </w:pPr>
            <w:r>
              <w:rPr>
                <w:rFonts w:ascii="宋体" w:hAnsi="宋体" w:cs="宋体"/>
                <w:color w:val="000000"/>
                <w:kern w:val="0"/>
                <w:sz w:val="18"/>
                <w:szCs w:val="18"/>
              </w:rPr>
              <w:t>63.30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B690">
            <w:pPr>
              <w:widowControl/>
              <w:jc w:val="center"/>
              <w:textAlignment w:val="center"/>
              <w:rPr>
                <w:rFonts w:ascii="宋体" w:hAnsi="宋体" w:cs="宋体"/>
                <w:color w:val="000000"/>
                <w:sz w:val="18"/>
                <w:szCs w:val="18"/>
              </w:rPr>
            </w:pPr>
            <w:r>
              <w:rPr>
                <w:rFonts w:ascii="宋体" w:hAnsi="宋体" w:cs="宋体"/>
                <w:color w:val="000000"/>
                <w:kern w:val="0"/>
                <w:sz w:val="18"/>
                <w:szCs w:val="18"/>
              </w:rPr>
              <w:t>63.30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2AD24">
            <w:pPr>
              <w:widowControl/>
              <w:jc w:val="center"/>
              <w:textAlignment w:val="center"/>
              <w:rPr>
                <w:rFonts w:ascii="宋体" w:hAnsi="宋体" w:cs="宋体"/>
                <w:color w:val="000000"/>
                <w:sz w:val="18"/>
                <w:szCs w:val="18"/>
              </w:rPr>
            </w:pPr>
            <w:r>
              <w:rPr>
                <w:rFonts w:ascii="宋体" w:hAnsi="宋体" w:cs="宋体"/>
                <w:color w:val="000000"/>
                <w:kern w:val="0"/>
                <w:sz w:val="18"/>
                <w:szCs w:val="18"/>
              </w:rPr>
              <w:t>63.30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289E">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315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2F5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2986">
            <w:pPr>
              <w:rPr>
                <w:rFonts w:ascii="黑体" w:hAnsi="黑体" w:eastAsia="黑体" w:cs="黑体"/>
                <w:i/>
                <w:iCs/>
                <w:color w:val="000000"/>
                <w:sz w:val="18"/>
                <w:szCs w:val="18"/>
              </w:rPr>
            </w:pPr>
          </w:p>
        </w:tc>
      </w:tr>
      <w:tr w14:paraId="2F618ABE">
        <w:tblPrEx>
          <w:tblCellMar>
            <w:top w:w="0" w:type="dxa"/>
            <w:left w:w="108" w:type="dxa"/>
            <w:bottom w:w="0" w:type="dxa"/>
            <w:right w:w="108" w:type="dxa"/>
          </w:tblCellMar>
        </w:tblPrEx>
        <w:trPr>
          <w:trHeight w:val="44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8A8E">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D70C">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7A1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E4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CDE3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FBA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CF2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917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03A0F">
            <w:pPr>
              <w:rPr>
                <w:rFonts w:ascii="黑体" w:hAnsi="黑体" w:eastAsia="黑体" w:cs="黑体"/>
                <w:i/>
                <w:iCs/>
                <w:color w:val="000000"/>
                <w:sz w:val="18"/>
                <w:szCs w:val="18"/>
              </w:rPr>
            </w:pPr>
          </w:p>
        </w:tc>
      </w:tr>
      <w:tr w14:paraId="591E453C">
        <w:tblPrEx>
          <w:tblCellMar>
            <w:top w:w="0" w:type="dxa"/>
            <w:left w:w="108" w:type="dxa"/>
            <w:bottom w:w="0" w:type="dxa"/>
            <w:right w:w="108" w:type="dxa"/>
          </w:tblCellMar>
        </w:tblPrEx>
        <w:trPr>
          <w:trHeight w:val="40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88DA">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DADF">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273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732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FDF4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714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880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6EC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68C71">
            <w:pPr>
              <w:rPr>
                <w:rFonts w:ascii="黑体" w:hAnsi="黑体" w:eastAsia="黑体" w:cs="黑体"/>
                <w:i/>
                <w:iCs/>
                <w:color w:val="000000"/>
                <w:sz w:val="18"/>
                <w:szCs w:val="18"/>
              </w:rPr>
            </w:pPr>
          </w:p>
        </w:tc>
      </w:tr>
      <w:tr w14:paraId="2B509B03">
        <w:tblPrEx>
          <w:tblCellMar>
            <w:top w:w="0" w:type="dxa"/>
            <w:left w:w="108" w:type="dxa"/>
            <w:bottom w:w="0" w:type="dxa"/>
            <w:right w:w="108" w:type="dxa"/>
          </w:tblCellMar>
        </w:tblPrEx>
        <w:trPr>
          <w:trHeight w:val="37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F309">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B643">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3A25">
            <w:pPr>
              <w:jc w:val="center"/>
              <w:rPr>
                <w:rFonts w:ascii="微软雅黑" w:hAnsi="微软雅黑" w:eastAsia="微软雅黑" w:cs="微软雅黑"/>
                <w:i/>
                <w:iCs/>
                <w:color w:val="000000"/>
                <w:sz w:val="16"/>
                <w:szCs w:val="16"/>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20A2">
            <w:pPr>
              <w:jc w:val="center"/>
              <w:rPr>
                <w:rFonts w:ascii="微软雅黑" w:hAnsi="微软雅黑" w:eastAsia="微软雅黑" w:cs="微软雅黑"/>
                <w:i/>
                <w:iCs/>
                <w:color w:val="000000"/>
                <w:sz w:val="16"/>
                <w:szCs w:val="16"/>
              </w:rPr>
            </w:pP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B2DA3">
            <w:pPr>
              <w:jc w:val="center"/>
              <w:rPr>
                <w:rFonts w:ascii="微软雅黑" w:hAnsi="微软雅黑" w:eastAsia="微软雅黑" w:cs="微软雅黑"/>
                <w:i/>
                <w:i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629A">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C76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4E5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97EC">
            <w:pPr>
              <w:rPr>
                <w:rFonts w:ascii="黑体" w:hAnsi="黑体" w:eastAsia="黑体" w:cs="黑体"/>
                <w:i/>
                <w:iCs/>
                <w:color w:val="000000"/>
                <w:sz w:val="18"/>
                <w:szCs w:val="18"/>
              </w:rPr>
            </w:pPr>
          </w:p>
        </w:tc>
      </w:tr>
      <w:tr w14:paraId="5F6B3144">
        <w:tblPrEx>
          <w:tblCellMar>
            <w:top w:w="0" w:type="dxa"/>
            <w:left w:w="108" w:type="dxa"/>
            <w:bottom w:w="0" w:type="dxa"/>
            <w:right w:w="108" w:type="dxa"/>
          </w:tblCellMar>
        </w:tblPrEx>
        <w:trPr>
          <w:trHeight w:val="452"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90FB2">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D7FA">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B472">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83F9">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30E8">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2372">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865B">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498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449">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3214">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0ACC">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2B060B6B">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B2326">
            <w:pPr>
              <w:jc w:val="center"/>
              <w:rPr>
                <w:rFonts w:ascii="宋体" w:hAnsi="宋体" w:cs="宋体"/>
                <w:color w:val="000000"/>
                <w:sz w:val="18"/>
                <w:szCs w:val="18"/>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25C5C">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81B8">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76FC">
            <w:pPr>
              <w:widowControl/>
              <w:jc w:val="center"/>
              <w:textAlignment w:val="center"/>
              <w:rPr>
                <w:rFonts w:ascii="宋体" w:hAnsi="宋体" w:cs="宋体"/>
                <w:color w:val="000000"/>
                <w:sz w:val="18"/>
                <w:szCs w:val="18"/>
              </w:rPr>
            </w:pPr>
            <w:r>
              <w:rPr>
                <w:rFonts w:ascii="宋体" w:hAnsi="宋体" w:cs="宋体"/>
                <w:color w:val="000000"/>
                <w:kern w:val="0"/>
                <w:sz w:val="18"/>
                <w:szCs w:val="18"/>
              </w:rPr>
              <w:t>按工作日提供服务</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4AA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2E6E">
            <w:pPr>
              <w:widowControl/>
              <w:jc w:val="center"/>
              <w:textAlignment w:val="center"/>
              <w:rPr>
                <w:rFonts w:ascii="宋体" w:hAnsi="宋体" w:cs="宋体"/>
                <w:color w:val="000000"/>
                <w:sz w:val="18"/>
                <w:szCs w:val="18"/>
              </w:rPr>
            </w:pPr>
            <w:r>
              <w:rPr>
                <w:rFonts w:ascii="宋体" w:hAnsi="宋体" w:cs="宋体"/>
                <w:color w:val="000000"/>
                <w:kern w:val="0"/>
                <w:sz w:val="18"/>
                <w:szCs w:val="18"/>
              </w:rPr>
              <w:t>264</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664B">
            <w:pPr>
              <w:widowControl/>
              <w:jc w:val="center"/>
              <w:textAlignment w:val="center"/>
              <w:rPr>
                <w:rFonts w:ascii="宋体" w:hAnsi="宋体" w:cs="宋体"/>
                <w:color w:val="000000"/>
                <w:sz w:val="18"/>
                <w:szCs w:val="18"/>
              </w:rPr>
            </w:pPr>
            <w:r>
              <w:rPr>
                <w:rFonts w:ascii="宋体" w:hAnsi="宋体" w:cs="宋体"/>
                <w:color w:val="000000"/>
                <w:kern w:val="0"/>
                <w:sz w:val="18"/>
                <w:szCs w:val="18"/>
              </w:rPr>
              <w:t>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DABF">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6BF6">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91C0">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2444">
            <w:pPr>
              <w:jc w:val="center"/>
              <w:rPr>
                <w:rFonts w:ascii="微软雅黑" w:hAnsi="微软雅黑" w:eastAsia="微软雅黑" w:cs="微软雅黑"/>
                <w:i/>
                <w:iCs/>
                <w:color w:val="000000"/>
                <w:sz w:val="16"/>
                <w:szCs w:val="16"/>
              </w:rPr>
            </w:pPr>
          </w:p>
        </w:tc>
      </w:tr>
      <w:tr w14:paraId="45C053CD">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DB9E8">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C9D5">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517D">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E38A">
            <w:pPr>
              <w:widowControl/>
              <w:jc w:val="center"/>
              <w:textAlignment w:val="center"/>
              <w:rPr>
                <w:rFonts w:ascii="宋体" w:hAnsi="宋体" w:cs="宋体"/>
                <w:color w:val="000000"/>
                <w:sz w:val="18"/>
                <w:szCs w:val="18"/>
              </w:rPr>
            </w:pPr>
            <w:r>
              <w:rPr>
                <w:rFonts w:ascii="宋体" w:hAnsi="宋体" w:cs="宋体"/>
                <w:color w:val="000000"/>
                <w:kern w:val="0"/>
                <w:sz w:val="18"/>
                <w:szCs w:val="18"/>
              </w:rPr>
              <w:t>食品安全达到相关安全标准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DED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8E3F">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65A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D468">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FC14">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D1FA">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D4C1">
            <w:pPr>
              <w:jc w:val="center"/>
              <w:rPr>
                <w:rFonts w:ascii="微软雅黑" w:hAnsi="微软雅黑" w:eastAsia="微软雅黑" w:cs="微软雅黑"/>
                <w:i/>
                <w:iCs/>
                <w:color w:val="000000"/>
                <w:sz w:val="16"/>
                <w:szCs w:val="16"/>
              </w:rPr>
            </w:pPr>
          </w:p>
        </w:tc>
      </w:tr>
      <w:tr w14:paraId="4D28A9AB">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26192">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014D7">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C96C">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1298">
            <w:pPr>
              <w:widowControl/>
              <w:jc w:val="center"/>
              <w:textAlignment w:val="center"/>
              <w:rPr>
                <w:rFonts w:ascii="宋体" w:hAnsi="宋体" w:cs="宋体"/>
                <w:color w:val="000000"/>
                <w:sz w:val="18"/>
                <w:szCs w:val="18"/>
              </w:rPr>
            </w:pPr>
            <w:r>
              <w:rPr>
                <w:rFonts w:ascii="宋体" w:hAnsi="宋体" w:cs="宋体"/>
                <w:color w:val="000000"/>
                <w:kern w:val="0"/>
                <w:sz w:val="18"/>
                <w:szCs w:val="18"/>
              </w:rPr>
              <w:t>按照合同约定及时支付服务费用</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2ED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117C">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38C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718F">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B52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E2C2">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FF96">
            <w:pPr>
              <w:jc w:val="center"/>
              <w:rPr>
                <w:rFonts w:ascii="微软雅黑" w:hAnsi="微软雅黑" w:eastAsia="微软雅黑" w:cs="微软雅黑"/>
                <w:i/>
                <w:iCs/>
                <w:color w:val="000000"/>
                <w:sz w:val="16"/>
                <w:szCs w:val="16"/>
              </w:rPr>
            </w:pPr>
          </w:p>
        </w:tc>
      </w:tr>
      <w:tr w14:paraId="42A3E0FD">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B4C1">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6FE4">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D5E5">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70B2">
            <w:pPr>
              <w:widowControl/>
              <w:jc w:val="center"/>
              <w:textAlignment w:val="center"/>
              <w:rPr>
                <w:rFonts w:ascii="宋体" w:hAnsi="宋体" w:cs="宋体"/>
                <w:color w:val="000000"/>
                <w:sz w:val="18"/>
                <w:szCs w:val="18"/>
              </w:rPr>
            </w:pPr>
            <w:r>
              <w:rPr>
                <w:rFonts w:ascii="宋体" w:hAnsi="宋体" w:cs="宋体"/>
                <w:color w:val="000000"/>
                <w:kern w:val="0"/>
                <w:sz w:val="18"/>
                <w:szCs w:val="18"/>
              </w:rPr>
              <w:t>后勤服务费用</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CCE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B564">
            <w:pPr>
              <w:widowControl/>
              <w:jc w:val="center"/>
              <w:textAlignment w:val="center"/>
              <w:rPr>
                <w:rFonts w:ascii="宋体" w:hAnsi="宋体" w:cs="宋体"/>
                <w:color w:val="000000"/>
                <w:sz w:val="18"/>
                <w:szCs w:val="18"/>
              </w:rPr>
            </w:pPr>
            <w:r>
              <w:rPr>
                <w:rFonts w:ascii="宋体" w:hAnsi="宋体" w:cs="宋体"/>
                <w:color w:val="000000"/>
                <w:kern w:val="0"/>
                <w:sz w:val="18"/>
                <w:szCs w:val="18"/>
              </w:rPr>
              <w:t>63.3</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B0B4">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D37E">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D73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55D2">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F52">
            <w:pPr>
              <w:jc w:val="center"/>
              <w:rPr>
                <w:rFonts w:ascii="微软雅黑" w:hAnsi="微软雅黑" w:eastAsia="微软雅黑" w:cs="微软雅黑"/>
                <w:i/>
                <w:iCs/>
                <w:color w:val="000000"/>
                <w:sz w:val="16"/>
                <w:szCs w:val="16"/>
              </w:rPr>
            </w:pPr>
          </w:p>
        </w:tc>
      </w:tr>
      <w:tr w14:paraId="119A4A4B">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7902">
            <w:pPr>
              <w:jc w:val="center"/>
              <w:rPr>
                <w:rFonts w:ascii="宋体" w:hAnsi="宋体" w:cs="宋体"/>
                <w:color w:val="000000"/>
                <w:sz w:val="18"/>
                <w:szCs w:val="18"/>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24E02">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8FAE">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2F79">
            <w:pPr>
              <w:widowControl/>
              <w:jc w:val="center"/>
              <w:textAlignment w:val="center"/>
              <w:rPr>
                <w:rFonts w:ascii="宋体" w:hAnsi="宋体" w:cs="宋体"/>
                <w:color w:val="000000"/>
                <w:sz w:val="18"/>
                <w:szCs w:val="18"/>
              </w:rPr>
            </w:pPr>
            <w:r>
              <w:rPr>
                <w:rFonts w:ascii="宋体" w:hAnsi="宋体" w:cs="宋体"/>
                <w:color w:val="000000"/>
                <w:kern w:val="0"/>
                <w:sz w:val="18"/>
                <w:szCs w:val="18"/>
              </w:rPr>
              <w:t>助力小型企业经济增长</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7D1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F8A3">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217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FFFA">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6E33">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D23D">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90D2">
            <w:pPr>
              <w:jc w:val="center"/>
              <w:rPr>
                <w:rFonts w:ascii="微软雅黑" w:hAnsi="微软雅黑" w:eastAsia="微软雅黑" w:cs="微软雅黑"/>
                <w:i/>
                <w:iCs/>
                <w:color w:val="000000"/>
                <w:sz w:val="16"/>
                <w:szCs w:val="16"/>
              </w:rPr>
            </w:pPr>
          </w:p>
        </w:tc>
      </w:tr>
      <w:tr w14:paraId="5BF2FF2A">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7C44">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8FC0">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1378">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FB6B">
            <w:pPr>
              <w:widowControl/>
              <w:jc w:val="center"/>
              <w:textAlignment w:val="center"/>
              <w:rPr>
                <w:rFonts w:ascii="宋体" w:hAnsi="宋体" w:cs="宋体"/>
                <w:color w:val="000000"/>
                <w:sz w:val="18"/>
                <w:szCs w:val="18"/>
              </w:rPr>
            </w:pPr>
            <w:r>
              <w:rPr>
                <w:rFonts w:ascii="宋体" w:hAnsi="宋体" w:cs="宋体"/>
                <w:color w:val="000000"/>
                <w:kern w:val="0"/>
                <w:sz w:val="18"/>
                <w:szCs w:val="18"/>
              </w:rPr>
              <w:t>就业人数增长率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48A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C7D1">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315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A19A">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D92A">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DF60">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CD19">
            <w:pPr>
              <w:jc w:val="center"/>
              <w:rPr>
                <w:rFonts w:ascii="微软雅黑" w:hAnsi="微软雅黑" w:eastAsia="微软雅黑" w:cs="微软雅黑"/>
                <w:i/>
                <w:iCs/>
                <w:color w:val="000000"/>
                <w:sz w:val="16"/>
                <w:szCs w:val="16"/>
              </w:rPr>
            </w:pPr>
          </w:p>
        </w:tc>
      </w:tr>
      <w:tr w14:paraId="6718CDBB">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C78B">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0556">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25F2">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AB6">
            <w:pPr>
              <w:widowControl/>
              <w:jc w:val="center"/>
              <w:textAlignment w:val="center"/>
              <w:rPr>
                <w:rFonts w:ascii="宋体" w:hAnsi="宋体" w:cs="宋体"/>
                <w:color w:val="000000"/>
                <w:sz w:val="18"/>
                <w:szCs w:val="18"/>
              </w:rPr>
            </w:pPr>
            <w:r>
              <w:rPr>
                <w:rFonts w:ascii="宋体" w:hAnsi="宋体" w:cs="宋体"/>
                <w:color w:val="000000"/>
                <w:kern w:val="0"/>
                <w:sz w:val="18"/>
                <w:szCs w:val="18"/>
              </w:rPr>
              <w:t>职工满意度</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C49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F20B">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AD8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C5D0">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8AA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9005">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83D0">
            <w:pPr>
              <w:jc w:val="center"/>
              <w:rPr>
                <w:rFonts w:ascii="微软雅黑" w:hAnsi="微软雅黑" w:eastAsia="微软雅黑" w:cs="微软雅黑"/>
                <w:i/>
                <w:iCs/>
                <w:color w:val="000000"/>
                <w:sz w:val="16"/>
                <w:szCs w:val="16"/>
              </w:rPr>
            </w:pPr>
          </w:p>
        </w:tc>
      </w:tr>
      <w:tr w14:paraId="50938508">
        <w:tblPrEx>
          <w:tblCellMar>
            <w:top w:w="0" w:type="dxa"/>
            <w:left w:w="108" w:type="dxa"/>
            <w:bottom w:w="0" w:type="dxa"/>
            <w:right w:w="108" w:type="dxa"/>
          </w:tblCellMar>
        </w:tblPrEx>
        <w:trPr>
          <w:trHeight w:val="286" w:hRule="atLeast"/>
        </w:trPr>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6340E6">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0245">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39F">
            <w:pP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6940">
            <w:pPr>
              <w:rPr>
                <w:rFonts w:ascii="宋体" w:hAnsi="宋体" w:cs="宋体"/>
                <w:color w:val="000000"/>
                <w:sz w:val="18"/>
                <w:szCs w:val="18"/>
              </w:rPr>
            </w:pPr>
          </w:p>
        </w:tc>
      </w:tr>
      <w:tr w14:paraId="6CD03979">
        <w:tblPrEx>
          <w:tblCellMar>
            <w:top w:w="0" w:type="dxa"/>
            <w:left w:w="108" w:type="dxa"/>
            <w:bottom w:w="0" w:type="dxa"/>
            <w:right w:w="108" w:type="dxa"/>
          </w:tblCellMar>
        </w:tblPrEx>
        <w:trPr>
          <w:trHeight w:val="60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0ED2">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EF6B0D">
            <w:pPr>
              <w:widowControl/>
              <w:wordWrap w:val="0"/>
              <w:spacing w:line="252" w:lineRule="atLeast"/>
              <w:rPr>
                <w:rFonts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rPr>
              <w:t>交警支队后勤保障服务项目，有效提升了餐厨服务质量，切实落实暖警爱警工程，让民辅警在高强度工作下能够感受到单位的温暖，</w:t>
            </w:r>
            <w:r>
              <w:rPr>
                <w:rFonts w:hint="eastAsia" w:ascii="宋体" w:hAnsi="宋体" w:cs="宋体"/>
                <w:color w:val="000000"/>
                <w:sz w:val="18"/>
                <w:szCs w:val="18"/>
              </w:rPr>
              <w:t>不断提高队伍凝聚力、战斗力和创造力。</w:t>
            </w:r>
          </w:p>
          <w:p w14:paraId="27FC480C">
            <w:pPr>
              <w:widowControl/>
              <w:jc w:val="left"/>
              <w:textAlignment w:val="center"/>
              <w:rPr>
                <w:rFonts w:ascii="微软雅黑" w:hAnsi="微软雅黑" w:eastAsia="微软雅黑" w:cs="微软雅黑"/>
                <w:i/>
                <w:iCs/>
                <w:color w:val="000000"/>
                <w:sz w:val="16"/>
                <w:szCs w:val="16"/>
              </w:rPr>
            </w:pPr>
          </w:p>
        </w:tc>
      </w:tr>
      <w:tr w14:paraId="12A30B8D">
        <w:tblPrEx>
          <w:tblCellMar>
            <w:top w:w="0" w:type="dxa"/>
            <w:left w:w="108" w:type="dxa"/>
            <w:bottom w:w="0" w:type="dxa"/>
            <w:right w:w="108" w:type="dxa"/>
          </w:tblCellMar>
        </w:tblPrEx>
        <w:trPr>
          <w:trHeight w:val="572"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4A0C">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69A045">
            <w:pPr>
              <w:widowControl/>
              <w:jc w:val="left"/>
              <w:textAlignment w:val="center"/>
              <w:rPr>
                <w:rFonts w:ascii="宋体" w:hAnsi="宋体" w:cs="宋体"/>
                <w:i/>
                <w:iCs/>
                <w:color w:val="000000"/>
                <w:sz w:val="18"/>
                <w:szCs w:val="18"/>
              </w:rPr>
            </w:pPr>
            <w:r>
              <w:rPr>
                <w:rFonts w:hint="eastAsia" w:ascii="宋体" w:hAnsi="宋体" w:cs="宋体"/>
                <w:color w:val="000000"/>
                <w:sz w:val="18"/>
                <w:szCs w:val="18"/>
              </w:rPr>
              <w:t>无。</w:t>
            </w:r>
          </w:p>
        </w:tc>
      </w:tr>
      <w:tr w14:paraId="0B51C6ED">
        <w:tblPrEx>
          <w:tblCellMar>
            <w:top w:w="0" w:type="dxa"/>
            <w:left w:w="108" w:type="dxa"/>
            <w:bottom w:w="0" w:type="dxa"/>
            <w:right w:w="108" w:type="dxa"/>
          </w:tblCellMar>
        </w:tblPrEx>
        <w:trPr>
          <w:trHeight w:val="63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DA45">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0A074D">
            <w:pPr>
              <w:widowControl/>
              <w:jc w:val="left"/>
              <w:textAlignment w:val="center"/>
              <w:rPr>
                <w:rFonts w:ascii="微软雅黑" w:hAnsi="微软雅黑" w:eastAsia="微软雅黑" w:cs="微软雅黑"/>
                <w:i/>
                <w:iCs/>
                <w:color w:val="000000"/>
                <w:sz w:val="16"/>
                <w:szCs w:val="16"/>
              </w:rPr>
            </w:pPr>
            <w:r>
              <w:rPr>
                <w:rFonts w:hint="eastAsia" w:ascii="宋体" w:hAnsi="宋体" w:cs="宋体"/>
                <w:color w:val="000000"/>
                <w:sz w:val="18"/>
                <w:szCs w:val="18"/>
              </w:rPr>
              <w:t>无。</w:t>
            </w:r>
          </w:p>
        </w:tc>
      </w:tr>
      <w:tr w14:paraId="791F6215">
        <w:tblPrEx>
          <w:tblCellMar>
            <w:top w:w="0" w:type="dxa"/>
            <w:left w:w="108" w:type="dxa"/>
            <w:bottom w:w="0" w:type="dxa"/>
            <w:right w:w="108" w:type="dxa"/>
          </w:tblCellMar>
        </w:tblPrEx>
        <w:trPr>
          <w:trHeight w:val="286" w:hRule="atLeast"/>
        </w:trPr>
        <w:tc>
          <w:tcPr>
            <w:tcW w:w="4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23DB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41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49089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14:paraId="78A37743">
      <w:pPr>
        <w:pStyle w:val="5"/>
        <w:spacing w:before="93"/>
        <w:rPr>
          <w:rFonts w:ascii="仿宋" w:hAnsi="仿宋" w:eastAsia="仿宋" w:cs="仿宋"/>
          <w:color w:val="000000"/>
          <w:sz w:val="32"/>
          <w:szCs w:val="32"/>
          <w:shd w:val="clear" w:color="auto" w:fill="FFFFFF"/>
          <w:lang w:val="zh-CN"/>
        </w:rPr>
      </w:pPr>
    </w:p>
    <w:p w14:paraId="025AE0DC">
      <w:pPr>
        <w:snapToGrid w:val="0"/>
        <w:spacing w:line="620" w:lineRule="exact"/>
        <w:jc w:val="center"/>
        <w:rPr>
          <w:rFonts w:ascii="宋体" w:hAnsi="宋体" w:cs="宋体"/>
          <w:b/>
          <w:bCs/>
          <w:sz w:val="44"/>
          <w:szCs w:val="44"/>
        </w:rPr>
      </w:pPr>
      <w:r>
        <w:rPr>
          <w:rFonts w:hint="eastAsia" w:ascii="宋体" w:hAnsi="宋体" w:cs="宋体"/>
          <w:b/>
          <w:bCs/>
          <w:sz w:val="44"/>
          <w:szCs w:val="44"/>
        </w:rPr>
        <w:t>部门预算项目支出绩效自评报告</w:t>
      </w:r>
    </w:p>
    <w:p w14:paraId="60906568">
      <w:pPr>
        <w:snapToGrid w:val="0"/>
        <w:spacing w:line="620" w:lineRule="exact"/>
        <w:jc w:val="center"/>
        <w:rPr>
          <w:rFonts w:eastAsia="仿宋_GB2312"/>
          <w:sz w:val="32"/>
          <w:szCs w:val="32"/>
        </w:rPr>
      </w:pPr>
      <w:r>
        <w:rPr>
          <w:rFonts w:ascii="仿宋_GB2312" w:eastAsia="仿宋_GB2312" w:cs="仿宋_GB2312"/>
          <w:sz w:val="32"/>
          <w:szCs w:val="32"/>
        </w:rPr>
        <w:t>（警务辅助人员经费项目）</w:t>
      </w:r>
    </w:p>
    <w:p w14:paraId="4522B5C9">
      <w:pPr>
        <w:widowControl/>
        <w:wordWrap w:val="0"/>
        <w:spacing w:line="360"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为了对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警务辅助人员专项资金使用、管理的科学性、合理性和效益性进行客观、公正的评价，规范警务辅助人员专项资金管理，提高资金使用效益，根据《遂宁市财政局关于开展2023年部门、项目、政策支出绩效自评工作的通知（遂财绩[2023]2号）文件精神，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年度遂宁市公安局警务辅助人员专项资金项目实施了绩效评价。现将项目绩效评价情况报告如下</w:t>
      </w:r>
      <w:r>
        <w:rPr>
          <w:rFonts w:hint="eastAsia" w:ascii="新宋体" w:hAnsi="新宋体" w:eastAsia="新宋体" w:cs="新宋体"/>
          <w:color w:val="000000"/>
          <w:kern w:val="0"/>
          <w:sz w:val="32"/>
          <w:szCs w:val="32"/>
          <w:shd w:val="clear" w:color="auto" w:fill="FFFFFF"/>
        </w:rPr>
        <w:t>：</w:t>
      </w:r>
    </w:p>
    <w:p w14:paraId="6A8D6EFE">
      <w:pPr>
        <w:snapToGrid w:val="0"/>
        <w:spacing w:line="620" w:lineRule="exact"/>
        <w:ind w:left="632"/>
        <w:jc w:val="left"/>
        <w:rPr>
          <w:rFonts w:eastAsia="黑体"/>
          <w:sz w:val="32"/>
          <w:szCs w:val="32"/>
        </w:rPr>
      </w:pPr>
      <w:r>
        <w:rPr>
          <w:rFonts w:hint="eastAsia" w:ascii="黑体" w:hAnsi="宋体" w:eastAsia="黑体" w:cs="黑体"/>
          <w:sz w:val="32"/>
          <w:szCs w:val="32"/>
        </w:rPr>
        <w:t>一、基本情况</w:t>
      </w:r>
    </w:p>
    <w:p w14:paraId="68DE4553">
      <w:pPr>
        <w:widowControl/>
        <w:wordWrap w:val="0"/>
        <w:spacing w:line="360"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为了保障市城区道路畅通、交通秩序良好，2022年交警支队共需招录警务辅助人员290人。对经财政、人力资源和社会保障部门核定的协辅警人员经费列入同级财政预算。为加强交通管理辅助力量建设，规范警务辅助人员管理，保障警务辅助人员合法权益，充分发挥警务辅助人员在协助公安交通管理的积极作用，着力打造素质较高、相对稳定的警务辅助人员队伍，安排了警务辅助人员专项资金。</w:t>
      </w:r>
    </w:p>
    <w:p w14:paraId="326CA34E">
      <w:pPr>
        <w:pStyle w:val="2"/>
        <w:keepNext w:val="0"/>
        <w:keepLines w:val="0"/>
        <w:widowControl/>
        <w:wordWrap w:val="0"/>
        <w:spacing w:line="480" w:lineRule="atLeast"/>
        <w:ind w:firstLine="353" w:firstLineChars="110"/>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rPr>
        <w:t>（一）项目绩效目标</w:t>
      </w:r>
    </w:p>
    <w:p w14:paraId="65EFA0D9">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聘用警务辅助人员，协助民警开展劝阻、查纠交通安全违法行为，维护交通事故现场秩序，开展交通安全宣传教育，疏导交通等交管工作，加大遂宁市城区路面见警率，充分发挥警务辅助人员在协助公安机关交管工作的积极作用，着力打造素质较高、相对稳定的警务辅助人员队伍，为人民群众创造更加安全的居住环境。</w:t>
      </w:r>
    </w:p>
    <w:p w14:paraId="347CAAAF">
      <w:pPr>
        <w:pStyle w:val="2"/>
        <w:keepNext w:val="0"/>
        <w:keepLines w:val="0"/>
        <w:widowControl/>
        <w:wordWrap w:val="0"/>
        <w:spacing w:line="480" w:lineRule="atLeast"/>
        <w:ind w:firstLine="196"/>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rPr>
        <w:t>（二）专项资金的使用及管理情况</w:t>
      </w:r>
    </w:p>
    <w:p w14:paraId="692956EF">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1</w:t>
      </w:r>
      <w:r>
        <w:rPr>
          <w:rFonts w:ascii="仿宋_GB2312" w:eastAsia="仿宋_GB2312" w:cs="仿宋_GB2312"/>
          <w:color w:val="000000"/>
          <w:kern w:val="0"/>
          <w:sz w:val="32"/>
          <w:szCs w:val="32"/>
          <w:shd w:val="clear" w:color="auto" w:fill="FFFFFF"/>
        </w:rPr>
        <w:t>．专项资金安排、拨付情况</w:t>
      </w:r>
    </w:p>
    <w:p w14:paraId="4A1224EE">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按交警支队警务辅助人员保障标准，工资福利社会保障缴费5.5万元/人年。2022年财政实际拨款1440.4万元。</w:t>
      </w:r>
    </w:p>
    <w:p w14:paraId="70965575">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2</w:t>
      </w:r>
      <w:r>
        <w:rPr>
          <w:rFonts w:ascii="仿宋_GB2312" w:eastAsia="仿宋_GB2312" w:cs="仿宋_GB2312"/>
          <w:color w:val="000000"/>
          <w:kern w:val="0"/>
          <w:sz w:val="32"/>
          <w:szCs w:val="32"/>
          <w:shd w:val="clear" w:color="auto" w:fill="FFFFFF"/>
        </w:rPr>
        <w:t>．专项资金使用情况</w:t>
      </w:r>
    </w:p>
    <w:p w14:paraId="175D8F95">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2022年度警务辅助人员经费实际支出1440.4万元。主要用于保障警务辅助人员的基本工资以及按国家规定可以享受的各项社会保险等。</w:t>
      </w:r>
    </w:p>
    <w:p w14:paraId="64B450EB">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3</w:t>
      </w:r>
      <w:r>
        <w:rPr>
          <w:rFonts w:ascii="仿宋_GB2312" w:eastAsia="仿宋_GB2312" w:cs="仿宋_GB2312"/>
          <w:color w:val="000000"/>
          <w:kern w:val="0"/>
          <w:sz w:val="32"/>
          <w:szCs w:val="32"/>
          <w:shd w:val="clear" w:color="auto" w:fill="FFFFFF"/>
        </w:rPr>
        <w:t>．资金管理情况</w:t>
      </w:r>
    </w:p>
    <w:p w14:paraId="77B7B8B9">
      <w:pPr>
        <w:pStyle w:val="12"/>
        <w:widowControl/>
        <w:shd w:val="clear" w:color="auto" w:fill="FFFFFF"/>
        <w:wordWrap w:val="0"/>
        <w:spacing w:line="288" w:lineRule="atLeast"/>
        <w:ind w:firstLine="640"/>
        <w:rPr>
          <w:rFonts w:ascii="宋体" w:hAnsi="宋体" w:cs="宋体"/>
          <w:shd w:val="clear" w:color="auto" w:fill="FFFFFF"/>
        </w:rPr>
      </w:pPr>
      <w:r>
        <w:rPr>
          <w:rFonts w:ascii="仿宋_GB2312" w:hAnsi="宋体" w:eastAsia="仿宋_GB2312" w:cs="仿宋_GB2312"/>
          <w:color w:val="000000"/>
          <w:sz w:val="32"/>
          <w:szCs w:val="32"/>
          <w:shd w:val="clear" w:color="auto" w:fill="FFFFFF"/>
        </w:rPr>
        <w:t>遂宁市公安局交警支队未单独制定警务辅助人员资金管理办法，资金全部由支队装财科统一开支管理。</w:t>
      </w:r>
    </w:p>
    <w:p w14:paraId="3E4268E8">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4</w:t>
      </w:r>
      <w:r>
        <w:rPr>
          <w:rFonts w:ascii="仿宋_GB2312" w:eastAsia="仿宋_GB2312" w:cs="仿宋_GB2312"/>
          <w:color w:val="000000"/>
          <w:kern w:val="0"/>
          <w:sz w:val="32"/>
          <w:szCs w:val="32"/>
          <w:shd w:val="clear" w:color="auto" w:fill="FFFFFF"/>
        </w:rPr>
        <w:t>．项目管理情况</w:t>
      </w:r>
    </w:p>
    <w:p w14:paraId="4E217EF5">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为规范警务辅助人员管理，保障警务辅助人员的合法权益，充分发挥警务辅助人员在协助公安交管工作中的重要作用，对警务辅助人员的职责和权利、招聘、职业保障、考核和奖励、日常管理等进行了详细规定。</w:t>
      </w:r>
    </w:p>
    <w:p w14:paraId="037FAFAA">
      <w:pPr>
        <w:widowControl/>
        <w:wordWrap w:val="0"/>
        <w:spacing w:line="252" w:lineRule="atLeast"/>
        <w:ind w:firstLine="604"/>
        <w:rPr>
          <w:rFonts w:eastAsia="仿宋_GB2312"/>
          <w:sz w:val="32"/>
          <w:szCs w:val="32"/>
        </w:rPr>
      </w:pPr>
      <w:r>
        <w:rPr>
          <w:rFonts w:ascii="仿宋_GB2312" w:eastAsia="仿宋_GB2312" w:cs="仿宋_GB2312"/>
          <w:color w:val="000000"/>
          <w:kern w:val="0"/>
          <w:sz w:val="32"/>
          <w:szCs w:val="32"/>
          <w:shd w:val="clear" w:color="auto" w:fill="FFFFFF"/>
        </w:rPr>
        <w:t>警务辅助人员招聘坚持公开、平等、竞争、择优原则，具体招聘工作由市公安局组织实施，统一发布招聘公告，通过资格审查、体能测试、面试、体检、考察与政审、公示、岗前培训等程序后正式签订劳动合同。</w:t>
      </w:r>
    </w:p>
    <w:p w14:paraId="0081EFB4">
      <w:pPr>
        <w:widowControl/>
        <w:wordWrap w:val="0"/>
        <w:spacing w:line="252" w:lineRule="atLeast"/>
        <w:ind w:firstLine="604"/>
        <w:rPr>
          <w:rFonts w:ascii="宋体" w:hAnsi="宋体" w:cs="宋体"/>
          <w:sz w:val="24"/>
        </w:rPr>
      </w:pPr>
      <w:r>
        <w:rPr>
          <w:rFonts w:ascii="仿宋_GB2312" w:eastAsia="仿宋_GB2312" w:cs="仿宋_GB2312"/>
          <w:color w:val="000000"/>
          <w:kern w:val="0"/>
          <w:sz w:val="32"/>
          <w:szCs w:val="32"/>
          <w:shd w:val="clear" w:color="auto" w:fill="FFFFFF"/>
        </w:rPr>
        <w:t>警务辅助人员均采取劳务派遣的方式，遂宁市公安局与遂宁市顺邦安保服务有限公司、遂宁市忠卫安保服务有限公司签订劳务派遣协议，由安保服务有限公司与警务辅助人员签订劳动合同。</w:t>
      </w:r>
    </w:p>
    <w:p w14:paraId="491D87B2">
      <w:pPr>
        <w:snapToGrid w:val="0"/>
        <w:spacing w:line="620" w:lineRule="exact"/>
        <w:ind w:firstLine="640" w:firstLineChars="200"/>
        <w:rPr>
          <w:rFonts w:eastAsia="黑体"/>
          <w:sz w:val="32"/>
          <w:szCs w:val="32"/>
        </w:rPr>
      </w:pPr>
      <w:r>
        <w:rPr>
          <w:rFonts w:hint="eastAsia" w:ascii="黑体" w:hAnsi="宋体" w:eastAsia="黑体" w:cs="黑体"/>
          <w:sz w:val="32"/>
          <w:szCs w:val="32"/>
        </w:rPr>
        <w:t>二、评价工作开展情况</w:t>
      </w:r>
    </w:p>
    <w:p w14:paraId="7E27A3C7">
      <w:pPr>
        <w:snapToGrid w:val="0"/>
        <w:spacing w:line="620" w:lineRule="exact"/>
        <w:ind w:firstLine="643" w:firstLineChars="200"/>
        <w:rPr>
          <w:rFonts w:ascii="微软雅黑" w:hAnsi="微软雅黑" w:eastAsia="微软雅黑" w:cs="微软雅黑"/>
          <w:b/>
          <w:bCs/>
          <w:color w:val="307BBB"/>
          <w:szCs w:val="21"/>
        </w:rPr>
      </w:pPr>
      <w:r>
        <w:rPr>
          <w:rFonts w:ascii="楷体_GB2312" w:hAnsi="微软雅黑" w:eastAsia="楷体_GB2312" w:cs="楷体_GB2312"/>
          <w:b/>
          <w:bCs/>
          <w:color w:val="000000"/>
          <w:sz w:val="32"/>
          <w:szCs w:val="32"/>
          <w:shd w:val="clear" w:color="auto" w:fill="FFFFFF"/>
        </w:rPr>
        <w:t>（一）绩效评价目的</w:t>
      </w:r>
    </w:p>
    <w:p w14:paraId="37748727">
      <w:pPr>
        <w:widowControl/>
        <w:wordWrap w:val="0"/>
        <w:spacing w:line="252" w:lineRule="atLeast"/>
        <w:ind w:firstLine="640"/>
        <w:rPr>
          <w:rFonts w:eastAsia="微软雅黑"/>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p>
    <w:p w14:paraId="588D7DF2">
      <w:pPr>
        <w:widowControl/>
        <w:wordWrap w:val="0"/>
        <w:spacing w:line="252" w:lineRule="atLeast"/>
        <w:ind w:firstLine="640"/>
        <w:rPr>
          <w:rFonts w:ascii="微软雅黑" w:hAnsi="微软雅黑" w:eastAsia="微软雅黑" w:cs="微软雅黑"/>
          <w:b/>
          <w:bCs/>
          <w:color w:val="307BBB"/>
          <w:szCs w:val="21"/>
        </w:rPr>
      </w:pPr>
      <w:r>
        <w:rPr>
          <w:rFonts w:ascii="楷体_GB2312" w:hAnsi="微软雅黑" w:eastAsia="楷体_GB2312" w:cs="楷体_GB2312"/>
          <w:b/>
          <w:bCs/>
          <w:color w:val="000000"/>
          <w:sz w:val="32"/>
          <w:szCs w:val="32"/>
          <w:shd w:val="clear" w:color="auto" w:fill="FFFFFF"/>
        </w:rPr>
        <w:t>（二）绩效评价过程</w:t>
      </w:r>
    </w:p>
    <w:p w14:paraId="6FA3D531">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根据《遂宁市财政局关于开展2023年部门、项目、政策支出绩效自评工作的通知（遂财绩[2023]2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14:paraId="3CA53FA1">
      <w:pPr>
        <w:snapToGrid w:val="0"/>
        <w:spacing w:line="620" w:lineRule="exact"/>
        <w:ind w:firstLine="640" w:firstLineChars="200"/>
        <w:rPr>
          <w:rFonts w:eastAsia="黑体"/>
          <w:sz w:val="32"/>
          <w:szCs w:val="32"/>
        </w:rPr>
      </w:pPr>
      <w:r>
        <w:rPr>
          <w:rFonts w:hint="eastAsia" w:ascii="黑体" w:hAnsi="宋体" w:eastAsia="黑体" w:cs="黑体"/>
          <w:sz w:val="32"/>
          <w:szCs w:val="32"/>
        </w:rPr>
        <w:t>三、综合评价结论（附评分表）</w:t>
      </w:r>
    </w:p>
    <w:p w14:paraId="7207A65A">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实施2022年警务辅助人员经费项目，组建辅警队伍，协助民警开展劝阻、查纠交通安全违法行为，维护交通事故现场秩序，开展交通安全宣传教育，疏导交通等交管工作，有效缓解一线警力不足的现状。但在资金管理和项目管理方面还有待规范。</w:t>
      </w:r>
    </w:p>
    <w:p w14:paraId="7F4A0792">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根据《</w:t>
      </w:r>
      <w:r>
        <w:rPr>
          <w:rFonts w:eastAsia="微软雅黑"/>
          <w:color w:val="000000"/>
          <w:kern w:val="0"/>
          <w:sz w:val="32"/>
          <w:szCs w:val="32"/>
          <w:shd w:val="clear" w:color="auto" w:fill="FFFFFF"/>
        </w:rPr>
        <w:t>2023</w:t>
      </w:r>
      <w:r>
        <w:rPr>
          <w:rFonts w:ascii="仿宋_GB2312" w:eastAsia="仿宋_GB2312" w:cs="仿宋_GB2312"/>
          <w:color w:val="000000"/>
          <w:kern w:val="0"/>
          <w:sz w:val="32"/>
          <w:szCs w:val="32"/>
          <w:shd w:val="clear" w:color="auto" w:fill="FFFFFF"/>
        </w:rPr>
        <w:t>年度实际项目支出绩效评价指标体系》，</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年度遂宁市公安局交警支队警务辅助人员经费绩效评价综合得分为</w:t>
      </w:r>
      <w:r>
        <w:rPr>
          <w:rFonts w:eastAsia="微软雅黑"/>
          <w:color w:val="000000"/>
          <w:kern w:val="0"/>
          <w:sz w:val="32"/>
          <w:szCs w:val="32"/>
          <w:shd w:val="clear" w:color="auto" w:fill="FFFFFF"/>
        </w:rPr>
        <w:t>94</w:t>
      </w:r>
      <w:r>
        <w:rPr>
          <w:rFonts w:ascii="仿宋_GB2312" w:eastAsia="仿宋_GB2312" w:cs="仿宋_GB2312"/>
          <w:color w:val="000000"/>
          <w:kern w:val="0"/>
          <w:sz w:val="32"/>
          <w:szCs w:val="32"/>
          <w:shd w:val="clear" w:color="auto" w:fill="FFFFFF"/>
        </w:rPr>
        <w:t>分。评价等级为</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优</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w:t>
      </w:r>
    </w:p>
    <w:p w14:paraId="2C0D662E">
      <w:pPr>
        <w:snapToGrid w:val="0"/>
        <w:spacing w:line="620" w:lineRule="exact"/>
        <w:ind w:firstLine="640" w:firstLineChars="200"/>
        <w:rPr>
          <w:rFonts w:eastAsia="黑体"/>
          <w:bCs/>
          <w:sz w:val="32"/>
          <w:szCs w:val="32"/>
        </w:rPr>
      </w:pPr>
      <w:r>
        <w:rPr>
          <w:rFonts w:hint="eastAsia" w:ascii="黑体" w:hAnsi="宋体" w:eastAsia="黑体" w:cs="黑体"/>
          <w:bCs/>
          <w:sz w:val="32"/>
          <w:szCs w:val="32"/>
        </w:rPr>
        <w:t>四、绩效评价分析</w:t>
      </w:r>
    </w:p>
    <w:p w14:paraId="64B6ABF8">
      <w:pPr>
        <w:pStyle w:val="2"/>
        <w:keepNext w:val="0"/>
        <w:keepLines w:val="0"/>
        <w:widowControl/>
        <w:wordWrap w:val="0"/>
        <w:spacing w:line="480" w:lineRule="atLeast"/>
        <w:ind w:firstLine="511" w:firstLineChars="159"/>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（一）项目决策、管理情况</w:t>
      </w:r>
    </w:p>
    <w:p w14:paraId="66F1A3EF">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交警支队警务辅助人员积极协助民警开展交通管理工作，有效化解影响社会稳定的矛盾纠纷，确保了重大活动安全有序进行。</w:t>
      </w:r>
    </w:p>
    <w:p w14:paraId="65310E38">
      <w:pPr>
        <w:widowControl/>
        <w:wordWrap w:val="0"/>
        <w:spacing w:line="252" w:lineRule="atLeast"/>
        <w:ind w:firstLine="640"/>
        <w:rPr>
          <w:rFonts w:ascii="微软雅黑" w:hAnsi="微软雅黑" w:eastAsia="楷体_GB2312" w:cs="微软雅黑"/>
          <w:b/>
          <w:bCs/>
          <w:color w:val="307BBB"/>
          <w:szCs w:val="21"/>
        </w:rPr>
      </w:pPr>
      <w:r>
        <w:rPr>
          <w:rFonts w:ascii="楷体_GB2312" w:hAnsi="微软雅黑" w:eastAsia="楷体_GB2312" w:cs="楷体_GB2312"/>
          <w:b/>
          <w:bCs/>
          <w:color w:val="000000"/>
          <w:sz w:val="32"/>
          <w:szCs w:val="32"/>
          <w:shd w:val="clear" w:color="auto" w:fill="FFFFFF"/>
        </w:rPr>
        <w:t>（二）项目产出、效益情况</w:t>
      </w:r>
    </w:p>
    <w:p w14:paraId="19F5F6E0">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辅警在民警带领下，积极配合交通事故案件查处和交通秩序维护相关工作，在全市辅警队伍积极配合参与下，公众安全感指数增长率达到23%，城市交通长时间拥堵率达到12%，交通事故成功处置率达到90%。全市取得了发案下降、安全事故下降、破案率上升、群众安全感上升、满意度上升</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两下降三上升</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的好成绩。</w:t>
      </w:r>
    </w:p>
    <w:p w14:paraId="488267B5">
      <w:pPr>
        <w:snapToGrid w:val="0"/>
        <w:spacing w:line="620" w:lineRule="exact"/>
        <w:ind w:firstLine="640" w:firstLineChars="200"/>
        <w:rPr>
          <w:rFonts w:eastAsia="黑体"/>
          <w:sz w:val="32"/>
          <w:szCs w:val="32"/>
        </w:rPr>
      </w:pPr>
      <w:r>
        <w:rPr>
          <w:rFonts w:hint="eastAsia" w:ascii="黑体" w:hAnsi="宋体" w:eastAsia="黑体" w:cs="黑体"/>
          <w:sz w:val="32"/>
          <w:szCs w:val="32"/>
        </w:rPr>
        <w:t>五、存在主要问题</w:t>
      </w:r>
    </w:p>
    <w:p w14:paraId="1E8C1A3A">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遂宁市公安局交警支队未单独制定警务辅助人员经费管理办法。</w:t>
      </w:r>
    </w:p>
    <w:p w14:paraId="38219A43">
      <w:pPr>
        <w:snapToGrid w:val="0"/>
        <w:spacing w:line="620" w:lineRule="exact"/>
        <w:ind w:firstLine="640" w:firstLineChars="200"/>
        <w:rPr>
          <w:rFonts w:eastAsia="黑体"/>
          <w:sz w:val="32"/>
          <w:szCs w:val="32"/>
        </w:rPr>
      </w:pPr>
      <w:r>
        <w:rPr>
          <w:rFonts w:hint="eastAsia" w:ascii="黑体" w:hAnsi="宋体" w:eastAsia="黑体" w:cs="黑体"/>
          <w:sz w:val="32"/>
          <w:szCs w:val="32"/>
        </w:rPr>
        <w:t>六、相关措施建议</w:t>
      </w:r>
    </w:p>
    <w:p w14:paraId="4BF1C25B">
      <w:pPr>
        <w:snapToGrid w:val="0"/>
        <w:spacing w:line="620" w:lineRule="exact"/>
        <w:ind w:firstLine="643" w:firstLineChars="200"/>
        <w:rPr>
          <w:rFonts w:eastAsia="仿宋_GB2312"/>
          <w:sz w:val="32"/>
          <w:szCs w:val="32"/>
        </w:rPr>
      </w:pPr>
      <w:r>
        <w:rPr>
          <w:rFonts w:ascii="楷体_GB2312" w:eastAsia="楷体_GB2312" w:cs="楷体_GB2312"/>
          <w:b/>
          <w:color w:val="000000"/>
          <w:kern w:val="0"/>
          <w:sz w:val="32"/>
          <w:szCs w:val="32"/>
        </w:rPr>
        <w:t>（一）制定专项资金管理办法，加强资金监管力度</w:t>
      </w:r>
    </w:p>
    <w:p w14:paraId="3ECD72DE">
      <w:pPr>
        <w:widowControl/>
        <w:wordWrap w:val="0"/>
        <w:spacing w:line="360"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警务辅助人员专项资金规模较大，且管理的警辅人员较多。制定专项资金管理办法，对资金申报、分配、管理、使用、公示、项目层级管理、绩效评价、后续监督检查等进行明确，进一步规范专项资金管理，确保资金专款专用、高效使用。</w:t>
      </w:r>
    </w:p>
    <w:p w14:paraId="091A04CD">
      <w:pPr>
        <w:widowControl/>
        <w:wordWrap w:val="0"/>
        <w:spacing w:line="360" w:lineRule="atLeast"/>
        <w:ind w:firstLine="643"/>
        <w:rPr>
          <w:rFonts w:eastAsia="仿宋_GB2312"/>
          <w:sz w:val="32"/>
          <w:szCs w:val="32"/>
        </w:rPr>
      </w:pPr>
      <w:r>
        <w:rPr>
          <w:rFonts w:ascii="楷体_GB2312" w:eastAsia="楷体_GB2312" w:cs="楷体_GB2312"/>
          <w:b/>
          <w:color w:val="000000"/>
          <w:kern w:val="0"/>
          <w:sz w:val="32"/>
          <w:szCs w:val="32"/>
        </w:rPr>
        <w:t>（二）提升群众满意度</w:t>
      </w:r>
    </w:p>
    <w:p w14:paraId="5D6F7EE8">
      <w:pPr>
        <w:widowControl/>
        <w:wordWrap w:val="0"/>
        <w:spacing w:line="360"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一是加强警务工作，创新便民利民措施，对各种利益群体诉求问题，积极开展教育疏导、调处化解工作，尽最大可能化解矛盾纠纷，消除隐患。二是加强警务辅助人员思想政治教育和宣传，塑造良好形象，加强舆论宣传引导工作，着重突出警务辅助人员在侦察破案、交通执法、服务群众等方面取得的成绩和队伍中涌现的先进人物，积极引导群众真正了解、理解和支持公安工作，着力纠正执法办案中存在的突出问题，不断提升群众的满意度。</w:t>
      </w:r>
    </w:p>
    <w:tbl>
      <w:tblPr>
        <w:tblStyle w:val="13"/>
        <w:tblW w:w="8570" w:type="dxa"/>
        <w:tblInd w:w="98" w:type="dxa"/>
        <w:tblLayout w:type="autofit"/>
        <w:tblCellMar>
          <w:top w:w="0" w:type="dxa"/>
          <w:left w:w="108" w:type="dxa"/>
          <w:bottom w:w="0" w:type="dxa"/>
          <w:right w:w="108" w:type="dxa"/>
        </w:tblCellMar>
      </w:tblPr>
      <w:tblGrid>
        <w:gridCol w:w="625"/>
        <w:gridCol w:w="1024"/>
        <w:gridCol w:w="936"/>
        <w:gridCol w:w="1344"/>
        <w:gridCol w:w="476"/>
        <w:gridCol w:w="884"/>
        <w:gridCol w:w="476"/>
        <w:gridCol w:w="998"/>
        <w:gridCol w:w="486"/>
        <w:gridCol w:w="418"/>
        <w:gridCol w:w="903"/>
      </w:tblGrid>
      <w:tr w14:paraId="363CEDE3">
        <w:tblPrEx>
          <w:tblCellMar>
            <w:top w:w="0" w:type="dxa"/>
            <w:left w:w="108" w:type="dxa"/>
            <w:bottom w:w="0" w:type="dxa"/>
            <w:right w:w="108" w:type="dxa"/>
          </w:tblCellMar>
        </w:tblPrEx>
        <w:trPr>
          <w:trHeight w:val="904" w:hRule="atLeast"/>
        </w:trPr>
        <w:tc>
          <w:tcPr>
            <w:tcW w:w="85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FCEB27">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14:paraId="0F8777B4">
        <w:tblPrEx>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AE50F">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ADF58E">
            <w:pPr>
              <w:widowControl/>
              <w:jc w:val="left"/>
              <w:textAlignment w:val="center"/>
              <w:rPr>
                <w:rFonts w:ascii="宋体" w:hAnsi="宋体" w:cs="宋体"/>
                <w:color w:val="000000"/>
                <w:sz w:val="18"/>
                <w:szCs w:val="18"/>
              </w:rPr>
            </w:pPr>
            <w:r>
              <w:rPr>
                <w:rFonts w:ascii="宋体" w:hAnsi="宋体" w:cs="宋体"/>
                <w:color w:val="000000"/>
                <w:kern w:val="0"/>
                <w:sz w:val="18"/>
                <w:szCs w:val="18"/>
              </w:rPr>
              <w:t>51090022T000004783465-警务辅助人员项目经费</w:t>
            </w:r>
          </w:p>
        </w:tc>
      </w:tr>
      <w:tr w14:paraId="5DFC5462">
        <w:tblPrEx>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232AD">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2BBC5">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遂宁市公安局部门</w:t>
            </w:r>
          </w:p>
        </w:tc>
        <w:tc>
          <w:tcPr>
            <w:tcW w:w="1000" w:type="dxa"/>
            <w:tcBorders>
              <w:top w:val="nil"/>
              <w:left w:val="nil"/>
              <w:bottom w:val="nil"/>
              <w:right w:val="nil"/>
            </w:tcBorders>
            <w:shd w:val="clear" w:color="auto" w:fill="auto"/>
            <w:vAlign w:val="center"/>
          </w:tcPr>
          <w:p w14:paraId="1DBE961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B1D30">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遂宁市公安局交通警察支队</w:t>
            </w:r>
          </w:p>
        </w:tc>
      </w:tr>
      <w:tr w14:paraId="41E45072">
        <w:tblPrEx>
          <w:tblCellMar>
            <w:top w:w="0" w:type="dxa"/>
            <w:left w:w="108" w:type="dxa"/>
            <w:bottom w:w="0" w:type="dxa"/>
            <w:right w:w="108" w:type="dxa"/>
          </w:tblCellMar>
        </w:tblPrEx>
        <w:trPr>
          <w:trHeight w:val="286"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04C7B">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F41C6">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F0522">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9B933">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4C03105A">
        <w:tblPrEx>
          <w:tblCellMar>
            <w:top w:w="0" w:type="dxa"/>
            <w:left w:w="108" w:type="dxa"/>
            <w:bottom w:w="0" w:type="dxa"/>
            <w:right w:w="108" w:type="dxa"/>
          </w:tblCellMar>
        </w:tblPrEx>
        <w:trPr>
          <w:trHeight w:val="708"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9A7B">
            <w:pP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A145">
            <w:pPr>
              <w:rPr>
                <w:rFonts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CDC8F">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保障交警支队277人辅警工资及社保缴费及时支付。</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1FCDC">
            <w:pPr>
              <w:widowControl/>
              <w:jc w:val="left"/>
              <w:textAlignment w:val="center"/>
              <w:rPr>
                <w:rFonts w:ascii="黑体" w:hAnsi="黑体" w:eastAsia="黑体" w:cs="黑体"/>
                <w:color w:val="000000"/>
                <w:sz w:val="18"/>
                <w:szCs w:val="18"/>
              </w:rPr>
            </w:pPr>
            <w:r>
              <w:rPr>
                <w:rFonts w:hint="eastAsia" w:ascii="宋体" w:hAnsi="宋体" w:cs="宋体"/>
                <w:color w:val="000000"/>
                <w:kern w:val="0"/>
                <w:sz w:val="18"/>
                <w:szCs w:val="18"/>
              </w:rPr>
              <w:t>完成</w:t>
            </w:r>
            <w:r>
              <w:rPr>
                <w:rFonts w:ascii="宋体" w:hAnsi="宋体" w:cs="宋体"/>
                <w:color w:val="000000"/>
                <w:kern w:val="0"/>
                <w:sz w:val="18"/>
                <w:szCs w:val="18"/>
              </w:rPr>
              <w:t>交警支队277人辅警工资及社保缴费及时支付。</w:t>
            </w:r>
          </w:p>
        </w:tc>
      </w:tr>
      <w:tr w14:paraId="5A9649C3">
        <w:tblPrEx>
          <w:tblCellMar>
            <w:top w:w="0" w:type="dxa"/>
            <w:left w:w="108" w:type="dxa"/>
            <w:bottom w:w="0" w:type="dxa"/>
            <w:right w:w="108" w:type="dxa"/>
          </w:tblCellMar>
        </w:tblPrEx>
        <w:trPr>
          <w:trHeight w:val="693"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2256">
            <w:pP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48E7">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46262D">
            <w:pPr>
              <w:rPr>
                <w:rFonts w:ascii="宋体" w:hAnsi="宋体" w:cs="宋体"/>
                <w:color w:val="000000"/>
                <w:sz w:val="18"/>
                <w:szCs w:val="18"/>
              </w:rPr>
            </w:pPr>
          </w:p>
        </w:tc>
      </w:tr>
      <w:tr w14:paraId="01EE4389">
        <w:tblPrEx>
          <w:tblCellMar>
            <w:top w:w="0" w:type="dxa"/>
            <w:left w:w="108" w:type="dxa"/>
            <w:bottom w:w="0" w:type="dxa"/>
            <w:right w:w="108" w:type="dxa"/>
          </w:tblCellMar>
        </w:tblPrEx>
        <w:trPr>
          <w:trHeight w:val="361"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82DF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3992">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AEC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9310">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82116">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47D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36C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FA4D">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9943">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145864E9">
        <w:tblPrEx>
          <w:tblCellMar>
            <w:top w:w="0" w:type="dxa"/>
            <w:left w:w="108" w:type="dxa"/>
            <w:bottom w:w="0" w:type="dxa"/>
            <w:right w:w="108" w:type="dxa"/>
          </w:tblCellMar>
        </w:tblPrEx>
        <w:trPr>
          <w:trHeight w:val="38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A284">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7623">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A2EC">
            <w:pPr>
              <w:widowControl/>
              <w:jc w:val="center"/>
              <w:textAlignment w:val="center"/>
              <w:rPr>
                <w:rFonts w:ascii="宋体" w:hAnsi="宋体" w:cs="宋体"/>
                <w:color w:val="000000"/>
                <w:sz w:val="18"/>
                <w:szCs w:val="18"/>
              </w:rPr>
            </w:pPr>
            <w:r>
              <w:rPr>
                <w:rFonts w:ascii="宋体" w:hAnsi="宋体" w:cs="宋体"/>
                <w:color w:val="000000"/>
                <w:kern w:val="0"/>
                <w:sz w:val="18"/>
                <w:szCs w:val="18"/>
              </w:rPr>
              <w:t>1,440.40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53DD">
            <w:pPr>
              <w:widowControl/>
              <w:jc w:val="center"/>
              <w:textAlignment w:val="center"/>
              <w:rPr>
                <w:rFonts w:ascii="宋体" w:hAnsi="宋体" w:cs="宋体"/>
                <w:color w:val="000000"/>
                <w:sz w:val="18"/>
                <w:szCs w:val="18"/>
              </w:rPr>
            </w:pPr>
            <w:r>
              <w:rPr>
                <w:rFonts w:ascii="宋体" w:hAnsi="宋体" w:cs="宋体"/>
                <w:color w:val="000000"/>
                <w:kern w:val="0"/>
                <w:sz w:val="18"/>
                <w:szCs w:val="18"/>
              </w:rPr>
              <w:t>1,440.40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DE62A">
            <w:pPr>
              <w:widowControl/>
              <w:jc w:val="center"/>
              <w:textAlignment w:val="center"/>
              <w:rPr>
                <w:rFonts w:ascii="宋体" w:hAnsi="宋体" w:cs="宋体"/>
                <w:color w:val="000000"/>
                <w:sz w:val="18"/>
                <w:szCs w:val="18"/>
              </w:rPr>
            </w:pPr>
            <w:r>
              <w:rPr>
                <w:rFonts w:ascii="宋体" w:hAnsi="宋体" w:cs="宋体"/>
                <w:color w:val="000000"/>
                <w:kern w:val="0"/>
                <w:sz w:val="18"/>
                <w:szCs w:val="18"/>
              </w:rPr>
              <w:t>1,440.40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604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193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07F6">
            <w:pPr>
              <w:jc w:val="center"/>
              <w:rPr>
                <w:rFonts w:ascii="宋体" w:hAnsi="宋体" w:cs="宋体"/>
                <w:color w:val="000000"/>
                <w:sz w:val="18"/>
                <w:szCs w:val="18"/>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4D87B">
            <w:pPr>
              <w:rPr>
                <w:rFonts w:ascii="黑体" w:hAnsi="黑体" w:eastAsia="黑体" w:cs="黑体"/>
                <w:i/>
                <w:iCs/>
                <w:color w:val="000000"/>
                <w:sz w:val="18"/>
                <w:szCs w:val="18"/>
              </w:rPr>
            </w:pPr>
          </w:p>
        </w:tc>
      </w:tr>
      <w:tr w14:paraId="43416F91">
        <w:tblPrEx>
          <w:tblCellMar>
            <w:top w:w="0" w:type="dxa"/>
            <w:left w:w="108" w:type="dxa"/>
            <w:bottom w:w="0" w:type="dxa"/>
            <w:right w:w="108" w:type="dxa"/>
          </w:tblCellMar>
        </w:tblPrEx>
        <w:trPr>
          <w:trHeight w:val="43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F3E4">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AB38">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1F6A">
            <w:pPr>
              <w:widowControl/>
              <w:jc w:val="center"/>
              <w:textAlignment w:val="center"/>
              <w:rPr>
                <w:rFonts w:ascii="宋体" w:hAnsi="宋体" w:cs="宋体"/>
                <w:color w:val="000000"/>
                <w:sz w:val="18"/>
                <w:szCs w:val="18"/>
              </w:rPr>
            </w:pPr>
            <w:r>
              <w:rPr>
                <w:rFonts w:ascii="宋体" w:hAnsi="宋体" w:cs="宋体"/>
                <w:color w:val="000000"/>
                <w:kern w:val="0"/>
                <w:sz w:val="18"/>
                <w:szCs w:val="18"/>
              </w:rPr>
              <w:t>1,440.40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78EA">
            <w:pPr>
              <w:widowControl/>
              <w:jc w:val="center"/>
              <w:textAlignment w:val="center"/>
              <w:rPr>
                <w:rFonts w:ascii="宋体" w:hAnsi="宋体" w:cs="宋体"/>
                <w:color w:val="000000"/>
                <w:sz w:val="18"/>
                <w:szCs w:val="18"/>
              </w:rPr>
            </w:pPr>
            <w:r>
              <w:rPr>
                <w:rFonts w:ascii="宋体" w:hAnsi="宋体" w:cs="宋体"/>
                <w:color w:val="000000"/>
                <w:kern w:val="0"/>
                <w:sz w:val="18"/>
                <w:szCs w:val="18"/>
              </w:rPr>
              <w:t>1,440.40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25A5F">
            <w:pPr>
              <w:widowControl/>
              <w:jc w:val="center"/>
              <w:textAlignment w:val="center"/>
              <w:rPr>
                <w:rFonts w:ascii="宋体" w:hAnsi="宋体" w:cs="宋体"/>
                <w:color w:val="000000"/>
                <w:sz w:val="18"/>
                <w:szCs w:val="18"/>
              </w:rPr>
            </w:pPr>
            <w:r>
              <w:rPr>
                <w:rFonts w:ascii="宋体" w:hAnsi="宋体" w:cs="宋体"/>
                <w:color w:val="000000"/>
                <w:kern w:val="0"/>
                <w:sz w:val="18"/>
                <w:szCs w:val="18"/>
              </w:rPr>
              <w:t>1,440.40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DC8B">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CDB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5B3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0B68">
            <w:pPr>
              <w:rPr>
                <w:rFonts w:ascii="黑体" w:hAnsi="黑体" w:eastAsia="黑体" w:cs="黑体"/>
                <w:i/>
                <w:iCs/>
                <w:color w:val="000000"/>
                <w:sz w:val="18"/>
                <w:szCs w:val="18"/>
              </w:rPr>
            </w:pPr>
          </w:p>
        </w:tc>
      </w:tr>
      <w:tr w14:paraId="04294095">
        <w:tblPrEx>
          <w:tblCellMar>
            <w:top w:w="0" w:type="dxa"/>
            <w:left w:w="108" w:type="dxa"/>
            <w:bottom w:w="0" w:type="dxa"/>
            <w:right w:w="108" w:type="dxa"/>
          </w:tblCellMar>
        </w:tblPrEx>
        <w:trPr>
          <w:trHeight w:val="44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D843">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00F7">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2A7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FEF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D43E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FE6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EA9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747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54E77">
            <w:pPr>
              <w:rPr>
                <w:rFonts w:ascii="黑体" w:hAnsi="黑体" w:eastAsia="黑体" w:cs="黑体"/>
                <w:i/>
                <w:iCs/>
                <w:color w:val="000000"/>
                <w:sz w:val="18"/>
                <w:szCs w:val="18"/>
              </w:rPr>
            </w:pPr>
          </w:p>
        </w:tc>
      </w:tr>
      <w:tr w14:paraId="644E0FCF">
        <w:tblPrEx>
          <w:tblCellMar>
            <w:top w:w="0" w:type="dxa"/>
            <w:left w:w="108" w:type="dxa"/>
            <w:bottom w:w="0" w:type="dxa"/>
            <w:right w:w="108" w:type="dxa"/>
          </w:tblCellMar>
        </w:tblPrEx>
        <w:trPr>
          <w:trHeight w:val="40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BC53">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CC17">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C60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72C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B525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63F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532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6B8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6C90B">
            <w:pPr>
              <w:rPr>
                <w:rFonts w:ascii="黑体" w:hAnsi="黑体" w:eastAsia="黑体" w:cs="黑体"/>
                <w:i/>
                <w:iCs/>
                <w:color w:val="000000"/>
                <w:sz w:val="18"/>
                <w:szCs w:val="18"/>
              </w:rPr>
            </w:pPr>
          </w:p>
        </w:tc>
      </w:tr>
      <w:tr w14:paraId="5CA183A6">
        <w:tblPrEx>
          <w:tblCellMar>
            <w:top w:w="0" w:type="dxa"/>
            <w:left w:w="108" w:type="dxa"/>
            <w:bottom w:w="0" w:type="dxa"/>
            <w:right w:w="108" w:type="dxa"/>
          </w:tblCellMar>
        </w:tblPrEx>
        <w:trPr>
          <w:trHeight w:val="37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7435">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625E">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1905">
            <w:pPr>
              <w:jc w:val="center"/>
              <w:rPr>
                <w:rFonts w:ascii="微软雅黑" w:hAnsi="微软雅黑" w:eastAsia="微软雅黑" w:cs="微软雅黑"/>
                <w:i/>
                <w:iCs/>
                <w:color w:val="000000"/>
                <w:sz w:val="16"/>
                <w:szCs w:val="16"/>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4F82">
            <w:pPr>
              <w:jc w:val="center"/>
              <w:rPr>
                <w:rFonts w:ascii="微软雅黑" w:hAnsi="微软雅黑" w:eastAsia="微软雅黑" w:cs="微软雅黑"/>
                <w:i/>
                <w:iCs/>
                <w:color w:val="000000"/>
                <w:sz w:val="16"/>
                <w:szCs w:val="16"/>
              </w:rPr>
            </w:pP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FE8AF">
            <w:pPr>
              <w:jc w:val="center"/>
              <w:rPr>
                <w:rFonts w:ascii="微软雅黑" w:hAnsi="微软雅黑" w:eastAsia="微软雅黑" w:cs="微软雅黑"/>
                <w:i/>
                <w:i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83FE">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DA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902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5B71C">
            <w:pPr>
              <w:rPr>
                <w:rFonts w:ascii="黑体" w:hAnsi="黑体" w:eastAsia="黑体" w:cs="黑体"/>
                <w:i/>
                <w:iCs/>
                <w:color w:val="000000"/>
                <w:sz w:val="18"/>
                <w:szCs w:val="18"/>
              </w:rPr>
            </w:pPr>
          </w:p>
        </w:tc>
      </w:tr>
      <w:tr w14:paraId="537AAAB7">
        <w:tblPrEx>
          <w:tblCellMar>
            <w:top w:w="0" w:type="dxa"/>
            <w:left w:w="108" w:type="dxa"/>
            <w:bottom w:w="0" w:type="dxa"/>
            <w:right w:w="108" w:type="dxa"/>
          </w:tblCellMar>
        </w:tblPrEx>
        <w:trPr>
          <w:trHeight w:val="452"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139E5">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86F0">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512A">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9822">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5643">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7CAC">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985E">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6343">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9B37">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C1A6">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61A8">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07CEE93F">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B57E">
            <w:pPr>
              <w:jc w:val="center"/>
              <w:rPr>
                <w:rFonts w:ascii="宋体" w:hAnsi="宋体" w:cs="宋体"/>
                <w:color w:val="000000"/>
                <w:sz w:val="18"/>
                <w:szCs w:val="18"/>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F4663">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315A">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24B1">
            <w:pPr>
              <w:widowControl/>
              <w:jc w:val="center"/>
              <w:textAlignment w:val="center"/>
              <w:rPr>
                <w:rFonts w:ascii="宋体" w:hAnsi="宋体" w:cs="宋体"/>
                <w:color w:val="000000"/>
                <w:sz w:val="18"/>
                <w:szCs w:val="18"/>
              </w:rPr>
            </w:pPr>
            <w:r>
              <w:rPr>
                <w:rFonts w:ascii="宋体" w:hAnsi="宋体" w:cs="宋体"/>
                <w:color w:val="000000"/>
                <w:kern w:val="0"/>
                <w:sz w:val="18"/>
                <w:szCs w:val="18"/>
              </w:rPr>
              <w:t>费用结算月数</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159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2685">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AC01">
            <w:pPr>
              <w:widowControl/>
              <w:jc w:val="center"/>
              <w:textAlignment w:val="center"/>
              <w:rPr>
                <w:rFonts w:ascii="宋体" w:hAnsi="宋体" w:cs="宋体"/>
                <w:color w:val="000000"/>
                <w:sz w:val="18"/>
                <w:szCs w:val="18"/>
              </w:rPr>
            </w:pPr>
            <w:r>
              <w:rPr>
                <w:rFonts w:ascii="宋体" w:hAnsi="宋体" w:cs="宋体"/>
                <w:color w:val="000000"/>
                <w:kern w:val="0"/>
                <w:sz w:val="18"/>
                <w:szCs w:val="18"/>
              </w:rPr>
              <w:t>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BF14">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4F9">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C007">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C2CA">
            <w:pPr>
              <w:jc w:val="center"/>
              <w:rPr>
                <w:rFonts w:ascii="微软雅黑" w:hAnsi="微软雅黑" w:eastAsia="微软雅黑" w:cs="微软雅黑"/>
                <w:i/>
                <w:iCs/>
                <w:color w:val="000000"/>
                <w:sz w:val="16"/>
                <w:szCs w:val="16"/>
              </w:rPr>
            </w:pPr>
          </w:p>
        </w:tc>
      </w:tr>
      <w:tr w14:paraId="022074FB">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60E6">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D171E">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99C0">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CF3">
            <w:pPr>
              <w:widowControl/>
              <w:jc w:val="center"/>
              <w:textAlignment w:val="center"/>
              <w:rPr>
                <w:rFonts w:ascii="宋体" w:hAnsi="宋体" w:cs="宋体"/>
                <w:color w:val="000000"/>
                <w:sz w:val="18"/>
                <w:szCs w:val="18"/>
              </w:rPr>
            </w:pPr>
            <w:r>
              <w:rPr>
                <w:rFonts w:ascii="宋体" w:hAnsi="宋体" w:cs="宋体"/>
                <w:color w:val="000000"/>
                <w:kern w:val="0"/>
                <w:sz w:val="18"/>
                <w:szCs w:val="18"/>
              </w:rPr>
              <w:t>辅警人工作任务完成率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DB4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4B2D">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D73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5D80">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1BB9">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B770">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9DA6">
            <w:pPr>
              <w:jc w:val="center"/>
              <w:rPr>
                <w:rFonts w:ascii="微软雅黑" w:hAnsi="微软雅黑" w:eastAsia="微软雅黑" w:cs="微软雅黑"/>
                <w:i/>
                <w:iCs/>
                <w:color w:val="000000"/>
                <w:sz w:val="16"/>
                <w:szCs w:val="16"/>
              </w:rPr>
            </w:pPr>
          </w:p>
        </w:tc>
      </w:tr>
      <w:tr w14:paraId="0D56045C">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DBF53">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BF170">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5B63">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4E7E">
            <w:pPr>
              <w:widowControl/>
              <w:jc w:val="center"/>
              <w:textAlignment w:val="center"/>
              <w:rPr>
                <w:rFonts w:ascii="宋体" w:hAnsi="宋体" w:cs="宋体"/>
                <w:color w:val="000000"/>
                <w:sz w:val="18"/>
                <w:szCs w:val="18"/>
              </w:rPr>
            </w:pPr>
            <w:r>
              <w:rPr>
                <w:rFonts w:ascii="宋体" w:hAnsi="宋体" w:cs="宋体"/>
                <w:color w:val="000000"/>
                <w:kern w:val="0"/>
                <w:sz w:val="18"/>
                <w:szCs w:val="18"/>
              </w:rPr>
              <w:t>工资发放及社保缴纳及时率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33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2EEF">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C2A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434">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4FF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2FD7">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6BA">
            <w:pPr>
              <w:jc w:val="center"/>
              <w:rPr>
                <w:rFonts w:ascii="微软雅黑" w:hAnsi="微软雅黑" w:eastAsia="微软雅黑" w:cs="微软雅黑"/>
                <w:i/>
                <w:iCs/>
                <w:color w:val="000000"/>
                <w:sz w:val="16"/>
                <w:szCs w:val="16"/>
              </w:rPr>
            </w:pPr>
          </w:p>
        </w:tc>
      </w:tr>
      <w:tr w14:paraId="295CB828">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5A3E">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9966F">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34D8">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CBF2">
            <w:pPr>
              <w:widowControl/>
              <w:jc w:val="center"/>
              <w:textAlignment w:val="center"/>
              <w:rPr>
                <w:rFonts w:ascii="宋体" w:hAnsi="宋体" w:cs="宋体"/>
                <w:color w:val="000000"/>
                <w:sz w:val="18"/>
                <w:szCs w:val="18"/>
              </w:rPr>
            </w:pPr>
            <w:r>
              <w:rPr>
                <w:rFonts w:ascii="宋体" w:hAnsi="宋体" w:cs="宋体"/>
                <w:color w:val="000000"/>
                <w:kern w:val="0"/>
                <w:sz w:val="18"/>
                <w:szCs w:val="18"/>
              </w:rPr>
              <w:t>全年人均工资标准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374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046F">
            <w:pPr>
              <w:widowControl/>
              <w:jc w:val="center"/>
              <w:textAlignment w:val="center"/>
              <w:rPr>
                <w:rFonts w:ascii="宋体" w:hAnsi="宋体" w:cs="宋体"/>
                <w:color w:val="000000"/>
                <w:sz w:val="18"/>
                <w:szCs w:val="18"/>
              </w:rPr>
            </w:pPr>
            <w:r>
              <w:rPr>
                <w:rFonts w:ascii="宋体" w:hAnsi="宋体" w:cs="宋体"/>
                <w:color w:val="000000"/>
                <w:kern w:val="0"/>
                <w:sz w:val="18"/>
                <w:szCs w:val="18"/>
              </w:rPr>
              <w:t>5.2</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AD31">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2766">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45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E87C">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C369">
            <w:pPr>
              <w:jc w:val="center"/>
              <w:rPr>
                <w:rFonts w:ascii="微软雅黑" w:hAnsi="微软雅黑" w:eastAsia="微软雅黑" w:cs="微软雅黑"/>
                <w:i/>
                <w:iCs/>
                <w:color w:val="000000"/>
                <w:sz w:val="16"/>
                <w:szCs w:val="16"/>
              </w:rPr>
            </w:pPr>
          </w:p>
        </w:tc>
      </w:tr>
      <w:tr w14:paraId="2E74E66D">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74A5">
            <w:pPr>
              <w:jc w:val="center"/>
              <w:rPr>
                <w:rFonts w:ascii="宋体" w:hAnsi="宋体" w:cs="宋体"/>
                <w:color w:val="000000"/>
                <w:sz w:val="18"/>
                <w:szCs w:val="18"/>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CED31">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9B21">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7706">
            <w:pPr>
              <w:widowControl/>
              <w:jc w:val="center"/>
              <w:textAlignment w:val="center"/>
              <w:rPr>
                <w:rFonts w:ascii="宋体" w:hAnsi="宋体" w:cs="宋体"/>
                <w:color w:val="000000"/>
                <w:sz w:val="18"/>
                <w:szCs w:val="18"/>
              </w:rPr>
            </w:pPr>
            <w:r>
              <w:rPr>
                <w:rFonts w:ascii="宋体" w:hAnsi="宋体" w:cs="宋体"/>
                <w:color w:val="000000"/>
                <w:kern w:val="0"/>
                <w:sz w:val="18"/>
                <w:szCs w:val="18"/>
              </w:rPr>
              <w:t>协助民警开展交通违法查处工作，罚没款增长率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1B6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CAA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792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3449">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9A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DB2C">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1E16">
            <w:pPr>
              <w:jc w:val="center"/>
              <w:rPr>
                <w:rFonts w:ascii="微软雅黑" w:hAnsi="微软雅黑" w:eastAsia="微软雅黑" w:cs="微软雅黑"/>
                <w:i/>
                <w:iCs/>
                <w:color w:val="000000"/>
                <w:sz w:val="16"/>
                <w:szCs w:val="16"/>
              </w:rPr>
            </w:pPr>
          </w:p>
        </w:tc>
      </w:tr>
      <w:tr w14:paraId="58C7EB7A">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6A8D6">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E57D">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3A92">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F5EF">
            <w:pPr>
              <w:widowControl/>
              <w:jc w:val="center"/>
              <w:textAlignment w:val="center"/>
              <w:rPr>
                <w:rFonts w:ascii="宋体" w:hAnsi="宋体" w:cs="宋体"/>
                <w:color w:val="000000"/>
                <w:sz w:val="18"/>
                <w:szCs w:val="18"/>
              </w:rPr>
            </w:pPr>
            <w:r>
              <w:rPr>
                <w:rFonts w:ascii="宋体" w:hAnsi="宋体" w:cs="宋体"/>
                <w:color w:val="000000"/>
                <w:kern w:val="0"/>
                <w:sz w:val="18"/>
                <w:szCs w:val="18"/>
              </w:rPr>
              <w:t>交通参与者遵守交通法规率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A9B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438D">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4E5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FF05">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5CF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5CB1">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0121">
            <w:pPr>
              <w:jc w:val="center"/>
              <w:rPr>
                <w:rFonts w:ascii="微软雅黑" w:hAnsi="微软雅黑" w:eastAsia="微软雅黑" w:cs="微软雅黑"/>
                <w:i/>
                <w:iCs/>
                <w:color w:val="000000"/>
                <w:sz w:val="16"/>
                <w:szCs w:val="16"/>
              </w:rPr>
            </w:pPr>
          </w:p>
        </w:tc>
      </w:tr>
      <w:tr w14:paraId="60F9FE26">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8982">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904B">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C80E">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D2C">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保障城区道路畅通、交通秩序良好</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8499">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5748">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8080">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3F96">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EB4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DA6D">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EED2">
            <w:pPr>
              <w:jc w:val="center"/>
              <w:rPr>
                <w:rFonts w:ascii="微软雅黑" w:hAnsi="微软雅黑" w:eastAsia="微软雅黑" w:cs="微软雅黑"/>
                <w:i/>
                <w:iCs/>
                <w:color w:val="000000"/>
                <w:sz w:val="16"/>
                <w:szCs w:val="16"/>
              </w:rPr>
            </w:pPr>
          </w:p>
        </w:tc>
      </w:tr>
      <w:tr w14:paraId="7156454F">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BA7D2">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9735">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A7B6">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72BF">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3C4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CB2">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812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1105">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F83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31EE">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D016">
            <w:pPr>
              <w:jc w:val="center"/>
              <w:rPr>
                <w:rFonts w:ascii="微软雅黑" w:hAnsi="微软雅黑" w:eastAsia="微软雅黑" w:cs="微软雅黑"/>
                <w:i/>
                <w:iCs/>
                <w:color w:val="000000"/>
                <w:sz w:val="16"/>
                <w:szCs w:val="16"/>
              </w:rPr>
            </w:pPr>
          </w:p>
        </w:tc>
      </w:tr>
      <w:tr w14:paraId="3A2D25BD">
        <w:tblPrEx>
          <w:tblCellMar>
            <w:top w:w="0" w:type="dxa"/>
            <w:left w:w="108" w:type="dxa"/>
            <w:bottom w:w="0" w:type="dxa"/>
            <w:right w:w="108" w:type="dxa"/>
          </w:tblCellMar>
        </w:tblPrEx>
        <w:trPr>
          <w:trHeight w:val="286" w:hRule="atLeast"/>
        </w:trPr>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BE82A4">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C65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AD92">
            <w:pP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2716">
            <w:pPr>
              <w:rPr>
                <w:rFonts w:ascii="宋体" w:hAnsi="宋体" w:cs="宋体"/>
                <w:color w:val="000000"/>
                <w:sz w:val="18"/>
                <w:szCs w:val="18"/>
              </w:rPr>
            </w:pPr>
          </w:p>
        </w:tc>
      </w:tr>
      <w:tr w14:paraId="6CF0827B">
        <w:tblPrEx>
          <w:tblCellMar>
            <w:top w:w="0" w:type="dxa"/>
            <w:left w:w="108" w:type="dxa"/>
            <w:bottom w:w="0" w:type="dxa"/>
            <w:right w:w="108" w:type="dxa"/>
          </w:tblCellMar>
        </w:tblPrEx>
        <w:trPr>
          <w:trHeight w:val="60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8709">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779038">
            <w:pPr>
              <w:widowControl/>
              <w:jc w:val="left"/>
              <w:textAlignment w:val="center"/>
              <w:rPr>
                <w:rFonts w:ascii="微软雅黑" w:hAnsi="微软雅黑" w:eastAsia="微软雅黑" w:cs="微软雅黑"/>
                <w:i/>
                <w:iCs/>
                <w:color w:val="000000"/>
                <w:sz w:val="16"/>
                <w:szCs w:val="16"/>
              </w:rPr>
            </w:pPr>
            <w:r>
              <w:rPr>
                <w:rFonts w:hint="eastAsia" w:ascii="宋体" w:hAnsi="宋体" w:cs="宋体"/>
                <w:color w:val="000000"/>
                <w:kern w:val="0"/>
                <w:sz w:val="18"/>
                <w:szCs w:val="18"/>
                <w:shd w:val="clear" w:color="auto" w:fill="FFFFFF"/>
              </w:rPr>
              <w:t>通过实施2022年警务辅助人员经费项目，组建辅警队伍，协助民警开展劝阻、查纠交通安全违法行为，维护交通事故现场秩序，开展交通安全宣传教育，疏导交通等交管工作，有效缓解一线警力不足的现状。但在资金管理和项目管理方面还有待规范。</w:t>
            </w:r>
          </w:p>
        </w:tc>
      </w:tr>
      <w:tr w14:paraId="6C5B9897">
        <w:tblPrEx>
          <w:tblCellMar>
            <w:top w:w="0" w:type="dxa"/>
            <w:left w:w="108" w:type="dxa"/>
            <w:bottom w:w="0" w:type="dxa"/>
            <w:right w:w="108" w:type="dxa"/>
          </w:tblCellMar>
        </w:tblPrEx>
        <w:trPr>
          <w:trHeight w:val="572"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8E34">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0311E3">
            <w:pPr>
              <w:widowControl/>
              <w:wordWrap w:val="0"/>
              <w:spacing w:line="252" w:lineRule="atLeast"/>
              <w:rPr>
                <w:rFonts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rPr>
              <w:t>遂宁市公安局交警支队未单独制定警务辅助人员经费管理办法。</w:t>
            </w:r>
          </w:p>
          <w:p w14:paraId="181FA9E7">
            <w:pPr>
              <w:widowControl/>
              <w:jc w:val="left"/>
              <w:textAlignment w:val="center"/>
              <w:rPr>
                <w:rFonts w:ascii="微软雅黑" w:hAnsi="微软雅黑" w:eastAsia="微软雅黑" w:cs="微软雅黑"/>
                <w:i/>
                <w:iCs/>
                <w:color w:val="000000"/>
                <w:sz w:val="16"/>
                <w:szCs w:val="16"/>
              </w:rPr>
            </w:pPr>
          </w:p>
        </w:tc>
      </w:tr>
      <w:tr w14:paraId="1F22DC47">
        <w:tblPrEx>
          <w:tblCellMar>
            <w:top w:w="0" w:type="dxa"/>
            <w:left w:w="108" w:type="dxa"/>
            <w:bottom w:w="0" w:type="dxa"/>
            <w:right w:w="108" w:type="dxa"/>
          </w:tblCellMar>
        </w:tblPrEx>
        <w:trPr>
          <w:trHeight w:val="63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A4EC">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57FD8F">
            <w:pPr>
              <w:snapToGrid w:val="0"/>
              <w:rPr>
                <w:rFonts w:ascii="宋体" w:hAnsi="宋体" w:cs="宋体"/>
                <w:sz w:val="18"/>
                <w:szCs w:val="18"/>
              </w:rPr>
            </w:pPr>
            <w:r>
              <w:rPr>
                <w:rFonts w:hint="eastAsia" w:ascii="宋体" w:hAnsi="宋体" w:cs="宋体"/>
                <w:b/>
                <w:color w:val="000000"/>
                <w:kern w:val="0"/>
                <w:sz w:val="18"/>
                <w:szCs w:val="18"/>
              </w:rPr>
              <w:t>（一）制定专项资金管理办法，加强资金监管力度</w:t>
            </w:r>
          </w:p>
          <w:p w14:paraId="41C883DB">
            <w:pPr>
              <w:widowControl/>
              <w:wordWrap w:val="0"/>
              <w:rPr>
                <w:rFonts w:ascii="宋体" w:hAnsi="宋体" w:cs="宋体"/>
                <w:sz w:val="18"/>
                <w:szCs w:val="18"/>
              </w:rPr>
            </w:pPr>
            <w:r>
              <w:rPr>
                <w:rFonts w:hint="eastAsia" w:ascii="宋体" w:hAnsi="宋体" w:cs="宋体"/>
                <w:color w:val="000000"/>
                <w:kern w:val="0"/>
                <w:sz w:val="18"/>
                <w:szCs w:val="18"/>
                <w:shd w:val="clear" w:color="auto" w:fill="FFFFFF"/>
              </w:rPr>
              <w:t>警务辅助人员专项资金规模较大，且管理的警辅人员较多。制定专项资金管理办法，对资金申报、分配、管理、使用、公示、项目层级管理、绩效评价、后续监督检查等进行明确，进一步规范专项资金管理，确保资金专款专用、高效使用。</w:t>
            </w:r>
          </w:p>
          <w:p w14:paraId="5B212C14">
            <w:pPr>
              <w:widowControl/>
              <w:wordWrap w:val="0"/>
              <w:rPr>
                <w:rFonts w:ascii="宋体" w:hAnsi="宋体" w:cs="宋体"/>
                <w:sz w:val="18"/>
                <w:szCs w:val="18"/>
              </w:rPr>
            </w:pPr>
            <w:r>
              <w:rPr>
                <w:rFonts w:hint="eastAsia" w:ascii="宋体" w:hAnsi="宋体" w:cs="宋体"/>
                <w:b/>
                <w:color w:val="000000"/>
                <w:kern w:val="0"/>
                <w:sz w:val="18"/>
                <w:szCs w:val="18"/>
              </w:rPr>
              <w:t>（二）提升群众满意度</w:t>
            </w:r>
          </w:p>
          <w:p w14:paraId="7A118DDA">
            <w:pPr>
              <w:widowControl/>
              <w:jc w:val="left"/>
              <w:textAlignment w:val="center"/>
              <w:rPr>
                <w:rFonts w:ascii="微软雅黑" w:hAnsi="微软雅黑" w:eastAsia="微软雅黑" w:cs="微软雅黑"/>
                <w:i/>
                <w:iCs/>
                <w:color w:val="000000"/>
                <w:sz w:val="16"/>
                <w:szCs w:val="16"/>
              </w:rPr>
            </w:pPr>
            <w:r>
              <w:rPr>
                <w:rFonts w:hint="eastAsia" w:ascii="宋体" w:hAnsi="宋体" w:cs="宋体"/>
                <w:color w:val="000000"/>
                <w:kern w:val="0"/>
                <w:sz w:val="18"/>
                <w:szCs w:val="18"/>
                <w:shd w:val="clear" w:color="auto" w:fill="FFFFFF"/>
              </w:rPr>
              <w:t>一是加强警务工作，创新便民利民措施，对各种利益群体诉求问题，积极开展教育疏导、调处化解工作，尽最大可能化解矛盾纠纷，消除隐患。二是加强警务辅助人员思想政治教育和宣传，塑造良好形象，加强舆论宣传引导工作，着重突出警务辅助人员在侦察破案、交通执法、服务群众等方面取得的成绩和队伍中涌现的先进人物，积极引导群众真正了解、理解和支持公安工作，着力纠正执法办案中存在的突出问题，不断提升群众的满意度。</w:t>
            </w:r>
          </w:p>
        </w:tc>
      </w:tr>
      <w:tr w14:paraId="744D8398">
        <w:tblPrEx>
          <w:tblCellMar>
            <w:top w:w="0" w:type="dxa"/>
            <w:left w:w="108" w:type="dxa"/>
            <w:bottom w:w="0" w:type="dxa"/>
            <w:right w:w="108" w:type="dxa"/>
          </w:tblCellMar>
        </w:tblPrEx>
        <w:trPr>
          <w:trHeight w:val="286" w:hRule="atLeast"/>
        </w:trPr>
        <w:tc>
          <w:tcPr>
            <w:tcW w:w="4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AAC7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41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1C89FE">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14:paraId="18179F70">
      <w:pPr>
        <w:pStyle w:val="5"/>
        <w:spacing w:before="93"/>
        <w:rPr>
          <w:rFonts w:ascii="仿宋" w:hAnsi="仿宋" w:eastAsia="仿宋" w:cs="仿宋"/>
          <w:color w:val="000000"/>
          <w:sz w:val="32"/>
          <w:szCs w:val="32"/>
          <w:shd w:val="clear" w:color="auto" w:fill="FFFFFF"/>
          <w:lang w:val="zh-CN"/>
        </w:rPr>
      </w:pPr>
    </w:p>
    <w:p w14:paraId="47B631F0">
      <w:pPr>
        <w:pStyle w:val="5"/>
        <w:spacing w:before="93"/>
        <w:rPr>
          <w:rFonts w:ascii="仿宋" w:hAnsi="仿宋" w:eastAsia="仿宋" w:cs="仿宋"/>
          <w:color w:val="000000"/>
          <w:sz w:val="32"/>
          <w:szCs w:val="32"/>
          <w:shd w:val="clear" w:color="auto" w:fill="FFFFFF"/>
          <w:lang w:val="zh-CN"/>
        </w:rPr>
      </w:pPr>
    </w:p>
    <w:p w14:paraId="1C8337A2">
      <w:pPr>
        <w:snapToGrid w:val="0"/>
        <w:spacing w:line="620" w:lineRule="exact"/>
        <w:jc w:val="center"/>
        <w:rPr>
          <w:rFonts w:ascii="宋体" w:hAnsi="宋体" w:cs="宋体"/>
          <w:b/>
          <w:bCs/>
          <w:sz w:val="44"/>
          <w:szCs w:val="44"/>
        </w:rPr>
      </w:pPr>
      <w:r>
        <w:rPr>
          <w:rFonts w:hint="eastAsia" w:ascii="宋体" w:hAnsi="宋体" w:cs="宋体"/>
          <w:b/>
          <w:bCs/>
          <w:sz w:val="44"/>
          <w:szCs w:val="44"/>
        </w:rPr>
        <w:t>部门预算项目支出绩效自评报告</w:t>
      </w:r>
    </w:p>
    <w:p w14:paraId="2F09A83B">
      <w:pPr>
        <w:snapToGrid w:val="0"/>
        <w:spacing w:line="620" w:lineRule="exact"/>
        <w:jc w:val="center"/>
        <w:rPr>
          <w:rFonts w:eastAsia="仿宋_GB2312"/>
          <w:sz w:val="32"/>
          <w:szCs w:val="32"/>
        </w:rPr>
      </w:pPr>
      <w:r>
        <w:rPr>
          <w:rFonts w:ascii="仿宋_GB2312" w:eastAsia="仿宋_GB2312" w:cs="仿宋_GB2312"/>
          <w:sz w:val="32"/>
          <w:szCs w:val="32"/>
        </w:rPr>
        <w:t>（警务辅助专项经费项目）</w:t>
      </w:r>
    </w:p>
    <w:p w14:paraId="5F550283">
      <w:pPr>
        <w:widowControl/>
        <w:wordWrap w:val="0"/>
        <w:spacing w:line="360"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为了对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警务辅助专项资金使用、管理的科学性、合理性和效益性进行客观、公正的评价，规范警务辅助专项资金管理，提高资金使用效益，根据《遂宁市财政局关于开展2023年部门、项目、政策支出绩效自评工作的通知（遂财绩[2023]2号）文件精神，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年度遂宁市公安局警务辅助专项资金项目实施了绩效评价。现将项目绩效评价情况报告如下</w:t>
      </w:r>
      <w:r>
        <w:rPr>
          <w:rFonts w:hint="eastAsia" w:ascii="新宋体" w:hAnsi="新宋体" w:eastAsia="新宋体" w:cs="新宋体"/>
          <w:color w:val="000000"/>
          <w:kern w:val="0"/>
          <w:sz w:val="32"/>
          <w:szCs w:val="32"/>
          <w:shd w:val="clear" w:color="auto" w:fill="FFFFFF"/>
        </w:rPr>
        <w:t>：</w:t>
      </w:r>
    </w:p>
    <w:p w14:paraId="5B1AB53E">
      <w:pPr>
        <w:snapToGrid w:val="0"/>
        <w:spacing w:line="620" w:lineRule="exact"/>
        <w:ind w:left="632"/>
        <w:jc w:val="left"/>
        <w:rPr>
          <w:rFonts w:eastAsia="黑体"/>
          <w:sz w:val="32"/>
          <w:szCs w:val="32"/>
        </w:rPr>
      </w:pPr>
      <w:r>
        <w:rPr>
          <w:rFonts w:hint="eastAsia" w:ascii="黑体" w:hAnsi="宋体" w:eastAsia="黑体" w:cs="黑体"/>
          <w:sz w:val="32"/>
          <w:szCs w:val="32"/>
        </w:rPr>
        <w:t>一、基本情况</w:t>
      </w:r>
    </w:p>
    <w:p w14:paraId="0968DC2F">
      <w:pPr>
        <w:widowControl/>
        <w:wordWrap w:val="0"/>
        <w:spacing w:line="360"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为了保障市城区道路畅通、交通秩序良好，2022年交警支队警务辅助人员编制290人，需保障290名警务辅助人员日常公共经费、被装费用、装备经费，列入同级财政预算。为加强交通管理辅助力量建设，保障警务辅助人员合法权益，充分发挥警务辅助人员在协助公安交通管理的积极作用，着力打造素质较高、相对稳定的警务辅助人员队伍，安排了警务辅助专项资金。</w:t>
      </w:r>
    </w:p>
    <w:p w14:paraId="0A5D9DAC">
      <w:pPr>
        <w:pStyle w:val="2"/>
        <w:keepNext w:val="0"/>
        <w:keepLines w:val="0"/>
        <w:widowControl/>
        <w:wordWrap w:val="0"/>
        <w:spacing w:line="480" w:lineRule="atLeast"/>
        <w:ind w:firstLine="353" w:firstLineChars="110"/>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rPr>
        <w:t>（一）项目绩效目标</w:t>
      </w:r>
    </w:p>
    <w:p w14:paraId="767749C3">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聘用警务辅助人员，协助民警开展劝阻、查纠交通安全违法行为，维护交通事故现场秩序，开展交通安全宣传教育，疏导交通等交管工作，加大遂宁市城区路面见警率，充分发挥警务辅助人员在协助公安机关交管工作的积极作用，着力打造素质较高、相对稳定的警务辅助人员队伍，为人民群众创造更加安全的居住环境。</w:t>
      </w:r>
    </w:p>
    <w:p w14:paraId="76E8D4CD">
      <w:pPr>
        <w:pStyle w:val="2"/>
        <w:keepNext w:val="0"/>
        <w:keepLines w:val="0"/>
        <w:widowControl/>
        <w:wordWrap w:val="0"/>
        <w:spacing w:line="480" w:lineRule="atLeast"/>
        <w:ind w:firstLine="196"/>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rPr>
        <w:t>（二）专项资金的使用及管理情况</w:t>
      </w:r>
    </w:p>
    <w:p w14:paraId="6057F787">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1</w:t>
      </w:r>
      <w:r>
        <w:rPr>
          <w:rFonts w:ascii="仿宋_GB2312" w:eastAsia="仿宋_GB2312" w:cs="仿宋_GB2312"/>
          <w:color w:val="000000"/>
          <w:kern w:val="0"/>
          <w:sz w:val="32"/>
          <w:szCs w:val="32"/>
          <w:shd w:val="clear" w:color="auto" w:fill="FFFFFF"/>
        </w:rPr>
        <w:t>．专项资金安排、拨付情况</w:t>
      </w:r>
    </w:p>
    <w:p w14:paraId="3EBB634F">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交警支队警务辅助专项保障资金，含警务辅助人员日常公用经费、工作经费、被装费用、装备费用，共预算100万元。2022年财政实际拨款100万元。</w:t>
      </w:r>
    </w:p>
    <w:p w14:paraId="730B49FE">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2</w:t>
      </w:r>
      <w:r>
        <w:rPr>
          <w:rFonts w:ascii="仿宋_GB2312" w:eastAsia="仿宋_GB2312" w:cs="仿宋_GB2312"/>
          <w:color w:val="000000"/>
          <w:kern w:val="0"/>
          <w:sz w:val="32"/>
          <w:szCs w:val="32"/>
          <w:shd w:val="clear" w:color="auto" w:fill="FFFFFF"/>
        </w:rPr>
        <w:t>．专项资金使用情况</w:t>
      </w:r>
    </w:p>
    <w:p w14:paraId="77AF15E7">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2022年度警务辅助专项经费实际支出100万元。主要用于保障警务辅助人员日常公用经费、工作经费、被装费用、装备费用等。</w:t>
      </w:r>
    </w:p>
    <w:p w14:paraId="7EF6A8C1">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3</w:t>
      </w:r>
      <w:r>
        <w:rPr>
          <w:rFonts w:ascii="仿宋_GB2312" w:eastAsia="仿宋_GB2312" w:cs="仿宋_GB2312"/>
          <w:color w:val="000000"/>
          <w:kern w:val="0"/>
          <w:sz w:val="32"/>
          <w:szCs w:val="32"/>
          <w:shd w:val="clear" w:color="auto" w:fill="FFFFFF"/>
        </w:rPr>
        <w:t>．资金管理情况</w:t>
      </w:r>
    </w:p>
    <w:p w14:paraId="026B1EDA">
      <w:pPr>
        <w:pStyle w:val="12"/>
        <w:widowControl/>
        <w:shd w:val="clear" w:color="auto" w:fill="FFFFFF"/>
        <w:wordWrap w:val="0"/>
        <w:spacing w:line="288" w:lineRule="atLeast"/>
        <w:ind w:firstLine="640"/>
        <w:rPr>
          <w:rFonts w:ascii="宋体" w:hAnsi="宋体" w:cs="宋体"/>
          <w:shd w:val="clear" w:color="auto" w:fill="FFFFFF"/>
        </w:rPr>
      </w:pPr>
      <w:r>
        <w:rPr>
          <w:rFonts w:ascii="仿宋_GB2312" w:hAnsi="宋体" w:eastAsia="仿宋_GB2312" w:cs="仿宋_GB2312"/>
          <w:color w:val="000000"/>
          <w:sz w:val="32"/>
          <w:szCs w:val="32"/>
          <w:shd w:val="clear" w:color="auto" w:fill="FFFFFF"/>
        </w:rPr>
        <w:t>遂宁市公安局交警支队未单独制定警务辅助专项资金管理办法，资金全部由支队装财科统一开支管理。</w:t>
      </w:r>
    </w:p>
    <w:p w14:paraId="66D1FBFF">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4</w:t>
      </w:r>
      <w:r>
        <w:rPr>
          <w:rFonts w:ascii="仿宋_GB2312" w:eastAsia="仿宋_GB2312" w:cs="仿宋_GB2312"/>
          <w:color w:val="000000"/>
          <w:kern w:val="0"/>
          <w:sz w:val="32"/>
          <w:szCs w:val="32"/>
          <w:shd w:val="clear" w:color="auto" w:fill="FFFFFF"/>
        </w:rPr>
        <w:t>．项目管理情况</w:t>
      </w:r>
    </w:p>
    <w:p w14:paraId="5195D171">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为规范警务辅助人员管理，保障警务辅助人员的合法权益，充分发挥警务辅助人员在协助公安交管工作中的重要作用，对警务辅助人员的职责和权利、招聘、职业保障、考核和奖励、日常管理等进行了详细规定。</w:t>
      </w:r>
    </w:p>
    <w:p w14:paraId="4FD27F59">
      <w:pPr>
        <w:widowControl/>
        <w:wordWrap w:val="0"/>
        <w:spacing w:line="252" w:lineRule="atLeast"/>
        <w:ind w:firstLine="604"/>
        <w:rPr>
          <w:rFonts w:eastAsia="仿宋_GB2312"/>
          <w:sz w:val="32"/>
          <w:szCs w:val="32"/>
        </w:rPr>
      </w:pPr>
      <w:r>
        <w:rPr>
          <w:rFonts w:ascii="仿宋_GB2312" w:eastAsia="仿宋_GB2312" w:cs="仿宋_GB2312"/>
          <w:color w:val="000000"/>
          <w:kern w:val="0"/>
          <w:sz w:val="32"/>
          <w:szCs w:val="32"/>
          <w:shd w:val="clear" w:color="auto" w:fill="FFFFFF"/>
        </w:rPr>
        <w:t>警务辅助人员招聘坚持公开、平等、竞争、择优原则，具体招聘工作由市公安局组织实施，统一发布招聘公告，通过资格审查、体能测试、面试、体检、考察与政审、公示、岗前培训等程序后正式签订劳动合同。</w:t>
      </w:r>
    </w:p>
    <w:p w14:paraId="19B3350D">
      <w:pPr>
        <w:widowControl/>
        <w:wordWrap w:val="0"/>
        <w:spacing w:line="252" w:lineRule="atLeast"/>
        <w:ind w:firstLine="604"/>
        <w:rPr>
          <w:rFonts w:ascii="宋体" w:hAnsi="宋体" w:cs="宋体"/>
          <w:sz w:val="24"/>
        </w:rPr>
      </w:pPr>
      <w:r>
        <w:rPr>
          <w:rFonts w:ascii="仿宋_GB2312" w:eastAsia="仿宋_GB2312" w:cs="仿宋_GB2312"/>
          <w:color w:val="000000"/>
          <w:kern w:val="0"/>
          <w:sz w:val="32"/>
          <w:szCs w:val="32"/>
          <w:shd w:val="clear" w:color="auto" w:fill="FFFFFF"/>
        </w:rPr>
        <w:t>警务辅助人员均采取劳务派遣的方式，遂宁市公安局与遂宁市顺邦安保服务有限公司、遂宁市忠卫安保服务有限公司签订劳务派遣协议，由安保服务有限公司与警务辅助人员签订劳动合同。</w:t>
      </w:r>
    </w:p>
    <w:p w14:paraId="4579D8DA">
      <w:pPr>
        <w:snapToGrid w:val="0"/>
        <w:spacing w:line="620" w:lineRule="exact"/>
        <w:ind w:firstLine="640" w:firstLineChars="200"/>
        <w:rPr>
          <w:rFonts w:eastAsia="仿宋_GB2312"/>
          <w:sz w:val="32"/>
          <w:szCs w:val="32"/>
        </w:rPr>
      </w:pPr>
      <w:r>
        <w:rPr>
          <w:rFonts w:hint="eastAsia" w:ascii="黑体" w:hAnsi="宋体" w:eastAsia="黑体" w:cs="黑体"/>
          <w:sz w:val="32"/>
          <w:szCs w:val="32"/>
        </w:rPr>
        <w:t>二、评价工作开展情况</w:t>
      </w:r>
    </w:p>
    <w:p w14:paraId="195D292D">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（一）绩效评价目的</w:t>
      </w:r>
    </w:p>
    <w:p w14:paraId="22C1B815">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p>
    <w:p w14:paraId="242383E3">
      <w:pPr>
        <w:pStyle w:val="2"/>
        <w:keepNext w:val="0"/>
        <w:keepLines w:val="0"/>
        <w:widowControl/>
        <w:wordWrap w:val="0"/>
        <w:spacing w:line="480" w:lineRule="atLeast"/>
        <w:ind w:firstLine="196"/>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（二）绩效评价过程</w:t>
      </w:r>
    </w:p>
    <w:p w14:paraId="4029F754">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根据《遂宁市财政局关于开展2023年部门、项目、政策支出绩效自评工作的通知（遂财绩[2023]2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14:paraId="21871A63">
      <w:pPr>
        <w:snapToGrid w:val="0"/>
        <w:spacing w:line="620" w:lineRule="exact"/>
        <w:ind w:firstLine="640" w:firstLineChars="200"/>
        <w:rPr>
          <w:rFonts w:eastAsia="黑体"/>
          <w:sz w:val="32"/>
          <w:szCs w:val="32"/>
        </w:rPr>
      </w:pPr>
      <w:r>
        <w:rPr>
          <w:rFonts w:hint="eastAsia" w:ascii="黑体" w:hAnsi="宋体" w:eastAsia="黑体" w:cs="黑体"/>
          <w:sz w:val="32"/>
          <w:szCs w:val="32"/>
        </w:rPr>
        <w:t>三、综合评价结论（附评分表）</w:t>
      </w:r>
    </w:p>
    <w:p w14:paraId="092428EE">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实施2022年警务辅助专项经费项目，组建辅警队伍，协助民警开展劝阻、查纠交通安全违法行为，维护交通事故现场秩序，开展交通安全宣传教育，疏导交通等交管工作，有效缓解一线警力不足的现状。但在资金管理和项目管理方面还有待规范。</w:t>
      </w:r>
    </w:p>
    <w:p w14:paraId="57617C08">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根据《</w:t>
      </w:r>
      <w:r>
        <w:rPr>
          <w:rFonts w:eastAsia="微软雅黑"/>
          <w:color w:val="000000"/>
          <w:kern w:val="0"/>
          <w:sz w:val="32"/>
          <w:szCs w:val="32"/>
          <w:shd w:val="clear" w:color="auto" w:fill="FFFFFF"/>
        </w:rPr>
        <w:t>2023</w:t>
      </w:r>
      <w:r>
        <w:rPr>
          <w:rFonts w:ascii="仿宋_GB2312" w:eastAsia="仿宋_GB2312" w:cs="仿宋_GB2312"/>
          <w:color w:val="000000"/>
          <w:kern w:val="0"/>
          <w:sz w:val="32"/>
          <w:szCs w:val="32"/>
          <w:shd w:val="clear" w:color="auto" w:fill="FFFFFF"/>
        </w:rPr>
        <w:t>年度实际项目支出绩效评价指标体系》，</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年度遂宁市公安局交警支队警务辅助专项经费绩效评价综合得分为</w:t>
      </w:r>
      <w:r>
        <w:rPr>
          <w:rFonts w:eastAsia="微软雅黑"/>
          <w:color w:val="000000"/>
          <w:kern w:val="0"/>
          <w:sz w:val="32"/>
          <w:szCs w:val="32"/>
          <w:shd w:val="clear" w:color="auto" w:fill="FFFFFF"/>
        </w:rPr>
        <w:t>91</w:t>
      </w:r>
      <w:r>
        <w:rPr>
          <w:rFonts w:ascii="仿宋_GB2312" w:eastAsia="仿宋_GB2312" w:cs="仿宋_GB2312"/>
          <w:color w:val="000000"/>
          <w:kern w:val="0"/>
          <w:sz w:val="32"/>
          <w:szCs w:val="32"/>
          <w:shd w:val="clear" w:color="auto" w:fill="FFFFFF"/>
        </w:rPr>
        <w:t>分。评价等级为</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优</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w:t>
      </w:r>
    </w:p>
    <w:p w14:paraId="22FE5904">
      <w:pPr>
        <w:snapToGrid w:val="0"/>
        <w:spacing w:line="620" w:lineRule="exact"/>
        <w:ind w:firstLine="640" w:firstLineChars="200"/>
        <w:rPr>
          <w:rFonts w:eastAsia="黑体"/>
          <w:bCs/>
          <w:sz w:val="32"/>
          <w:szCs w:val="32"/>
        </w:rPr>
      </w:pPr>
      <w:r>
        <w:rPr>
          <w:rFonts w:hint="eastAsia" w:ascii="黑体" w:hAnsi="宋体" w:eastAsia="黑体" w:cs="黑体"/>
          <w:bCs/>
          <w:sz w:val="32"/>
          <w:szCs w:val="32"/>
        </w:rPr>
        <w:t>四、绩效评价分析</w:t>
      </w:r>
    </w:p>
    <w:p w14:paraId="4859BCFC">
      <w:pPr>
        <w:pStyle w:val="2"/>
        <w:keepNext w:val="0"/>
        <w:keepLines w:val="0"/>
        <w:widowControl/>
        <w:wordWrap w:val="0"/>
        <w:spacing w:line="480" w:lineRule="atLeast"/>
        <w:ind w:firstLine="511" w:firstLineChars="159"/>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（一）项目决策、管理情况</w:t>
      </w:r>
    </w:p>
    <w:p w14:paraId="2CEDCA12">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交警支队警务辅助人员积极协助民警开展交通管理工作，有效化解影响社会稳定的矛盾纠纷，确保了重大活动安全有序进行。</w:t>
      </w:r>
    </w:p>
    <w:p w14:paraId="5B5A7CD0">
      <w:pPr>
        <w:pStyle w:val="2"/>
        <w:keepNext w:val="0"/>
        <w:keepLines w:val="0"/>
        <w:widowControl/>
        <w:wordWrap w:val="0"/>
        <w:spacing w:line="480" w:lineRule="atLeast"/>
        <w:ind w:firstLine="196"/>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（二）项目产出、效益情况</w:t>
      </w:r>
    </w:p>
    <w:p w14:paraId="40106C2C">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辅警在民警带领下，积极配合交通事故案件查处和交通秩序维护相关工作，在全市辅警队伍积极配合参与下，公众安全感指数增长率达到23%，城市交通长时间拥堵率达到12%，交通事故成功处置率达到90%。全市取得了发案下降、交通事故下降、破案率上升、群众安全感上升、满意度上升</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两下降三上升</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的好成绩。</w:t>
      </w:r>
    </w:p>
    <w:p w14:paraId="5D6FAE0E">
      <w:pPr>
        <w:snapToGrid w:val="0"/>
        <w:spacing w:line="620" w:lineRule="exact"/>
        <w:ind w:firstLine="640" w:firstLineChars="200"/>
        <w:rPr>
          <w:rFonts w:eastAsia="黑体"/>
          <w:sz w:val="32"/>
          <w:szCs w:val="32"/>
        </w:rPr>
      </w:pPr>
      <w:r>
        <w:rPr>
          <w:rFonts w:hint="eastAsia" w:ascii="黑体" w:hAnsi="宋体" w:eastAsia="黑体" w:cs="黑体"/>
          <w:sz w:val="32"/>
          <w:szCs w:val="32"/>
        </w:rPr>
        <w:t>五、存在主要问题</w:t>
      </w:r>
    </w:p>
    <w:p w14:paraId="51E5E668">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遂宁市公安局交警支队未单独制定警务辅助专项经费管理办法。</w:t>
      </w:r>
    </w:p>
    <w:p w14:paraId="4C0FA639">
      <w:pPr>
        <w:snapToGrid w:val="0"/>
        <w:spacing w:line="620" w:lineRule="exact"/>
        <w:ind w:firstLine="640" w:firstLineChars="200"/>
        <w:rPr>
          <w:rFonts w:eastAsia="黑体"/>
          <w:sz w:val="32"/>
          <w:szCs w:val="32"/>
        </w:rPr>
      </w:pPr>
      <w:r>
        <w:rPr>
          <w:rFonts w:hint="eastAsia" w:ascii="黑体" w:hAnsi="宋体" w:eastAsia="黑体" w:cs="黑体"/>
          <w:sz w:val="32"/>
          <w:szCs w:val="32"/>
        </w:rPr>
        <w:t>六、相关措施建议</w:t>
      </w:r>
    </w:p>
    <w:p w14:paraId="5F09129D">
      <w:pPr>
        <w:widowControl/>
        <w:wordWrap w:val="0"/>
        <w:spacing w:line="360" w:lineRule="atLeast"/>
        <w:ind w:firstLine="643"/>
        <w:rPr>
          <w:rFonts w:eastAsia="仿宋_GB2312"/>
          <w:sz w:val="32"/>
          <w:szCs w:val="32"/>
        </w:rPr>
      </w:pPr>
      <w:r>
        <w:rPr>
          <w:rFonts w:ascii="楷体_GB2312" w:eastAsia="楷体_GB2312" w:cs="楷体_GB2312"/>
          <w:b/>
          <w:color w:val="000000"/>
          <w:kern w:val="0"/>
          <w:sz w:val="32"/>
          <w:szCs w:val="32"/>
        </w:rPr>
        <w:t>（一）制定专项资金管理办法，加强资金监管力度</w:t>
      </w:r>
    </w:p>
    <w:p w14:paraId="17F7C092">
      <w:pPr>
        <w:widowControl/>
        <w:wordWrap w:val="0"/>
        <w:spacing w:line="360"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警务辅助专项资金规模较大，且管理的警辅人员较多。制定专项资金管理办法，对资金申报、分配、管理、使用、公示、项目层级管理、绩效评价、后续监督检查等进行明确，进一步规范专项资金管理，确保资金专款专用、高效使用。</w:t>
      </w:r>
    </w:p>
    <w:p w14:paraId="7B19C5CC">
      <w:pPr>
        <w:widowControl/>
        <w:wordWrap w:val="0"/>
        <w:spacing w:line="360" w:lineRule="atLeast"/>
        <w:ind w:firstLine="643"/>
        <w:rPr>
          <w:rFonts w:eastAsia="仿宋_GB2312"/>
          <w:sz w:val="32"/>
          <w:szCs w:val="32"/>
        </w:rPr>
      </w:pPr>
      <w:r>
        <w:rPr>
          <w:rFonts w:ascii="楷体_GB2312" w:eastAsia="楷体_GB2312" w:cs="楷体_GB2312"/>
          <w:b/>
          <w:color w:val="000000"/>
          <w:kern w:val="0"/>
          <w:sz w:val="32"/>
          <w:szCs w:val="32"/>
        </w:rPr>
        <w:t>（二）提升群众满意度</w:t>
      </w:r>
    </w:p>
    <w:p w14:paraId="7EE0F020">
      <w:pPr>
        <w:widowControl/>
        <w:wordWrap w:val="0"/>
        <w:spacing w:line="360"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一是加强警务工作，创新便民利民措施，对各种利益群体诉求问题，积极开展教育疏导、调处化解工作，尽最大可能化解矛盾纠纷，消除隐患。二是加强警务辅助人员思想政治教育和宣传，塑造良好形象，加强舆论宣传引导工作，着重突出警务辅助人员在侦察破案、交通执法、服务群众等方面取得的成绩和队伍中涌现的先进人物，积极引导群众真正了解、理解和支持公安工作，着力纠正执法办案中存在的突出问题，不断提升群众的满意度。</w:t>
      </w:r>
    </w:p>
    <w:p w14:paraId="1144C2CF">
      <w:pPr>
        <w:pStyle w:val="5"/>
        <w:spacing w:before="93"/>
        <w:rPr>
          <w:rFonts w:ascii="仿宋" w:hAnsi="仿宋" w:eastAsia="仿宋" w:cs="仿宋"/>
          <w:color w:val="000000"/>
          <w:sz w:val="32"/>
          <w:szCs w:val="32"/>
          <w:shd w:val="clear" w:color="auto" w:fill="FFFFFF"/>
          <w:lang w:val="zh-CN"/>
        </w:rPr>
      </w:pPr>
    </w:p>
    <w:p w14:paraId="2B700DBA">
      <w:pPr>
        <w:pStyle w:val="5"/>
        <w:spacing w:before="93"/>
        <w:rPr>
          <w:rFonts w:ascii="仿宋" w:hAnsi="仿宋" w:eastAsia="仿宋" w:cs="仿宋"/>
          <w:color w:val="000000"/>
          <w:sz w:val="32"/>
          <w:szCs w:val="32"/>
          <w:shd w:val="clear" w:color="auto" w:fill="FFFFFF"/>
          <w:lang w:val="zh-CN"/>
        </w:rPr>
      </w:pPr>
    </w:p>
    <w:tbl>
      <w:tblPr>
        <w:tblStyle w:val="13"/>
        <w:tblW w:w="8570" w:type="dxa"/>
        <w:tblInd w:w="98" w:type="dxa"/>
        <w:tblLayout w:type="autofit"/>
        <w:tblCellMar>
          <w:top w:w="0" w:type="dxa"/>
          <w:left w:w="108" w:type="dxa"/>
          <w:bottom w:w="0" w:type="dxa"/>
          <w:right w:w="108" w:type="dxa"/>
        </w:tblCellMar>
      </w:tblPr>
      <w:tblGrid>
        <w:gridCol w:w="626"/>
        <w:gridCol w:w="1026"/>
        <w:gridCol w:w="928"/>
        <w:gridCol w:w="1344"/>
        <w:gridCol w:w="476"/>
        <w:gridCol w:w="886"/>
        <w:gridCol w:w="476"/>
        <w:gridCol w:w="998"/>
        <w:gridCol w:w="486"/>
        <w:gridCol w:w="418"/>
        <w:gridCol w:w="906"/>
      </w:tblGrid>
      <w:tr w14:paraId="79EEAE16">
        <w:tblPrEx>
          <w:tblCellMar>
            <w:top w:w="0" w:type="dxa"/>
            <w:left w:w="108" w:type="dxa"/>
            <w:bottom w:w="0" w:type="dxa"/>
            <w:right w:w="108" w:type="dxa"/>
          </w:tblCellMar>
        </w:tblPrEx>
        <w:trPr>
          <w:trHeight w:val="904" w:hRule="atLeast"/>
        </w:trPr>
        <w:tc>
          <w:tcPr>
            <w:tcW w:w="85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D00AE7">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14:paraId="3FF4F5FC">
        <w:tblPrEx>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AB5C3">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1E0E92">
            <w:pPr>
              <w:widowControl/>
              <w:jc w:val="left"/>
              <w:textAlignment w:val="center"/>
              <w:rPr>
                <w:rFonts w:ascii="宋体" w:hAnsi="宋体" w:cs="宋体"/>
                <w:color w:val="000000"/>
                <w:sz w:val="18"/>
                <w:szCs w:val="18"/>
              </w:rPr>
            </w:pPr>
            <w:r>
              <w:rPr>
                <w:rFonts w:ascii="宋体" w:hAnsi="宋体" w:cs="宋体"/>
                <w:color w:val="000000"/>
                <w:kern w:val="0"/>
                <w:sz w:val="18"/>
                <w:szCs w:val="18"/>
              </w:rPr>
              <w:t>51090022T000004783480-警务辅助项目经费</w:t>
            </w:r>
          </w:p>
        </w:tc>
      </w:tr>
      <w:tr w14:paraId="6920D890">
        <w:tblPrEx>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EA4D1">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CA19A">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遂宁市公安局部门</w:t>
            </w:r>
          </w:p>
        </w:tc>
        <w:tc>
          <w:tcPr>
            <w:tcW w:w="1000" w:type="dxa"/>
            <w:tcBorders>
              <w:top w:val="nil"/>
              <w:left w:val="nil"/>
              <w:bottom w:val="nil"/>
              <w:right w:val="nil"/>
            </w:tcBorders>
            <w:shd w:val="clear" w:color="auto" w:fill="auto"/>
            <w:vAlign w:val="center"/>
          </w:tcPr>
          <w:p w14:paraId="1A924B6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AC79B">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遂宁市公安局交通警察支队</w:t>
            </w:r>
          </w:p>
        </w:tc>
      </w:tr>
      <w:tr w14:paraId="4A235815">
        <w:tblPrEx>
          <w:tblCellMar>
            <w:top w:w="0" w:type="dxa"/>
            <w:left w:w="108" w:type="dxa"/>
            <w:bottom w:w="0" w:type="dxa"/>
            <w:right w:w="108" w:type="dxa"/>
          </w:tblCellMar>
        </w:tblPrEx>
        <w:trPr>
          <w:trHeight w:val="286"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0DBBB">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D43A7">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44D52">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BF0B3">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64E3E084">
        <w:tblPrEx>
          <w:tblCellMar>
            <w:top w:w="0" w:type="dxa"/>
            <w:left w:w="108" w:type="dxa"/>
            <w:bottom w:w="0" w:type="dxa"/>
            <w:right w:w="108" w:type="dxa"/>
          </w:tblCellMar>
        </w:tblPrEx>
        <w:trPr>
          <w:trHeight w:val="708"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3715C">
            <w:pP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6C24">
            <w:pPr>
              <w:rPr>
                <w:rFonts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18DAD">
            <w:pPr>
              <w:widowControl/>
              <w:jc w:val="left"/>
              <w:textAlignment w:val="center"/>
              <w:rPr>
                <w:rFonts w:ascii="宋体" w:hAnsi="宋体" w:cs="宋体"/>
                <w:color w:val="000000"/>
                <w:sz w:val="18"/>
                <w:szCs w:val="18"/>
              </w:rPr>
            </w:pPr>
            <w:r>
              <w:rPr>
                <w:rFonts w:ascii="宋体" w:hAnsi="宋体" w:cs="宋体"/>
                <w:color w:val="000000"/>
                <w:kern w:val="0"/>
                <w:sz w:val="18"/>
                <w:szCs w:val="18"/>
              </w:rPr>
              <w:t>对城区道路全覆盖交通管理、引导交通参与者文明出行，完成城区建成区的道路交通安全保障及道路交通事故的处理</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6D1D0">
            <w:pPr>
              <w:widowControl/>
              <w:wordWrap w:val="0"/>
              <w:spacing w:line="252" w:lineRule="atLeast"/>
              <w:ind w:firstLine="640"/>
              <w:rPr>
                <w:rFonts w:ascii="宋体" w:hAnsi="宋体" w:cs="宋体"/>
                <w:sz w:val="18"/>
                <w:szCs w:val="18"/>
              </w:rPr>
            </w:pPr>
            <w:r>
              <w:rPr>
                <w:rFonts w:hint="eastAsia" w:ascii="宋体" w:hAnsi="宋体" w:cs="宋体"/>
                <w:color w:val="000000"/>
                <w:kern w:val="0"/>
                <w:sz w:val="18"/>
                <w:szCs w:val="18"/>
                <w:shd w:val="clear" w:color="auto" w:fill="FFFFFF"/>
              </w:rPr>
              <w:t>辅警在民警带领下，积极配合交通事故案件查处和交通秩序维护相关工作，在全市辅警队伍积极配合参与下，公众安全感指数增长率达到23%，城市交通长时间拥堵率达到12%，交通事故成功处置率达到90%。全市取得了发案下降、交通事故下降、破案率上升、群众安全感上升、满意度上升“两下降三上升”的好成绩。</w:t>
            </w:r>
          </w:p>
          <w:p w14:paraId="45A997EC">
            <w:pPr>
              <w:widowControl/>
              <w:jc w:val="left"/>
              <w:textAlignment w:val="center"/>
              <w:rPr>
                <w:rFonts w:ascii="黑体" w:hAnsi="黑体" w:eastAsia="黑体" w:cs="黑体"/>
                <w:color w:val="000000"/>
                <w:sz w:val="18"/>
                <w:szCs w:val="18"/>
              </w:rPr>
            </w:pPr>
          </w:p>
        </w:tc>
      </w:tr>
      <w:tr w14:paraId="6F7DC4B7">
        <w:tblPrEx>
          <w:tblCellMar>
            <w:top w:w="0" w:type="dxa"/>
            <w:left w:w="108" w:type="dxa"/>
            <w:bottom w:w="0" w:type="dxa"/>
            <w:right w:w="108" w:type="dxa"/>
          </w:tblCellMar>
        </w:tblPrEx>
        <w:trPr>
          <w:trHeight w:val="693"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8BEA">
            <w:pP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068B">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32B98B">
            <w:pPr>
              <w:rPr>
                <w:rFonts w:ascii="宋体" w:hAnsi="宋体" w:cs="宋体"/>
                <w:color w:val="000000"/>
                <w:sz w:val="18"/>
                <w:szCs w:val="18"/>
              </w:rPr>
            </w:pPr>
          </w:p>
        </w:tc>
      </w:tr>
      <w:tr w14:paraId="30AD44FE">
        <w:tblPrEx>
          <w:tblCellMar>
            <w:top w:w="0" w:type="dxa"/>
            <w:left w:w="108" w:type="dxa"/>
            <w:bottom w:w="0" w:type="dxa"/>
            <w:right w:w="108" w:type="dxa"/>
          </w:tblCellMar>
        </w:tblPrEx>
        <w:trPr>
          <w:trHeight w:val="361"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0E81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F775">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FBE9">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A951">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2E91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851B">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229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AE91">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EC10">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8C3B1A4">
        <w:tblPrEx>
          <w:tblCellMar>
            <w:top w:w="0" w:type="dxa"/>
            <w:left w:w="108" w:type="dxa"/>
            <w:bottom w:w="0" w:type="dxa"/>
            <w:right w:w="108" w:type="dxa"/>
          </w:tblCellMar>
        </w:tblPrEx>
        <w:trPr>
          <w:trHeight w:val="38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0B5B9">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A1E4">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2C8D">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F89C">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21597">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4936">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8E7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A426">
            <w:pPr>
              <w:jc w:val="center"/>
              <w:rPr>
                <w:rFonts w:ascii="宋体" w:hAnsi="宋体" w:cs="宋体"/>
                <w:color w:val="000000"/>
                <w:sz w:val="18"/>
                <w:szCs w:val="18"/>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0F833">
            <w:pPr>
              <w:rPr>
                <w:rFonts w:ascii="黑体" w:hAnsi="黑体" w:eastAsia="黑体" w:cs="黑体"/>
                <w:i/>
                <w:iCs/>
                <w:color w:val="000000"/>
                <w:sz w:val="18"/>
                <w:szCs w:val="18"/>
              </w:rPr>
            </w:pPr>
          </w:p>
        </w:tc>
      </w:tr>
      <w:tr w14:paraId="71B6764A">
        <w:tblPrEx>
          <w:tblCellMar>
            <w:top w:w="0" w:type="dxa"/>
            <w:left w:w="108" w:type="dxa"/>
            <w:bottom w:w="0" w:type="dxa"/>
            <w:right w:w="108" w:type="dxa"/>
          </w:tblCellMar>
        </w:tblPrEx>
        <w:trPr>
          <w:trHeight w:val="43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E19DD">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1295">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B618">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BE6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B8EAC">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C1AD">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E55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8C4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A2DD">
            <w:pPr>
              <w:rPr>
                <w:rFonts w:ascii="黑体" w:hAnsi="黑体" w:eastAsia="黑体" w:cs="黑体"/>
                <w:i/>
                <w:iCs/>
                <w:color w:val="000000"/>
                <w:sz w:val="18"/>
                <w:szCs w:val="18"/>
              </w:rPr>
            </w:pPr>
          </w:p>
        </w:tc>
      </w:tr>
      <w:tr w14:paraId="7768CF79">
        <w:tblPrEx>
          <w:tblCellMar>
            <w:top w:w="0" w:type="dxa"/>
            <w:left w:w="108" w:type="dxa"/>
            <w:bottom w:w="0" w:type="dxa"/>
            <w:right w:w="108" w:type="dxa"/>
          </w:tblCellMar>
        </w:tblPrEx>
        <w:trPr>
          <w:trHeight w:val="44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4961">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E020">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D30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200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D47B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8C1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E26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B5E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DC71">
            <w:pPr>
              <w:rPr>
                <w:rFonts w:ascii="黑体" w:hAnsi="黑体" w:eastAsia="黑体" w:cs="黑体"/>
                <w:i/>
                <w:iCs/>
                <w:color w:val="000000"/>
                <w:sz w:val="18"/>
                <w:szCs w:val="18"/>
              </w:rPr>
            </w:pPr>
          </w:p>
        </w:tc>
      </w:tr>
      <w:tr w14:paraId="20DB5439">
        <w:tblPrEx>
          <w:tblCellMar>
            <w:top w:w="0" w:type="dxa"/>
            <w:left w:w="108" w:type="dxa"/>
            <w:bottom w:w="0" w:type="dxa"/>
            <w:right w:w="108" w:type="dxa"/>
          </w:tblCellMar>
        </w:tblPrEx>
        <w:trPr>
          <w:trHeight w:val="40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4D30">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E732">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0A9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B08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5940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EC8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280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8BA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02EF">
            <w:pPr>
              <w:rPr>
                <w:rFonts w:ascii="黑体" w:hAnsi="黑体" w:eastAsia="黑体" w:cs="黑体"/>
                <w:i/>
                <w:iCs/>
                <w:color w:val="000000"/>
                <w:sz w:val="18"/>
                <w:szCs w:val="18"/>
              </w:rPr>
            </w:pPr>
          </w:p>
        </w:tc>
      </w:tr>
      <w:tr w14:paraId="238A1C14">
        <w:tblPrEx>
          <w:tblCellMar>
            <w:top w:w="0" w:type="dxa"/>
            <w:left w:w="108" w:type="dxa"/>
            <w:bottom w:w="0" w:type="dxa"/>
            <w:right w:w="108" w:type="dxa"/>
          </w:tblCellMar>
        </w:tblPrEx>
        <w:trPr>
          <w:trHeight w:val="37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4FCE">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CEA">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594F">
            <w:pPr>
              <w:jc w:val="center"/>
              <w:rPr>
                <w:rFonts w:ascii="微软雅黑" w:hAnsi="微软雅黑" w:eastAsia="微软雅黑" w:cs="微软雅黑"/>
                <w:i/>
                <w:iCs/>
                <w:color w:val="000000"/>
                <w:sz w:val="16"/>
                <w:szCs w:val="16"/>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4715">
            <w:pPr>
              <w:jc w:val="center"/>
              <w:rPr>
                <w:rFonts w:ascii="微软雅黑" w:hAnsi="微软雅黑" w:eastAsia="微软雅黑" w:cs="微软雅黑"/>
                <w:i/>
                <w:iCs/>
                <w:color w:val="000000"/>
                <w:sz w:val="16"/>
                <w:szCs w:val="16"/>
              </w:rPr>
            </w:pP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1900E">
            <w:pPr>
              <w:jc w:val="center"/>
              <w:rPr>
                <w:rFonts w:ascii="微软雅黑" w:hAnsi="微软雅黑" w:eastAsia="微软雅黑" w:cs="微软雅黑"/>
                <w:i/>
                <w:i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6AE8">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7ED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C54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20115">
            <w:pPr>
              <w:rPr>
                <w:rFonts w:ascii="黑体" w:hAnsi="黑体" w:eastAsia="黑体" w:cs="黑体"/>
                <w:i/>
                <w:iCs/>
                <w:color w:val="000000"/>
                <w:sz w:val="18"/>
                <w:szCs w:val="18"/>
              </w:rPr>
            </w:pPr>
          </w:p>
        </w:tc>
      </w:tr>
      <w:tr w14:paraId="21F016BE">
        <w:tblPrEx>
          <w:tblCellMar>
            <w:top w:w="0" w:type="dxa"/>
            <w:left w:w="108" w:type="dxa"/>
            <w:bottom w:w="0" w:type="dxa"/>
            <w:right w:w="108" w:type="dxa"/>
          </w:tblCellMar>
        </w:tblPrEx>
        <w:trPr>
          <w:trHeight w:val="452"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FA2B1">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5DD">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663E">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0074">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4DBF">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8C31">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1B4F">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0624">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6EA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47DE">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D99A">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401A6AB8">
        <w:tblPrEx>
          <w:tblCellMar>
            <w:top w:w="0" w:type="dxa"/>
            <w:left w:w="108" w:type="dxa"/>
            <w:bottom w:w="0" w:type="dxa"/>
            <w:right w:w="108" w:type="dxa"/>
          </w:tblCellMar>
        </w:tblPrEx>
        <w:trPr>
          <w:trHeight w:val="678"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A37C">
            <w:pPr>
              <w:jc w:val="center"/>
              <w:rPr>
                <w:rFonts w:ascii="宋体" w:hAnsi="宋体" w:cs="宋体"/>
                <w:color w:val="000000"/>
                <w:sz w:val="18"/>
                <w:szCs w:val="18"/>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FAE12">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6FE1">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7A6A">
            <w:pPr>
              <w:widowControl/>
              <w:jc w:val="center"/>
              <w:textAlignment w:val="center"/>
              <w:rPr>
                <w:rFonts w:ascii="宋体" w:hAnsi="宋体" w:cs="宋体"/>
                <w:color w:val="000000"/>
                <w:sz w:val="18"/>
                <w:szCs w:val="18"/>
              </w:rPr>
            </w:pPr>
            <w:r>
              <w:rPr>
                <w:rFonts w:ascii="宋体" w:hAnsi="宋体" w:cs="宋体"/>
                <w:color w:val="000000"/>
                <w:kern w:val="0"/>
                <w:sz w:val="18"/>
                <w:szCs w:val="18"/>
              </w:rPr>
              <w:t>管辖面积</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518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063">
            <w:pPr>
              <w:widowControl/>
              <w:jc w:val="center"/>
              <w:textAlignment w:val="center"/>
              <w:rPr>
                <w:rFonts w:ascii="宋体" w:hAnsi="宋体" w:cs="宋体"/>
                <w:color w:val="000000"/>
                <w:sz w:val="18"/>
                <w:szCs w:val="18"/>
              </w:rPr>
            </w:pPr>
            <w:r>
              <w:rPr>
                <w:rFonts w:ascii="宋体" w:hAnsi="宋体" w:cs="宋体"/>
                <w:color w:val="000000"/>
                <w:kern w:val="0"/>
                <w:sz w:val="18"/>
                <w:szCs w:val="18"/>
              </w:rPr>
              <w:t>78</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F462">
            <w:pPr>
              <w:widowControl/>
              <w:jc w:val="center"/>
              <w:textAlignment w:val="center"/>
              <w:rPr>
                <w:rFonts w:ascii="宋体" w:hAnsi="宋体" w:cs="宋体"/>
                <w:color w:val="000000"/>
                <w:sz w:val="18"/>
                <w:szCs w:val="18"/>
              </w:rPr>
            </w:pPr>
            <w:r>
              <w:rPr>
                <w:rFonts w:ascii="宋体" w:hAnsi="宋体" w:cs="宋体"/>
                <w:color w:val="000000"/>
                <w:kern w:val="0"/>
                <w:sz w:val="18"/>
                <w:szCs w:val="18"/>
              </w:rPr>
              <w:t>万平方公里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8AF2">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EEA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A6B1">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27F9">
            <w:pPr>
              <w:jc w:val="center"/>
              <w:rPr>
                <w:rFonts w:ascii="微软雅黑" w:hAnsi="微软雅黑" w:eastAsia="微软雅黑" w:cs="微软雅黑"/>
                <w:i/>
                <w:iCs/>
                <w:color w:val="000000"/>
                <w:sz w:val="16"/>
                <w:szCs w:val="16"/>
              </w:rPr>
            </w:pPr>
          </w:p>
        </w:tc>
      </w:tr>
      <w:tr w14:paraId="7DF6020A">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1D97">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B3437">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D518">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8D26">
            <w:pPr>
              <w:widowControl/>
              <w:jc w:val="center"/>
              <w:textAlignment w:val="center"/>
              <w:rPr>
                <w:rFonts w:ascii="宋体" w:hAnsi="宋体" w:cs="宋体"/>
                <w:color w:val="000000"/>
                <w:sz w:val="18"/>
                <w:szCs w:val="18"/>
              </w:rPr>
            </w:pPr>
            <w:r>
              <w:rPr>
                <w:rFonts w:ascii="宋体" w:hAnsi="宋体" w:cs="宋体"/>
                <w:color w:val="000000"/>
                <w:kern w:val="0"/>
                <w:sz w:val="18"/>
                <w:szCs w:val="18"/>
              </w:rPr>
              <w:t>交通管理规范率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575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C594">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54B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564A">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DB99">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A51B">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6546">
            <w:pPr>
              <w:jc w:val="center"/>
              <w:rPr>
                <w:rFonts w:ascii="微软雅黑" w:hAnsi="微软雅黑" w:eastAsia="微软雅黑" w:cs="微软雅黑"/>
                <w:i/>
                <w:iCs/>
                <w:color w:val="000000"/>
                <w:sz w:val="16"/>
                <w:szCs w:val="16"/>
              </w:rPr>
            </w:pPr>
          </w:p>
        </w:tc>
      </w:tr>
      <w:tr w14:paraId="60CDAFD6">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BBCF">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D59F8">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B608">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E54C">
            <w:pPr>
              <w:widowControl/>
              <w:jc w:val="center"/>
              <w:textAlignment w:val="center"/>
              <w:rPr>
                <w:rFonts w:ascii="宋体" w:hAnsi="宋体" w:cs="宋体"/>
                <w:color w:val="000000"/>
                <w:sz w:val="18"/>
                <w:szCs w:val="18"/>
              </w:rPr>
            </w:pPr>
            <w:r>
              <w:rPr>
                <w:rFonts w:ascii="宋体" w:hAnsi="宋体" w:cs="宋体"/>
                <w:color w:val="000000"/>
                <w:kern w:val="0"/>
                <w:sz w:val="18"/>
                <w:szCs w:val="18"/>
              </w:rPr>
              <w:t>按照工作进度支付各项整治费用及时率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BA5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293A">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774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D8FE">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FE7D">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0F90">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9D46">
            <w:pPr>
              <w:jc w:val="center"/>
              <w:rPr>
                <w:rFonts w:ascii="微软雅黑" w:hAnsi="微软雅黑" w:eastAsia="微软雅黑" w:cs="微软雅黑"/>
                <w:i/>
                <w:iCs/>
                <w:color w:val="000000"/>
                <w:sz w:val="16"/>
                <w:szCs w:val="16"/>
              </w:rPr>
            </w:pPr>
          </w:p>
        </w:tc>
      </w:tr>
      <w:tr w14:paraId="7B0BE5C2">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666C1">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857F">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B762">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DC8D">
            <w:pPr>
              <w:widowControl/>
              <w:jc w:val="center"/>
              <w:textAlignment w:val="center"/>
              <w:rPr>
                <w:rFonts w:ascii="宋体" w:hAnsi="宋体" w:cs="宋体"/>
                <w:color w:val="000000"/>
                <w:sz w:val="18"/>
                <w:szCs w:val="18"/>
              </w:rPr>
            </w:pPr>
            <w:r>
              <w:rPr>
                <w:rFonts w:ascii="宋体" w:hAnsi="宋体" w:cs="宋体"/>
                <w:color w:val="000000"/>
                <w:kern w:val="0"/>
                <w:sz w:val="18"/>
                <w:szCs w:val="18"/>
              </w:rPr>
              <w:t>交通安全宣传费、整治及司法鉴定费</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24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5E85">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EA7F">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AC46">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730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3BEA">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82BC">
            <w:pPr>
              <w:jc w:val="center"/>
              <w:rPr>
                <w:rFonts w:ascii="微软雅黑" w:hAnsi="微软雅黑" w:eastAsia="微软雅黑" w:cs="微软雅黑"/>
                <w:i/>
                <w:iCs/>
                <w:color w:val="000000"/>
                <w:sz w:val="16"/>
                <w:szCs w:val="16"/>
              </w:rPr>
            </w:pPr>
          </w:p>
        </w:tc>
      </w:tr>
      <w:tr w14:paraId="0001DAA1">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2FA0D">
            <w:pPr>
              <w:jc w:val="center"/>
              <w:rPr>
                <w:rFonts w:ascii="宋体" w:hAnsi="宋体" w:cs="宋体"/>
                <w:color w:val="000000"/>
                <w:sz w:val="18"/>
                <w:szCs w:val="18"/>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24D1">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05ACD">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6CF9">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保障城区道路交通秩序井然</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0508">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C6FF">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7F98">
            <w:pPr>
              <w:jc w:val="center"/>
              <w:rPr>
                <w:rFonts w:ascii="宋体" w:hAnsi="宋体" w:cs="宋体"/>
                <w:color w:val="000000"/>
                <w:sz w:val="18"/>
                <w:szCs w:val="18"/>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63EB">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35D8">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44A2">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3BD1">
            <w:pPr>
              <w:jc w:val="center"/>
              <w:rPr>
                <w:rFonts w:ascii="微软雅黑" w:hAnsi="微软雅黑" w:eastAsia="微软雅黑" w:cs="微软雅黑"/>
                <w:i/>
                <w:iCs/>
                <w:color w:val="000000"/>
                <w:sz w:val="16"/>
                <w:szCs w:val="16"/>
              </w:rPr>
            </w:pPr>
          </w:p>
        </w:tc>
      </w:tr>
      <w:tr w14:paraId="2B4BF081">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04A9">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7228">
            <w:pPr>
              <w:jc w:val="center"/>
              <w:rPr>
                <w:rFonts w:ascii="宋体" w:hAnsi="宋体" w:cs="宋体"/>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D66D">
            <w:pPr>
              <w:jc w:val="center"/>
              <w:rPr>
                <w:rFonts w:ascii="宋体" w:hAnsi="宋体" w:cs="宋体"/>
                <w:color w:val="000000"/>
                <w:sz w:val="18"/>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2EAE">
            <w:pPr>
              <w:widowControl/>
              <w:jc w:val="center"/>
              <w:textAlignment w:val="center"/>
              <w:rPr>
                <w:rFonts w:ascii="宋体" w:hAnsi="宋体" w:cs="宋体"/>
                <w:color w:val="000000"/>
                <w:sz w:val="18"/>
                <w:szCs w:val="18"/>
              </w:rPr>
            </w:pPr>
            <w:r>
              <w:rPr>
                <w:rFonts w:ascii="宋体" w:hAnsi="宋体" w:cs="宋体"/>
                <w:color w:val="000000"/>
                <w:kern w:val="0"/>
                <w:sz w:val="18"/>
                <w:szCs w:val="18"/>
              </w:rPr>
              <w:t>交通参与者遵守法规文明出行率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9AE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DE42">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8AE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CA6D">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5C62">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3301">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324A">
            <w:pPr>
              <w:jc w:val="center"/>
              <w:rPr>
                <w:rFonts w:ascii="微软雅黑" w:hAnsi="微软雅黑" w:eastAsia="微软雅黑" w:cs="微软雅黑"/>
                <w:i/>
                <w:iCs/>
                <w:color w:val="000000"/>
                <w:sz w:val="16"/>
                <w:szCs w:val="16"/>
              </w:rPr>
            </w:pPr>
          </w:p>
        </w:tc>
      </w:tr>
      <w:tr w14:paraId="4DED2E19">
        <w:tblPrEx>
          <w:tblCellMar>
            <w:top w:w="0" w:type="dxa"/>
            <w:left w:w="108" w:type="dxa"/>
            <w:bottom w:w="0" w:type="dxa"/>
            <w:right w:w="108" w:type="dxa"/>
          </w:tblCellMar>
        </w:tblPrEx>
        <w:trPr>
          <w:trHeight w:val="45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EC44">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420">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5551">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A8C9">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社会满意度</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C3C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37B6">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AF3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C26E">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24F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CC91">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3962">
            <w:pPr>
              <w:jc w:val="center"/>
              <w:rPr>
                <w:rFonts w:ascii="微软雅黑" w:hAnsi="微软雅黑" w:eastAsia="微软雅黑" w:cs="微软雅黑"/>
                <w:i/>
                <w:iCs/>
                <w:color w:val="000000"/>
                <w:sz w:val="16"/>
                <w:szCs w:val="16"/>
              </w:rPr>
            </w:pPr>
          </w:p>
        </w:tc>
      </w:tr>
      <w:tr w14:paraId="1E70FE5A">
        <w:tblPrEx>
          <w:tblCellMar>
            <w:top w:w="0" w:type="dxa"/>
            <w:left w:w="108" w:type="dxa"/>
            <w:bottom w:w="0" w:type="dxa"/>
            <w:right w:w="108" w:type="dxa"/>
          </w:tblCellMar>
        </w:tblPrEx>
        <w:trPr>
          <w:trHeight w:val="286" w:hRule="atLeast"/>
        </w:trPr>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A92B15">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033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5B68">
            <w:pP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438">
            <w:pPr>
              <w:rPr>
                <w:rFonts w:ascii="宋体" w:hAnsi="宋体" w:cs="宋体"/>
                <w:color w:val="000000"/>
                <w:sz w:val="18"/>
                <w:szCs w:val="18"/>
              </w:rPr>
            </w:pPr>
          </w:p>
        </w:tc>
      </w:tr>
      <w:tr w14:paraId="2638F290">
        <w:tblPrEx>
          <w:tblCellMar>
            <w:top w:w="0" w:type="dxa"/>
            <w:left w:w="108" w:type="dxa"/>
            <w:bottom w:w="0" w:type="dxa"/>
            <w:right w:w="108" w:type="dxa"/>
          </w:tblCellMar>
        </w:tblPrEx>
        <w:trPr>
          <w:trHeight w:val="60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1285">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08647D">
            <w:pPr>
              <w:widowControl/>
              <w:wordWrap w:val="0"/>
              <w:spacing w:line="252" w:lineRule="atLeast"/>
              <w:rPr>
                <w:rFonts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rPr>
              <w:t>交警支队警务辅助人员积极协助民警开展交通管理工作，有效化解影响社会稳定的矛盾纠纷，确保了重大活动安全有序进行。</w:t>
            </w:r>
          </w:p>
          <w:p w14:paraId="35397835">
            <w:pPr>
              <w:widowControl/>
              <w:jc w:val="left"/>
              <w:textAlignment w:val="center"/>
              <w:rPr>
                <w:rFonts w:ascii="微软雅黑" w:hAnsi="微软雅黑" w:eastAsia="微软雅黑" w:cs="微软雅黑"/>
                <w:i/>
                <w:iCs/>
                <w:color w:val="000000"/>
                <w:sz w:val="16"/>
                <w:szCs w:val="16"/>
              </w:rPr>
            </w:pPr>
          </w:p>
        </w:tc>
      </w:tr>
      <w:tr w14:paraId="08C045C3">
        <w:tblPrEx>
          <w:tblCellMar>
            <w:top w:w="0" w:type="dxa"/>
            <w:left w:w="108" w:type="dxa"/>
            <w:bottom w:w="0" w:type="dxa"/>
            <w:right w:w="108" w:type="dxa"/>
          </w:tblCellMar>
        </w:tblPrEx>
        <w:trPr>
          <w:trHeight w:val="572"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C995">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8A19BF">
            <w:pPr>
              <w:widowControl/>
              <w:wordWrap w:val="0"/>
              <w:spacing w:line="252" w:lineRule="atLeast"/>
              <w:rPr>
                <w:rFonts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rPr>
              <w:t>遂宁市公安局交警支队未单独制定警务辅助专项经费管理办法。</w:t>
            </w:r>
          </w:p>
          <w:p w14:paraId="4F12D146">
            <w:pPr>
              <w:widowControl/>
              <w:jc w:val="left"/>
              <w:textAlignment w:val="center"/>
              <w:rPr>
                <w:rFonts w:ascii="微软雅黑" w:hAnsi="微软雅黑" w:eastAsia="微软雅黑" w:cs="微软雅黑"/>
                <w:i/>
                <w:iCs/>
                <w:color w:val="000000"/>
                <w:sz w:val="16"/>
                <w:szCs w:val="16"/>
              </w:rPr>
            </w:pPr>
          </w:p>
        </w:tc>
      </w:tr>
      <w:tr w14:paraId="469115EC">
        <w:tblPrEx>
          <w:tblCellMar>
            <w:top w:w="0" w:type="dxa"/>
            <w:left w:w="108" w:type="dxa"/>
            <w:bottom w:w="0" w:type="dxa"/>
            <w:right w:w="108" w:type="dxa"/>
          </w:tblCellMar>
        </w:tblPrEx>
        <w:trPr>
          <w:trHeight w:val="63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B67D">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E2E2BA">
            <w:pPr>
              <w:widowControl/>
              <w:wordWrap w:val="0"/>
              <w:spacing w:line="360" w:lineRule="atLeast"/>
              <w:rPr>
                <w:rFonts w:ascii="宋体" w:hAnsi="宋体" w:cs="宋体"/>
                <w:sz w:val="18"/>
                <w:szCs w:val="18"/>
              </w:rPr>
            </w:pPr>
            <w:r>
              <w:rPr>
                <w:rFonts w:hint="eastAsia" w:ascii="宋体" w:hAnsi="宋体" w:cs="宋体"/>
                <w:b/>
                <w:color w:val="000000"/>
                <w:kern w:val="0"/>
                <w:sz w:val="18"/>
                <w:szCs w:val="18"/>
              </w:rPr>
              <w:t>（一）制定专项资金管理办法，加强资金监管力度</w:t>
            </w:r>
          </w:p>
          <w:p w14:paraId="3F78CCD6">
            <w:pPr>
              <w:widowControl/>
              <w:wordWrap w:val="0"/>
              <w:spacing w:line="360" w:lineRule="atLeast"/>
              <w:rPr>
                <w:rFonts w:ascii="宋体" w:hAnsi="宋体" w:cs="宋体"/>
                <w:sz w:val="18"/>
                <w:szCs w:val="18"/>
              </w:rPr>
            </w:pPr>
            <w:r>
              <w:rPr>
                <w:rFonts w:hint="eastAsia" w:ascii="宋体" w:hAnsi="宋体" w:cs="宋体"/>
                <w:color w:val="000000"/>
                <w:kern w:val="0"/>
                <w:sz w:val="18"/>
                <w:szCs w:val="18"/>
                <w:shd w:val="clear" w:color="auto" w:fill="FFFFFF"/>
              </w:rPr>
              <w:t>警务辅助专项资金规模较大，且管理的警辅人员较多。制定专项资金管理办法，对资金申报、分配、管理、使用、公示、项目层级管理、绩效评价、后续监督检查等进行明确，进一步规范专项资金管理，确保资金专款专用、高效使用。</w:t>
            </w:r>
          </w:p>
          <w:p w14:paraId="530DD14E">
            <w:pPr>
              <w:widowControl/>
              <w:wordWrap w:val="0"/>
              <w:spacing w:line="360" w:lineRule="atLeast"/>
              <w:rPr>
                <w:rFonts w:ascii="宋体" w:hAnsi="宋体" w:cs="宋体"/>
                <w:sz w:val="18"/>
                <w:szCs w:val="18"/>
              </w:rPr>
            </w:pPr>
            <w:r>
              <w:rPr>
                <w:rFonts w:hint="eastAsia" w:ascii="宋体" w:hAnsi="宋体" w:cs="宋体"/>
                <w:b/>
                <w:color w:val="000000"/>
                <w:kern w:val="0"/>
                <w:sz w:val="18"/>
                <w:szCs w:val="18"/>
              </w:rPr>
              <w:t>（二）提升群众满意度</w:t>
            </w:r>
          </w:p>
          <w:p w14:paraId="7A8DDAF6">
            <w:pPr>
              <w:widowControl/>
              <w:wordWrap w:val="0"/>
              <w:spacing w:line="360" w:lineRule="atLeast"/>
              <w:rPr>
                <w:rFonts w:ascii="宋体" w:hAnsi="宋体" w:cs="宋体"/>
                <w:sz w:val="18"/>
                <w:szCs w:val="18"/>
              </w:rPr>
            </w:pPr>
            <w:r>
              <w:rPr>
                <w:rFonts w:hint="eastAsia" w:ascii="宋体" w:hAnsi="宋体" w:cs="宋体"/>
                <w:color w:val="000000"/>
                <w:kern w:val="0"/>
                <w:sz w:val="18"/>
                <w:szCs w:val="18"/>
                <w:shd w:val="clear" w:color="auto" w:fill="FFFFFF"/>
              </w:rPr>
              <w:t>一是加强警务工作，创新便民利民措施，对各种利益群体诉求问题，积极开展教育疏导、调处化解工作，尽最大可能化解矛盾纠纷，消除隐患。二是加强警务辅助人员思想政治教育和宣传，塑造良好形象，加强舆论宣传引导工作，着重突出警务辅助人员在侦察破案、交通执法、服务群众等方面取得的成绩和队伍中涌现的先进人物，积极引导群众真正了解、理解和支持公安工作，着力纠正执法办案中存在的突出问题，不断提升群众的满意度。</w:t>
            </w:r>
          </w:p>
          <w:p w14:paraId="70E33C83">
            <w:pPr>
              <w:widowControl/>
              <w:jc w:val="left"/>
              <w:textAlignment w:val="center"/>
              <w:rPr>
                <w:rFonts w:ascii="微软雅黑" w:hAnsi="微软雅黑" w:eastAsia="微软雅黑" w:cs="微软雅黑"/>
                <w:i/>
                <w:iCs/>
                <w:color w:val="000000"/>
                <w:sz w:val="16"/>
                <w:szCs w:val="16"/>
              </w:rPr>
            </w:pPr>
          </w:p>
        </w:tc>
      </w:tr>
      <w:tr w14:paraId="001BEE20">
        <w:tblPrEx>
          <w:tblCellMar>
            <w:top w:w="0" w:type="dxa"/>
            <w:left w:w="108" w:type="dxa"/>
            <w:bottom w:w="0" w:type="dxa"/>
            <w:right w:w="108" w:type="dxa"/>
          </w:tblCellMar>
        </w:tblPrEx>
        <w:trPr>
          <w:trHeight w:val="286" w:hRule="atLeast"/>
        </w:trPr>
        <w:tc>
          <w:tcPr>
            <w:tcW w:w="4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4654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41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2D161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14:paraId="5C4B0976">
      <w:pPr>
        <w:pStyle w:val="5"/>
        <w:spacing w:before="93"/>
        <w:rPr>
          <w:rFonts w:ascii="仿宋" w:hAnsi="仿宋" w:eastAsia="仿宋" w:cs="仿宋"/>
          <w:color w:val="000000"/>
          <w:sz w:val="32"/>
          <w:szCs w:val="32"/>
          <w:shd w:val="clear" w:color="auto" w:fill="FFFFFF"/>
          <w:lang w:val="zh-CN"/>
        </w:rPr>
        <w:sectPr>
          <w:footerReference r:id="rId7" w:type="first"/>
          <w:footerReference r:id="rId6" w:type="default"/>
          <w:pgSz w:w="11906" w:h="16838"/>
          <w:pgMar w:top="1440" w:right="1800" w:bottom="1440" w:left="1800" w:header="851" w:footer="992" w:gutter="0"/>
          <w:pgNumType w:start="29"/>
          <w:cols w:space="425" w:num="1"/>
          <w:titlePg/>
          <w:docGrid w:type="lines" w:linePitch="312" w:charSpace="0"/>
        </w:sectPr>
      </w:pPr>
    </w:p>
    <w:p w14:paraId="630BB781">
      <w:pPr>
        <w:snapToGrid w:val="0"/>
        <w:spacing w:line="620" w:lineRule="exact"/>
        <w:jc w:val="center"/>
        <w:rPr>
          <w:rFonts w:ascii="宋体" w:hAnsi="宋体" w:cs="宋体"/>
          <w:b/>
          <w:bCs/>
          <w:sz w:val="44"/>
          <w:szCs w:val="44"/>
        </w:rPr>
      </w:pPr>
      <w:r>
        <w:rPr>
          <w:rFonts w:hint="eastAsia" w:ascii="宋体" w:hAnsi="宋体" w:cs="宋体"/>
          <w:b/>
          <w:bCs/>
          <w:sz w:val="44"/>
          <w:szCs w:val="44"/>
        </w:rPr>
        <w:t>部门预算项目支出绩效自评报告</w:t>
      </w:r>
    </w:p>
    <w:p w14:paraId="4B176E4A">
      <w:pPr>
        <w:snapToGrid w:val="0"/>
        <w:spacing w:line="620" w:lineRule="exact"/>
        <w:jc w:val="center"/>
        <w:rPr>
          <w:rFonts w:eastAsia="仿宋_GB2312"/>
          <w:sz w:val="32"/>
          <w:szCs w:val="32"/>
        </w:rPr>
      </w:pPr>
      <w:r>
        <w:rPr>
          <w:rFonts w:ascii="仿宋_GB2312" w:eastAsia="仿宋_GB2312" w:cs="仿宋_GB2312"/>
          <w:sz w:val="32"/>
          <w:szCs w:val="32"/>
        </w:rPr>
        <w:t>（人才发展专项资金项目）</w:t>
      </w:r>
    </w:p>
    <w:p w14:paraId="4A044CBF">
      <w:pPr>
        <w:snapToGrid w:val="0"/>
        <w:spacing w:line="600" w:lineRule="exact"/>
        <w:ind w:firstLine="640" w:firstLineChars="200"/>
        <w:jc w:val="left"/>
        <w:rPr>
          <w:rFonts w:ascii="宋体" w:hAnsi="宋体" w:eastAsia="仿宋_GB2312"/>
          <w:b/>
          <w:sz w:val="32"/>
          <w:szCs w:val="32"/>
        </w:rPr>
      </w:pPr>
      <w:r>
        <w:rPr>
          <w:rFonts w:ascii="仿宋_GB2312" w:eastAsia="仿宋_GB2312" w:cs="仿宋_GB2312"/>
          <w:color w:val="000000"/>
          <w:kern w:val="0"/>
          <w:sz w:val="32"/>
          <w:szCs w:val="32"/>
          <w:shd w:val="clear" w:color="auto" w:fill="FFFFFF"/>
        </w:rPr>
        <w:t>为了对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人才发展专项资金使用、管理的科学性、合理性和效益性进行客观、公正的评价，规范人才发展专项资金管理，提高资金使用效益，根据《遂宁市财政局关于开展2023年部门、项目、政策支出绩效自评工作的通知（遂财绩[2023]2号）文件精神，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年度遂宁市公安局交警支队人才发展专项资金项目实施了绩效评价。现将项目绩效评价情况报告如下</w:t>
      </w:r>
      <w:r>
        <w:rPr>
          <w:rFonts w:hint="eastAsia" w:ascii="新宋体" w:hAnsi="新宋体" w:eastAsia="新宋体" w:cs="新宋体"/>
          <w:color w:val="000000"/>
          <w:kern w:val="0"/>
          <w:sz w:val="32"/>
          <w:szCs w:val="32"/>
          <w:shd w:val="clear" w:color="auto" w:fill="FFFFFF"/>
        </w:rPr>
        <w:t>：</w:t>
      </w:r>
    </w:p>
    <w:p w14:paraId="2D4554FF">
      <w:pPr>
        <w:snapToGrid w:val="0"/>
        <w:spacing w:line="620" w:lineRule="exact"/>
        <w:ind w:left="632"/>
        <w:jc w:val="left"/>
        <w:rPr>
          <w:rFonts w:eastAsia="黑体"/>
          <w:sz w:val="32"/>
          <w:szCs w:val="32"/>
        </w:rPr>
      </w:pPr>
      <w:r>
        <w:rPr>
          <w:rFonts w:hint="eastAsia" w:ascii="黑体" w:hAnsi="宋体" w:eastAsia="黑体" w:cs="黑体"/>
          <w:sz w:val="32"/>
          <w:szCs w:val="32"/>
        </w:rPr>
        <w:t>一、基本情况</w:t>
      </w:r>
    </w:p>
    <w:p w14:paraId="662CD13B">
      <w:pPr>
        <w:pStyle w:val="2"/>
        <w:keepNext w:val="0"/>
        <w:keepLines w:val="0"/>
        <w:widowControl/>
        <w:wordWrap w:val="0"/>
        <w:spacing w:line="480" w:lineRule="atLeast"/>
        <w:ind w:firstLine="352" w:firstLineChars="110"/>
        <w:rPr>
          <w:rFonts w:ascii="仿宋_GB2312" w:hAnsi="宋体" w:eastAsia="仿宋_GB2312" w:cs="Times New Roman"/>
          <w:b w:val="0"/>
          <w:kern w:val="0"/>
        </w:rPr>
      </w:pPr>
      <w:r>
        <w:rPr>
          <w:rFonts w:ascii="仿宋_GB2312" w:hAnsi="宋体" w:eastAsia="仿宋_GB2312" w:cs="仿宋_GB2312"/>
          <w:b w:val="0"/>
          <w:kern w:val="0"/>
        </w:rPr>
        <w:t>为了提高遂宁市人才储备质量，高层次人才于本市安家，引进到企业、医院和学校的博士研究生、正高专业技术职务任职资格人员，</w:t>
      </w:r>
      <w:r>
        <w:rPr>
          <w:rFonts w:ascii="仿宋_GB2312" w:hAnsi="宋体" w:eastAsia="仿宋_GB2312" w:cs="仿宋_GB2312"/>
          <w:b w:val="0"/>
          <w:spacing w:val="2"/>
          <w:kern w:val="0"/>
        </w:rPr>
        <w:t>生活补贴等人才补助资金申报工作有关事宜，安排了人才发展专项资金。</w:t>
      </w:r>
    </w:p>
    <w:p w14:paraId="0031229F">
      <w:pPr>
        <w:pStyle w:val="2"/>
        <w:keepNext w:val="0"/>
        <w:keepLines w:val="0"/>
        <w:widowControl/>
        <w:wordWrap w:val="0"/>
        <w:spacing w:line="480" w:lineRule="atLeast"/>
        <w:ind w:firstLine="353" w:firstLineChars="110"/>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rPr>
        <w:t>（一）项目绩效目标</w:t>
      </w:r>
    </w:p>
    <w:p w14:paraId="13F3ECC7">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w:t>
      </w:r>
      <w:r>
        <w:rPr>
          <w:rFonts w:ascii="仿宋_GB2312" w:eastAsia="仿宋_GB2312" w:cs="仿宋_GB2312"/>
          <w:spacing w:val="-2"/>
          <w:sz w:val="32"/>
          <w:szCs w:val="32"/>
        </w:rPr>
        <w:t>引进高层次人才生活补贴</w:t>
      </w:r>
      <w:r>
        <w:rPr>
          <w:rFonts w:ascii="仿宋_GB2312" w:eastAsia="仿宋_GB2312" w:cs="仿宋_GB2312"/>
          <w:color w:val="000000"/>
          <w:kern w:val="0"/>
          <w:sz w:val="32"/>
          <w:szCs w:val="32"/>
          <w:shd w:val="clear" w:color="auto" w:fill="FFFFFF"/>
        </w:rPr>
        <w:t>，有效提升了高层次人才安家率，切实落实暖才爱才工程，让高质量人才在工作之余下能够感受到本市对人才的关怀，</w:t>
      </w:r>
      <w:r>
        <w:rPr>
          <w:rFonts w:ascii="仿宋_GB2312" w:eastAsia="仿宋_GB2312" w:cs="仿宋_GB2312"/>
          <w:color w:val="000000"/>
          <w:sz w:val="32"/>
          <w:szCs w:val="32"/>
        </w:rPr>
        <w:t>不断提高质量人才的归属感、荣誉感和创造力。</w:t>
      </w:r>
    </w:p>
    <w:p w14:paraId="74244080">
      <w:pPr>
        <w:pStyle w:val="2"/>
        <w:keepNext w:val="0"/>
        <w:keepLines w:val="0"/>
        <w:widowControl/>
        <w:wordWrap w:val="0"/>
        <w:spacing w:line="480" w:lineRule="atLeast"/>
        <w:ind w:firstLine="196"/>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rPr>
        <w:t>（二）专项资金的使用及管理情况</w:t>
      </w:r>
    </w:p>
    <w:p w14:paraId="59953CC0">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1</w:t>
      </w:r>
      <w:r>
        <w:rPr>
          <w:rFonts w:ascii="仿宋_GB2312" w:eastAsia="仿宋_GB2312" w:cs="仿宋_GB2312"/>
          <w:color w:val="000000"/>
          <w:kern w:val="0"/>
          <w:sz w:val="32"/>
          <w:szCs w:val="32"/>
          <w:shd w:val="clear" w:color="auto" w:fill="FFFFFF"/>
        </w:rPr>
        <w:t>．专项资金安排、拨付情况</w:t>
      </w:r>
    </w:p>
    <w:p w14:paraId="449E2FBF">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按交警支队引进高质量人才安家生活补贴保障标准，2022年财政实际拨款0.72万元。</w:t>
      </w:r>
    </w:p>
    <w:p w14:paraId="19AD31C2">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2</w:t>
      </w:r>
      <w:r>
        <w:rPr>
          <w:rFonts w:ascii="仿宋_GB2312" w:eastAsia="仿宋_GB2312" w:cs="仿宋_GB2312"/>
          <w:color w:val="000000"/>
          <w:kern w:val="0"/>
          <w:sz w:val="32"/>
          <w:szCs w:val="32"/>
          <w:shd w:val="clear" w:color="auto" w:fill="FFFFFF"/>
        </w:rPr>
        <w:t>．专项资金使用情况</w:t>
      </w:r>
    </w:p>
    <w:p w14:paraId="497469B1">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2022年度</w:t>
      </w:r>
      <w:r>
        <w:rPr>
          <w:rFonts w:ascii="仿宋_GB2312" w:eastAsia="仿宋_GB2312" w:cs="仿宋_GB2312"/>
          <w:sz w:val="32"/>
          <w:szCs w:val="32"/>
        </w:rPr>
        <w:t>人才发展专项资金</w:t>
      </w:r>
      <w:r>
        <w:rPr>
          <w:rFonts w:ascii="仿宋_GB2312" w:eastAsia="仿宋_GB2312" w:cs="仿宋_GB2312"/>
          <w:color w:val="000000"/>
          <w:kern w:val="0"/>
          <w:sz w:val="32"/>
          <w:szCs w:val="32"/>
          <w:shd w:val="clear" w:color="auto" w:fill="FFFFFF"/>
        </w:rPr>
        <w:t>实际支出</w:t>
      </w:r>
      <w:r>
        <w:rPr>
          <w:rFonts w:hint="eastAsia" w:ascii="仿宋" w:hAnsi="仿宋" w:eastAsia="仿宋" w:cs="仿宋"/>
          <w:sz w:val="32"/>
          <w:szCs w:val="32"/>
        </w:rPr>
        <w:t>0.72</w:t>
      </w:r>
      <w:r>
        <w:rPr>
          <w:rFonts w:ascii="仿宋_GB2312" w:eastAsia="仿宋_GB2312" w:cs="仿宋_GB2312"/>
          <w:color w:val="000000"/>
          <w:kern w:val="0"/>
          <w:sz w:val="32"/>
          <w:szCs w:val="32"/>
          <w:shd w:val="clear" w:color="auto" w:fill="FFFFFF"/>
        </w:rPr>
        <w:t>万元。</w:t>
      </w:r>
      <w:r>
        <w:rPr>
          <w:rFonts w:ascii="仿宋_GB2312" w:eastAsia="仿宋_GB2312" w:cs="仿宋_GB2312"/>
          <w:sz w:val="32"/>
          <w:szCs w:val="32"/>
        </w:rPr>
        <w:t>引进到各级机关（参公事业单位）的急需紧缺专业选调生硕士研究生、博士研究生由同级财政每月给予的生活补助。</w:t>
      </w:r>
    </w:p>
    <w:p w14:paraId="3D3BD509">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3</w:t>
      </w:r>
      <w:r>
        <w:rPr>
          <w:rFonts w:ascii="仿宋_GB2312" w:eastAsia="仿宋_GB2312" w:cs="仿宋_GB2312"/>
          <w:color w:val="000000"/>
          <w:kern w:val="0"/>
          <w:sz w:val="32"/>
          <w:szCs w:val="32"/>
          <w:shd w:val="clear" w:color="auto" w:fill="FFFFFF"/>
        </w:rPr>
        <w:t>．资金管理情况</w:t>
      </w:r>
    </w:p>
    <w:p w14:paraId="7B06C852">
      <w:pPr>
        <w:spacing w:line="620" w:lineRule="exact"/>
        <w:ind w:firstLine="640" w:firstLineChars="200"/>
        <w:rPr>
          <w:rFonts w:ascii="仿宋_GB2312" w:eastAsia="仿宋_GB2312"/>
          <w:sz w:val="32"/>
          <w:szCs w:val="32"/>
        </w:rPr>
      </w:pPr>
      <w:r>
        <w:rPr>
          <w:rFonts w:ascii="仿宋_GB2312" w:eastAsia="仿宋_GB2312" w:cs="仿宋_GB2312"/>
          <w:sz w:val="32"/>
          <w:szCs w:val="32"/>
        </w:rPr>
        <w:t>经市人才工作领导小组审定后的合格人员名单及补助金额，由市人力资源社会保障局反馈给各主管部门或用人单位，并由用人单位负责通知到个人。同时，按规定应由市级财政承担的补助资金，由市财政局直接拨付到各用人单位，由用人单位负责兑现给个人。</w:t>
      </w:r>
    </w:p>
    <w:p w14:paraId="22659E3D">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4</w:t>
      </w:r>
      <w:r>
        <w:rPr>
          <w:rFonts w:ascii="仿宋_GB2312" w:eastAsia="仿宋_GB2312" w:cs="仿宋_GB2312"/>
          <w:color w:val="000000"/>
          <w:kern w:val="0"/>
          <w:sz w:val="32"/>
          <w:szCs w:val="32"/>
          <w:shd w:val="clear" w:color="auto" w:fill="FFFFFF"/>
        </w:rPr>
        <w:t>．项目管理情况</w:t>
      </w:r>
    </w:p>
    <w:p w14:paraId="43E9323C">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每月由符合条件的申请人对</w:t>
      </w:r>
      <w:r>
        <w:rPr>
          <w:rFonts w:ascii="仿宋_GB2312" w:eastAsia="仿宋_GB2312" w:cs="仿宋_GB2312"/>
          <w:sz w:val="32"/>
          <w:szCs w:val="32"/>
        </w:rPr>
        <w:t>人才发展专项资金项目</w:t>
      </w:r>
      <w:r>
        <w:rPr>
          <w:rFonts w:ascii="仿宋_GB2312" w:eastAsia="仿宋_GB2312" w:cs="仿宋_GB2312"/>
          <w:color w:val="000000"/>
          <w:kern w:val="0"/>
          <w:sz w:val="32"/>
          <w:szCs w:val="32"/>
          <w:shd w:val="clear" w:color="auto" w:fill="FFFFFF"/>
        </w:rPr>
        <w:t>满意率进行测评，并提出</w:t>
      </w:r>
      <w:r>
        <w:rPr>
          <w:rFonts w:ascii="仿宋_GB2312" w:eastAsia="仿宋_GB2312" w:cs="仿宋_GB2312"/>
          <w:sz w:val="32"/>
          <w:szCs w:val="32"/>
        </w:rPr>
        <w:t>人才发展专项资金项目</w:t>
      </w:r>
      <w:r>
        <w:rPr>
          <w:rFonts w:ascii="仿宋_GB2312" w:eastAsia="仿宋_GB2312" w:cs="仿宋_GB2312"/>
          <w:color w:val="000000"/>
          <w:kern w:val="0"/>
          <w:sz w:val="32"/>
          <w:szCs w:val="32"/>
          <w:shd w:val="clear" w:color="auto" w:fill="FFFFFF"/>
        </w:rPr>
        <w:t>各存在的问题和整改措施。</w:t>
      </w:r>
    </w:p>
    <w:p w14:paraId="110AFA83">
      <w:pPr>
        <w:snapToGrid w:val="0"/>
        <w:spacing w:line="620" w:lineRule="exact"/>
        <w:ind w:firstLine="640" w:firstLineChars="200"/>
        <w:rPr>
          <w:rFonts w:eastAsia="仿宋_GB2312"/>
          <w:sz w:val="32"/>
          <w:szCs w:val="32"/>
        </w:rPr>
      </w:pPr>
      <w:r>
        <w:rPr>
          <w:rFonts w:hint="eastAsia" w:ascii="黑体" w:hAnsi="宋体" w:eastAsia="黑体" w:cs="黑体"/>
          <w:sz w:val="32"/>
          <w:szCs w:val="32"/>
        </w:rPr>
        <w:t>二、评价工作开展情况</w:t>
      </w:r>
    </w:p>
    <w:p w14:paraId="6529AED6">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（一）绩效评价目的</w:t>
      </w:r>
    </w:p>
    <w:p w14:paraId="15E8E33C">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p>
    <w:p w14:paraId="5FE9EF05">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（二）绩效评价过程</w:t>
      </w:r>
    </w:p>
    <w:p w14:paraId="3FDF8C22">
      <w:pPr>
        <w:snapToGrid w:val="0"/>
        <w:spacing w:line="620" w:lineRule="exac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根据《遂宁市财政局关于开展2023年部门、项目、政策支出绩效自评工作的通知（遂财绩[2023]2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14:paraId="17202D1E">
      <w:pPr>
        <w:snapToGrid w:val="0"/>
        <w:spacing w:line="620" w:lineRule="exact"/>
        <w:ind w:firstLine="640" w:firstLineChars="200"/>
        <w:rPr>
          <w:rFonts w:eastAsia="黑体"/>
          <w:sz w:val="32"/>
          <w:szCs w:val="32"/>
        </w:rPr>
      </w:pPr>
      <w:r>
        <w:rPr>
          <w:rFonts w:hint="eastAsia" w:ascii="黑体" w:hAnsi="宋体" w:eastAsia="黑体" w:cs="黑体"/>
          <w:sz w:val="32"/>
          <w:szCs w:val="32"/>
        </w:rPr>
        <w:t>三、综合评价结论（附评分表）</w:t>
      </w:r>
    </w:p>
    <w:p w14:paraId="73B51CEB">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w:t>
      </w:r>
      <w:r>
        <w:rPr>
          <w:rFonts w:ascii="仿宋_GB2312" w:eastAsia="仿宋_GB2312" w:cs="仿宋_GB2312"/>
          <w:spacing w:val="-2"/>
          <w:sz w:val="32"/>
          <w:szCs w:val="32"/>
        </w:rPr>
        <w:t>引进高层次人才生活补贴</w:t>
      </w:r>
      <w:r>
        <w:rPr>
          <w:rFonts w:ascii="仿宋_GB2312" w:eastAsia="仿宋_GB2312" w:cs="仿宋_GB2312"/>
          <w:color w:val="000000"/>
          <w:kern w:val="0"/>
          <w:sz w:val="32"/>
          <w:szCs w:val="32"/>
          <w:shd w:val="clear" w:color="auto" w:fill="FFFFFF"/>
        </w:rPr>
        <w:t>，有效提升了高层次人才安家率，切实落实暖才爱才工程，让民辅警在工作之余下能够感受到本市对人才的关怀，</w:t>
      </w:r>
      <w:r>
        <w:rPr>
          <w:rFonts w:ascii="仿宋_GB2312" w:eastAsia="仿宋_GB2312" w:cs="仿宋_GB2312"/>
          <w:color w:val="000000"/>
          <w:sz w:val="32"/>
          <w:szCs w:val="32"/>
        </w:rPr>
        <w:t>不断提高质量人才的归属感、荣誉感和创造力。</w:t>
      </w:r>
    </w:p>
    <w:p w14:paraId="67BFAF68">
      <w:pPr>
        <w:widowControl/>
        <w:wordWrap w:val="0"/>
        <w:spacing w:line="252" w:lineRule="atLeast"/>
        <w:ind w:firstLine="640" w:firstLineChars="200"/>
        <w:rPr>
          <w:rFonts w:eastAsia="仿宋_GB2312"/>
          <w:sz w:val="32"/>
          <w:szCs w:val="32"/>
          <w:highlight w:val="yellow"/>
        </w:rPr>
      </w:pPr>
      <w:r>
        <w:rPr>
          <w:rFonts w:ascii="仿宋_GB2312" w:eastAsia="仿宋_GB2312" w:cs="仿宋_GB2312"/>
          <w:color w:val="000000"/>
          <w:kern w:val="0"/>
          <w:sz w:val="32"/>
          <w:szCs w:val="32"/>
          <w:shd w:val="clear" w:color="auto" w:fill="FFFFFF"/>
        </w:rPr>
        <w:t>根据《</w:t>
      </w:r>
      <w:r>
        <w:rPr>
          <w:rFonts w:eastAsia="微软雅黑"/>
          <w:color w:val="000000"/>
          <w:kern w:val="0"/>
          <w:sz w:val="32"/>
          <w:szCs w:val="32"/>
          <w:shd w:val="clear" w:color="auto" w:fill="FFFFFF"/>
        </w:rPr>
        <w:t>2023</w:t>
      </w:r>
      <w:r>
        <w:rPr>
          <w:rFonts w:ascii="仿宋_GB2312" w:eastAsia="仿宋_GB2312" w:cs="仿宋_GB2312"/>
          <w:color w:val="000000"/>
          <w:kern w:val="0"/>
          <w:sz w:val="32"/>
          <w:szCs w:val="32"/>
          <w:shd w:val="clear" w:color="auto" w:fill="FFFFFF"/>
        </w:rPr>
        <w:t>年度实际项目支出绩效评价指标体系》，</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w:t>
      </w:r>
      <w:r>
        <w:rPr>
          <w:rFonts w:ascii="仿宋_GB2312" w:eastAsia="仿宋_GB2312" w:cs="仿宋_GB2312"/>
          <w:sz w:val="32"/>
          <w:szCs w:val="32"/>
        </w:rPr>
        <w:t>人才发展专项资金项目</w:t>
      </w:r>
      <w:r>
        <w:rPr>
          <w:rFonts w:ascii="仿宋_GB2312" w:eastAsia="仿宋_GB2312" w:cs="仿宋_GB2312"/>
          <w:color w:val="000000"/>
          <w:kern w:val="0"/>
          <w:sz w:val="32"/>
          <w:szCs w:val="32"/>
          <w:shd w:val="clear" w:color="auto" w:fill="FFFFFF"/>
        </w:rPr>
        <w:t>绩效评价综合得分为</w:t>
      </w:r>
      <w:r>
        <w:rPr>
          <w:rFonts w:eastAsia="微软雅黑"/>
          <w:color w:val="000000"/>
          <w:kern w:val="0"/>
          <w:sz w:val="32"/>
          <w:szCs w:val="32"/>
          <w:shd w:val="clear" w:color="auto" w:fill="FFFFFF"/>
        </w:rPr>
        <w:t>97</w:t>
      </w:r>
      <w:r>
        <w:rPr>
          <w:rFonts w:ascii="仿宋_GB2312" w:eastAsia="仿宋_GB2312" w:cs="仿宋_GB2312"/>
          <w:color w:val="000000"/>
          <w:kern w:val="0"/>
          <w:sz w:val="32"/>
          <w:szCs w:val="32"/>
          <w:shd w:val="clear" w:color="auto" w:fill="FFFFFF"/>
        </w:rPr>
        <w:t>分。评价等级为</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优</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w:t>
      </w:r>
    </w:p>
    <w:p w14:paraId="11CC3FD5">
      <w:pPr>
        <w:snapToGrid w:val="0"/>
        <w:spacing w:line="620" w:lineRule="exact"/>
        <w:ind w:firstLine="640" w:firstLineChars="200"/>
        <w:rPr>
          <w:rFonts w:eastAsia="黑体"/>
          <w:bCs/>
          <w:sz w:val="32"/>
          <w:szCs w:val="32"/>
        </w:rPr>
      </w:pPr>
      <w:r>
        <w:rPr>
          <w:rFonts w:hint="eastAsia" w:ascii="黑体" w:hAnsi="宋体" w:eastAsia="黑体" w:cs="黑体"/>
          <w:bCs/>
          <w:sz w:val="32"/>
          <w:szCs w:val="32"/>
        </w:rPr>
        <w:t>四、绩效评价分析</w:t>
      </w:r>
    </w:p>
    <w:p w14:paraId="063984F4">
      <w:pPr>
        <w:pStyle w:val="2"/>
        <w:keepNext w:val="0"/>
        <w:keepLines w:val="0"/>
        <w:widowControl/>
        <w:wordWrap w:val="0"/>
        <w:spacing w:line="480" w:lineRule="atLeast"/>
        <w:ind w:firstLine="511" w:firstLineChars="159"/>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（一）项目决策、管理情况</w:t>
      </w:r>
    </w:p>
    <w:p w14:paraId="30725FCC">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w:t>
      </w:r>
      <w:r>
        <w:rPr>
          <w:rFonts w:ascii="仿宋_GB2312" w:eastAsia="仿宋_GB2312" w:cs="仿宋_GB2312"/>
          <w:spacing w:val="-2"/>
          <w:sz w:val="32"/>
          <w:szCs w:val="32"/>
        </w:rPr>
        <w:t>引进高层次人才生活补贴</w:t>
      </w:r>
      <w:r>
        <w:rPr>
          <w:rFonts w:ascii="仿宋_GB2312" w:eastAsia="仿宋_GB2312" w:cs="仿宋_GB2312"/>
          <w:color w:val="000000"/>
          <w:kern w:val="0"/>
          <w:sz w:val="32"/>
          <w:szCs w:val="32"/>
          <w:shd w:val="clear" w:color="auto" w:fill="FFFFFF"/>
        </w:rPr>
        <w:t>，有效提升了高层次人才安家率，切实落实暖才爱才工程，让高质量人才在工作之余下能够感受到本市对人才的关怀，</w:t>
      </w:r>
      <w:r>
        <w:rPr>
          <w:rFonts w:ascii="仿宋_GB2312" w:eastAsia="仿宋_GB2312" w:cs="仿宋_GB2312"/>
          <w:color w:val="000000"/>
          <w:sz w:val="32"/>
          <w:szCs w:val="32"/>
        </w:rPr>
        <w:t>不断提高质量人才的归属感、荣誉感和创造力。</w:t>
      </w:r>
    </w:p>
    <w:p w14:paraId="2BE6CDA8">
      <w:pPr>
        <w:pStyle w:val="2"/>
        <w:keepNext w:val="0"/>
        <w:keepLines w:val="0"/>
        <w:widowControl/>
        <w:wordWrap w:val="0"/>
        <w:spacing w:line="480" w:lineRule="atLeast"/>
        <w:ind w:firstLine="196"/>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（二）项目产出、效益情况</w:t>
      </w:r>
    </w:p>
    <w:p w14:paraId="69A9A726">
      <w:pPr>
        <w:widowControl/>
        <w:wordWrap w:val="0"/>
        <w:spacing w:line="252" w:lineRule="atLeast"/>
        <w:ind w:firstLine="640"/>
        <w:rPr>
          <w:rFonts w:ascii="楷体_GB2312" w:hAnsi="宋体" w:eastAsia="楷体_GB2312"/>
          <w:b/>
          <w:sz w:val="32"/>
          <w:szCs w:val="32"/>
        </w:rPr>
      </w:pPr>
      <w:r>
        <w:rPr>
          <w:rFonts w:ascii="仿宋_GB2312" w:eastAsia="仿宋_GB2312" w:cs="仿宋_GB2312"/>
          <w:color w:val="000000"/>
          <w:kern w:val="0"/>
          <w:sz w:val="32"/>
          <w:szCs w:val="32"/>
          <w:shd w:val="clear" w:color="auto" w:fill="FFFFFF"/>
        </w:rPr>
        <w:t>民辅警积极开展公安工作，职工满意度有效提升达到95%，带动服务外包企业就业人数增长，助力企业经济增长。</w:t>
      </w:r>
    </w:p>
    <w:p w14:paraId="34655261">
      <w:pPr>
        <w:snapToGrid w:val="0"/>
        <w:spacing w:line="620" w:lineRule="exact"/>
        <w:ind w:firstLine="640" w:firstLineChars="200"/>
        <w:rPr>
          <w:rFonts w:eastAsia="黑体"/>
          <w:sz w:val="32"/>
          <w:szCs w:val="32"/>
        </w:rPr>
      </w:pPr>
      <w:r>
        <w:rPr>
          <w:rFonts w:hint="eastAsia" w:ascii="黑体" w:hAnsi="宋体" w:eastAsia="黑体" w:cs="黑体"/>
          <w:sz w:val="32"/>
          <w:szCs w:val="32"/>
        </w:rPr>
        <w:t>五、存在主要问题</w:t>
      </w:r>
    </w:p>
    <w:p w14:paraId="13DB310B">
      <w:pPr>
        <w:snapToGrid w:val="0"/>
        <w:spacing w:line="620" w:lineRule="exact"/>
        <w:ind w:firstLine="640" w:firstLineChars="200"/>
        <w:rPr>
          <w:rFonts w:eastAsia="黑体"/>
          <w:sz w:val="32"/>
          <w:szCs w:val="32"/>
        </w:rPr>
      </w:pPr>
      <w:r>
        <w:rPr>
          <w:rFonts w:ascii="仿宋_GB2312" w:eastAsia="仿宋_GB2312" w:cs="仿宋_GB2312"/>
          <w:color w:val="000000"/>
          <w:kern w:val="0"/>
          <w:sz w:val="32"/>
          <w:szCs w:val="32"/>
          <w:shd w:val="clear" w:color="auto" w:fill="FFFFFF"/>
        </w:rPr>
        <w:t>无</w:t>
      </w:r>
    </w:p>
    <w:p w14:paraId="73443AFF">
      <w:pPr>
        <w:snapToGrid w:val="0"/>
        <w:spacing w:line="620" w:lineRule="exact"/>
        <w:ind w:firstLine="640" w:firstLineChars="200"/>
        <w:rPr>
          <w:rFonts w:eastAsia="黑体"/>
          <w:sz w:val="32"/>
          <w:szCs w:val="32"/>
        </w:rPr>
      </w:pPr>
      <w:r>
        <w:rPr>
          <w:rFonts w:hint="eastAsia" w:ascii="黑体" w:hAnsi="宋体" w:eastAsia="黑体" w:cs="黑体"/>
          <w:sz w:val="32"/>
          <w:szCs w:val="32"/>
        </w:rPr>
        <w:t>六、相关措施建议</w:t>
      </w:r>
    </w:p>
    <w:p w14:paraId="51F09A01">
      <w:pPr>
        <w:snapToGrid w:val="0"/>
        <w:spacing w:line="620" w:lineRule="exact"/>
        <w:ind w:firstLine="640" w:firstLineChars="200"/>
        <w:rPr>
          <w:rFonts w:eastAsia="仿宋_GB2312"/>
          <w:sz w:val="32"/>
          <w:szCs w:val="32"/>
        </w:rPr>
      </w:pPr>
      <w:r>
        <w:rPr>
          <w:rFonts w:ascii="仿宋_GB2312" w:eastAsia="仿宋_GB2312" w:cs="仿宋_GB2312"/>
          <w:color w:val="000000"/>
          <w:kern w:val="0"/>
          <w:sz w:val="32"/>
          <w:szCs w:val="32"/>
          <w:shd w:val="clear" w:color="auto" w:fill="FFFFFF"/>
        </w:rPr>
        <w:t>无</w:t>
      </w:r>
    </w:p>
    <w:tbl>
      <w:tblPr>
        <w:tblStyle w:val="13"/>
        <w:tblW w:w="8570" w:type="dxa"/>
        <w:tblInd w:w="98" w:type="dxa"/>
        <w:tblLayout w:type="autofit"/>
        <w:tblCellMar>
          <w:top w:w="0" w:type="dxa"/>
          <w:left w:w="108" w:type="dxa"/>
          <w:bottom w:w="0" w:type="dxa"/>
          <w:right w:w="108" w:type="dxa"/>
        </w:tblCellMar>
      </w:tblPr>
      <w:tblGrid>
        <w:gridCol w:w="624"/>
        <w:gridCol w:w="1007"/>
        <w:gridCol w:w="912"/>
        <w:gridCol w:w="1343"/>
        <w:gridCol w:w="473"/>
        <w:gridCol w:w="869"/>
        <w:gridCol w:w="473"/>
        <w:gridCol w:w="992"/>
        <w:gridCol w:w="576"/>
        <w:gridCol w:w="417"/>
        <w:gridCol w:w="884"/>
      </w:tblGrid>
      <w:tr w14:paraId="0446B1BE">
        <w:tblPrEx>
          <w:tblCellMar>
            <w:top w:w="0" w:type="dxa"/>
            <w:left w:w="108" w:type="dxa"/>
            <w:bottom w:w="0" w:type="dxa"/>
            <w:right w:w="108" w:type="dxa"/>
          </w:tblCellMar>
        </w:tblPrEx>
        <w:trPr>
          <w:trHeight w:val="904" w:hRule="atLeast"/>
        </w:trPr>
        <w:tc>
          <w:tcPr>
            <w:tcW w:w="85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663967">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14:paraId="65C4A442">
        <w:tblPrEx>
          <w:tblCellMar>
            <w:top w:w="0" w:type="dxa"/>
            <w:left w:w="108" w:type="dxa"/>
            <w:bottom w:w="0" w:type="dxa"/>
            <w:right w:w="108" w:type="dxa"/>
          </w:tblCellMar>
        </w:tblPrEx>
        <w:trPr>
          <w:trHeight w:val="286"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5AD45">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095BAD">
            <w:pPr>
              <w:widowControl/>
              <w:jc w:val="left"/>
              <w:textAlignment w:val="center"/>
              <w:rPr>
                <w:rFonts w:ascii="宋体" w:hAnsi="宋体" w:cs="宋体"/>
                <w:color w:val="000000"/>
                <w:sz w:val="18"/>
                <w:szCs w:val="18"/>
              </w:rPr>
            </w:pPr>
            <w:r>
              <w:rPr>
                <w:rFonts w:ascii="宋体" w:hAnsi="宋体" w:cs="宋体"/>
                <w:color w:val="000000"/>
                <w:kern w:val="0"/>
                <w:sz w:val="18"/>
                <w:szCs w:val="18"/>
              </w:rPr>
              <w:t>51090022Y000004842253-非定额公用-驻村帮扶干部工作经费（行政）</w:t>
            </w:r>
          </w:p>
        </w:tc>
      </w:tr>
      <w:tr w14:paraId="3EEE5533">
        <w:tblPrEx>
          <w:tblCellMar>
            <w:top w:w="0" w:type="dxa"/>
            <w:left w:w="108" w:type="dxa"/>
            <w:bottom w:w="0" w:type="dxa"/>
            <w:right w:w="108" w:type="dxa"/>
          </w:tblCellMar>
        </w:tblPrEx>
        <w:trPr>
          <w:trHeight w:val="512"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041E2">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AF888">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遂宁市公安局部门</w:t>
            </w:r>
          </w:p>
        </w:tc>
        <w:tc>
          <w:tcPr>
            <w:tcW w:w="1000" w:type="dxa"/>
            <w:tcBorders>
              <w:top w:val="nil"/>
              <w:left w:val="nil"/>
              <w:bottom w:val="nil"/>
              <w:right w:val="nil"/>
            </w:tcBorders>
            <w:shd w:val="clear" w:color="auto" w:fill="auto"/>
            <w:vAlign w:val="center"/>
          </w:tcPr>
          <w:p w14:paraId="094E423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EF455">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遂宁市公安局交通警察支队</w:t>
            </w:r>
          </w:p>
        </w:tc>
      </w:tr>
      <w:tr w14:paraId="1D3FA574">
        <w:tblPrEx>
          <w:tblCellMar>
            <w:top w:w="0" w:type="dxa"/>
            <w:left w:w="108" w:type="dxa"/>
            <w:bottom w:w="0" w:type="dxa"/>
            <w:right w:w="108" w:type="dxa"/>
          </w:tblCellMar>
        </w:tblPrEx>
        <w:trPr>
          <w:trHeight w:val="286"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0B3AB">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25316">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B32A2">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0F647">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68B70A19">
        <w:tblPrEx>
          <w:tblCellMar>
            <w:top w:w="0" w:type="dxa"/>
            <w:left w:w="108" w:type="dxa"/>
            <w:bottom w:w="0" w:type="dxa"/>
            <w:right w:w="108" w:type="dxa"/>
          </w:tblCellMar>
        </w:tblPrEx>
        <w:trPr>
          <w:trHeight w:val="708"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6D7F2">
            <w:pP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0C2C">
            <w:pPr>
              <w:rPr>
                <w:rFonts w:ascii="宋体" w:hAnsi="宋体" w:cs="宋体"/>
                <w:color w:val="000000"/>
                <w:sz w:val="18"/>
                <w:szCs w:val="18"/>
              </w:rPr>
            </w:pPr>
          </w:p>
        </w:tc>
        <w:tc>
          <w:tcPr>
            <w:tcW w:w="4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99C2A">
            <w:pPr>
              <w:widowControl/>
              <w:jc w:val="left"/>
              <w:textAlignment w:val="center"/>
              <w:rPr>
                <w:rFonts w:ascii="宋体" w:hAnsi="宋体" w:cs="宋体"/>
                <w:color w:val="000000"/>
                <w:sz w:val="18"/>
                <w:szCs w:val="18"/>
              </w:rPr>
            </w:pPr>
            <w:r>
              <w:rPr>
                <w:rFonts w:ascii="宋体" w:hAnsi="宋体" w:cs="宋体"/>
                <w:color w:val="000000"/>
                <w:kern w:val="0"/>
                <w:sz w:val="18"/>
                <w:szCs w:val="18"/>
              </w:rPr>
              <w:t>保障单位日常运转，提高预算编制质量，严格执行预算</w:t>
            </w:r>
          </w:p>
        </w:tc>
        <w:tc>
          <w:tcPr>
            <w:tcW w:w="2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772D5">
            <w:pPr>
              <w:widowControl/>
              <w:jc w:val="left"/>
              <w:textAlignment w:val="center"/>
              <w:rPr>
                <w:rFonts w:ascii="黑体" w:hAnsi="黑体" w:eastAsia="黑体" w:cs="黑体"/>
                <w:color w:val="000000"/>
                <w:sz w:val="18"/>
                <w:szCs w:val="18"/>
              </w:rPr>
            </w:pPr>
            <w:r>
              <w:rPr>
                <w:rFonts w:hint="eastAsia" w:ascii="宋体" w:hAnsi="宋体" w:cs="宋体"/>
                <w:color w:val="000000"/>
                <w:sz w:val="18"/>
                <w:szCs w:val="18"/>
              </w:rPr>
              <w:t>完成2022年人才发展专项资金发放</w:t>
            </w:r>
          </w:p>
        </w:tc>
      </w:tr>
      <w:tr w14:paraId="48A4EC0E">
        <w:tblPrEx>
          <w:tblCellMar>
            <w:top w:w="0" w:type="dxa"/>
            <w:left w:w="108" w:type="dxa"/>
            <w:bottom w:w="0" w:type="dxa"/>
            <w:right w:w="108" w:type="dxa"/>
          </w:tblCellMar>
        </w:tblPrEx>
        <w:trPr>
          <w:trHeight w:val="693"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B5F46">
            <w:pP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0544">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6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BA925A">
            <w:pPr>
              <w:rPr>
                <w:rFonts w:ascii="宋体" w:hAnsi="宋体" w:cs="宋体"/>
                <w:color w:val="000000"/>
                <w:sz w:val="18"/>
                <w:szCs w:val="18"/>
              </w:rPr>
            </w:pPr>
          </w:p>
        </w:tc>
      </w:tr>
      <w:tr w14:paraId="445EF60A">
        <w:tblPrEx>
          <w:tblCellMar>
            <w:top w:w="0" w:type="dxa"/>
            <w:left w:w="108" w:type="dxa"/>
            <w:bottom w:w="0" w:type="dxa"/>
            <w:right w:w="108" w:type="dxa"/>
          </w:tblCellMar>
        </w:tblPrEx>
        <w:trPr>
          <w:trHeight w:val="361"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5BC11">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3BF2">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1327">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79A1">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4764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000F">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C90">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99AC">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0822">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00A6C492">
        <w:tblPrEx>
          <w:tblCellMar>
            <w:top w:w="0" w:type="dxa"/>
            <w:left w:w="108" w:type="dxa"/>
            <w:bottom w:w="0" w:type="dxa"/>
            <w:right w:w="108" w:type="dxa"/>
          </w:tblCellMar>
        </w:tblPrEx>
        <w:trPr>
          <w:trHeight w:val="38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4497">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D6BB">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E786">
            <w:pPr>
              <w:widowControl/>
              <w:jc w:val="center"/>
              <w:textAlignment w:val="center"/>
              <w:rPr>
                <w:rFonts w:ascii="宋体" w:hAnsi="宋体" w:cs="宋体"/>
                <w:color w:val="000000"/>
                <w:sz w:val="18"/>
                <w:szCs w:val="18"/>
              </w:rPr>
            </w:pPr>
            <w:r>
              <w:rPr>
                <w:rFonts w:ascii="宋体" w:hAnsi="宋体" w:cs="宋体"/>
                <w:color w:val="000000"/>
                <w:kern w:val="0"/>
                <w:sz w:val="18"/>
                <w:szCs w:val="18"/>
              </w:rPr>
              <w:t>0.36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7009">
            <w:pPr>
              <w:widowControl/>
              <w:jc w:val="center"/>
              <w:textAlignment w:val="center"/>
              <w:rPr>
                <w:rFonts w:ascii="宋体" w:hAnsi="宋体" w:cs="宋体"/>
                <w:color w:val="000000"/>
                <w:sz w:val="18"/>
                <w:szCs w:val="18"/>
              </w:rPr>
            </w:pPr>
            <w:r>
              <w:rPr>
                <w:rFonts w:ascii="宋体" w:hAnsi="宋体" w:cs="宋体"/>
                <w:color w:val="000000"/>
                <w:kern w:val="0"/>
                <w:sz w:val="18"/>
                <w:szCs w:val="18"/>
              </w:rPr>
              <w:t>0.36</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6D494">
            <w:pPr>
              <w:widowControl/>
              <w:jc w:val="center"/>
              <w:textAlignment w:val="center"/>
              <w:rPr>
                <w:rFonts w:ascii="宋体" w:hAnsi="宋体" w:cs="宋体"/>
                <w:color w:val="000000"/>
                <w:sz w:val="18"/>
                <w:szCs w:val="18"/>
              </w:rPr>
            </w:pPr>
            <w:r>
              <w:rPr>
                <w:rFonts w:ascii="宋体" w:hAnsi="宋体" w:cs="宋体"/>
                <w:color w:val="000000"/>
                <w:kern w:val="0"/>
                <w:sz w:val="18"/>
                <w:szCs w:val="18"/>
              </w:rPr>
              <w:t>0.36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92E6">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EF8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D17E">
            <w:pPr>
              <w:jc w:val="center"/>
              <w:rPr>
                <w:rFonts w:ascii="宋体" w:hAnsi="宋体" w:cs="宋体"/>
                <w:color w:val="000000"/>
                <w:sz w:val="18"/>
                <w:szCs w:val="18"/>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87F6B">
            <w:pPr>
              <w:rPr>
                <w:rFonts w:ascii="黑体" w:hAnsi="黑体" w:eastAsia="黑体" w:cs="黑体"/>
                <w:i/>
                <w:iCs/>
                <w:color w:val="000000"/>
                <w:sz w:val="18"/>
                <w:szCs w:val="18"/>
              </w:rPr>
            </w:pPr>
          </w:p>
        </w:tc>
      </w:tr>
      <w:tr w14:paraId="78E3BE2E">
        <w:tblPrEx>
          <w:tblCellMar>
            <w:top w:w="0" w:type="dxa"/>
            <w:left w:w="108" w:type="dxa"/>
            <w:bottom w:w="0" w:type="dxa"/>
            <w:right w:w="108" w:type="dxa"/>
          </w:tblCellMar>
        </w:tblPrEx>
        <w:trPr>
          <w:trHeight w:val="43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27D6">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7466">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2726">
            <w:pPr>
              <w:widowControl/>
              <w:jc w:val="center"/>
              <w:textAlignment w:val="center"/>
              <w:rPr>
                <w:rFonts w:ascii="宋体" w:hAnsi="宋体" w:cs="宋体"/>
                <w:color w:val="000000"/>
                <w:sz w:val="18"/>
                <w:szCs w:val="18"/>
              </w:rPr>
            </w:pPr>
            <w:r>
              <w:rPr>
                <w:rFonts w:ascii="宋体" w:hAnsi="宋体" w:cs="宋体"/>
                <w:color w:val="000000"/>
                <w:kern w:val="0"/>
                <w:sz w:val="18"/>
                <w:szCs w:val="18"/>
              </w:rPr>
              <w:t>0.36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2A7F">
            <w:pPr>
              <w:widowControl/>
              <w:jc w:val="center"/>
              <w:textAlignment w:val="center"/>
              <w:rPr>
                <w:rFonts w:ascii="宋体" w:hAnsi="宋体" w:cs="宋体"/>
                <w:color w:val="000000"/>
                <w:sz w:val="18"/>
                <w:szCs w:val="18"/>
              </w:rPr>
            </w:pPr>
            <w:r>
              <w:rPr>
                <w:rFonts w:ascii="宋体" w:hAnsi="宋体" w:cs="宋体"/>
                <w:color w:val="000000"/>
                <w:kern w:val="0"/>
                <w:sz w:val="18"/>
                <w:szCs w:val="18"/>
              </w:rPr>
              <w:t>0.36</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4F004">
            <w:pPr>
              <w:widowControl/>
              <w:jc w:val="center"/>
              <w:textAlignment w:val="center"/>
              <w:rPr>
                <w:rFonts w:ascii="宋体" w:hAnsi="宋体" w:cs="宋体"/>
                <w:color w:val="000000"/>
                <w:sz w:val="18"/>
                <w:szCs w:val="18"/>
              </w:rPr>
            </w:pPr>
            <w:r>
              <w:rPr>
                <w:rFonts w:ascii="宋体" w:hAnsi="宋体" w:cs="宋体"/>
                <w:color w:val="000000"/>
                <w:kern w:val="0"/>
                <w:sz w:val="18"/>
                <w:szCs w:val="18"/>
              </w:rPr>
              <w:t>0.36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7A65">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4F8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8EF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999F">
            <w:pPr>
              <w:rPr>
                <w:rFonts w:ascii="黑体" w:hAnsi="黑体" w:eastAsia="黑体" w:cs="黑体"/>
                <w:i/>
                <w:iCs/>
                <w:color w:val="000000"/>
                <w:sz w:val="18"/>
                <w:szCs w:val="18"/>
              </w:rPr>
            </w:pPr>
          </w:p>
        </w:tc>
      </w:tr>
      <w:tr w14:paraId="1BFD35D0">
        <w:tblPrEx>
          <w:tblCellMar>
            <w:top w:w="0" w:type="dxa"/>
            <w:left w:w="108" w:type="dxa"/>
            <w:bottom w:w="0" w:type="dxa"/>
            <w:right w:w="108" w:type="dxa"/>
          </w:tblCellMar>
        </w:tblPrEx>
        <w:trPr>
          <w:trHeight w:val="44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CB8E">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89BD">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560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6A3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66E3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59F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B7C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E9D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D72A4">
            <w:pPr>
              <w:rPr>
                <w:rFonts w:ascii="黑体" w:hAnsi="黑体" w:eastAsia="黑体" w:cs="黑体"/>
                <w:i/>
                <w:iCs/>
                <w:color w:val="000000"/>
                <w:sz w:val="18"/>
                <w:szCs w:val="18"/>
              </w:rPr>
            </w:pPr>
          </w:p>
        </w:tc>
      </w:tr>
      <w:tr w14:paraId="08172991">
        <w:tblPrEx>
          <w:tblCellMar>
            <w:top w:w="0" w:type="dxa"/>
            <w:left w:w="108" w:type="dxa"/>
            <w:bottom w:w="0" w:type="dxa"/>
            <w:right w:w="108" w:type="dxa"/>
          </w:tblCellMar>
        </w:tblPrEx>
        <w:trPr>
          <w:trHeight w:val="40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4497">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BE44">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027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093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196E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AA9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EE4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8D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E831">
            <w:pPr>
              <w:rPr>
                <w:rFonts w:ascii="黑体" w:hAnsi="黑体" w:eastAsia="黑体" w:cs="黑体"/>
                <w:i/>
                <w:iCs/>
                <w:color w:val="000000"/>
                <w:sz w:val="18"/>
                <w:szCs w:val="18"/>
              </w:rPr>
            </w:pPr>
          </w:p>
        </w:tc>
      </w:tr>
      <w:tr w14:paraId="46DD5867">
        <w:tblPrEx>
          <w:tblCellMar>
            <w:top w:w="0" w:type="dxa"/>
            <w:left w:w="108" w:type="dxa"/>
            <w:bottom w:w="0" w:type="dxa"/>
            <w:right w:w="108" w:type="dxa"/>
          </w:tblCellMar>
        </w:tblPrEx>
        <w:trPr>
          <w:trHeight w:val="37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E0AD">
            <w:pPr>
              <w:jc w:val="center"/>
              <w:rPr>
                <w:rFonts w:ascii="宋体" w:hAnsi="宋体" w:cs="宋体"/>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B993">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54AA">
            <w:pPr>
              <w:jc w:val="center"/>
              <w:rPr>
                <w:rFonts w:ascii="微软雅黑" w:hAnsi="微软雅黑" w:eastAsia="微软雅黑" w:cs="微软雅黑"/>
                <w:i/>
                <w:iCs/>
                <w:color w:val="000000"/>
                <w:sz w:val="16"/>
                <w:szCs w:val="16"/>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A9F8">
            <w:pPr>
              <w:jc w:val="center"/>
              <w:rPr>
                <w:rFonts w:ascii="微软雅黑" w:hAnsi="微软雅黑" w:eastAsia="微软雅黑" w:cs="微软雅黑"/>
                <w:i/>
                <w:iCs/>
                <w:color w:val="000000"/>
                <w:sz w:val="16"/>
                <w:szCs w:val="16"/>
              </w:rPr>
            </w:pPr>
          </w:p>
        </w:tc>
        <w:tc>
          <w:tcPr>
            <w:tcW w:w="1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8206B">
            <w:pPr>
              <w:jc w:val="center"/>
              <w:rPr>
                <w:rFonts w:ascii="微软雅黑" w:hAnsi="微软雅黑" w:eastAsia="微软雅黑" w:cs="微软雅黑"/>
                <w:i/>
                <w:iCs/>
                <w:color w:val="000000"/>
                <w:sz w:val="16"/>
                <w:szCs w:val="16"/>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CEFD">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0DE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8AD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032C">
            <w:pPr>
              <w:rPr>
                <w:rFonts w:ascii="黑体" w:hAnsi="黑体" w:eastAsia="黑体" w:cs="黑体"/>
                <w:i/>
                <w:iCs/>
                <w:color w:val="000000"/>
                <w:sz w:val="18"/>
                <w:szCs w:val="18"/>
              </w:rPr>
            </w:pPr>
          </w:p>
        </w:tc>
      </w:tr>
      <w:tr w14:paraId="6C90B7A6">
        <w:tblPrEx>
          <w:tblCellMar>
            <w:top w:w="0" w:type="dxa"/>
            <w:left w:w="108" w:type="dxa"/>
            <w:bottom w:w="0" w:type="dxa"/>
            <w:right w:w="108" w:type="dxa"/>
          </w:tblCellMar>
        </w:tblPrEx>
        <w:trPr>
          <w:trHeight w:val="452"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039DD">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C7FC">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B2A2">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826A">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C0F6">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4515">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90F5">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0588">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C1D0">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A255">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3C01">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662446F0">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9E82">
            <w:pPr>
              <w:jc w:val="center"/>
              <w:rPr>
                <w:rFonts w:ascii="宋体" w:hAnsi="宋体" w:cs="宋体"/>
                <w:color w:val="000000"/>
                <w:sz w:val="18"/>
                <w:szCs w:val="18"/>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E5F9E">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9764">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27A">
            <w:pPr>
              <w:widowControl/>
              <w:jc w:val="center"/>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A3B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C4C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82C3">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3914">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E82A">
            <w:pPr>
              <w:widowControl/>
              <w:jc w:val="center"/>
              <w:textAlignment w:val="center"/>
              <w:rPr>
                <w:rFonts w:ascii="宋体" w:hAnsi="宋体" w:cs="宋体"/>
                <w:color w:val="000000"/>
                <w:sz w:val="18"/>
                <w:szCs w:val="18"/>
              </w:rPr>
            </w:pPr>
            <w:r>
              <w:rPr>
                <w:rFonts w:ascii="宋体" w:hAnsi="宋体" w:cs="宋体"/>
                <w:color w:val="000000"/>
                <w:kern w:val="0"/>
                <w:sz w:val="18"/>
                <w:szCs w:val="18"/>
              </w:rPr>
              <w:t>22.5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FD3B">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61CB">
            <w:pPr>
              <w:jc w:val="center"/>
              <w:rPr>
                <w:rFonts w:ascii="微软雅黑" w:hAnsi="微软雅黑" w:eastAsia="微软雅黑" w:cs="微软雅黑"/>
                <w:i/>
                <w:iCs/>
                <w:color w:val="000000"/>
                <w:sz w:val="16"/>
                <w:szCs w:val="16"/>
              </w:rPr>
            </w:pPr>
          </w:p>
        </w:tc>
      </w:tr>
      <w:tr w14:paraId="3AA6B918">
        <w:tblPrEx>
          <w:tblCellMar>
            <w:top w:w="0" w:type="dxa"/>
            <w:left w:w="108" w:type="dxa"/>
            <w:bottom w:w="0" w:type="dxa"/>
            <w:right w:w="108" w:type="dxa"/>
          </w:tblCellMar>
        </w:tblPrEx>
        <w:trPr>
          <w:trHeight w:val="678"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64156">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95A0">
            <w:pPr>
              <w:jc w:val="center"/>
              <w:rPr>
                <w:rFonts w:ascii="宋体" w:hAnsi="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811">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AEB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预算编制准确率（计算方法为：∣（执行数-预算数）/预算数∣）</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B24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F42F">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CAB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6577">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F792">
            <w:pPr>
              <w:widowControl/>
              <w:jc w:val="center"/>
              <w:textAlignment w:val="center"/>
              <w:rPr>
                <w:rFonts w:ascii="宋体" w:hAnsi="宋体" w:cs="宋体"/>
                <w:color w:val="000000"/>
                <w:sz w:val="18"/>
                <w:szCs w:val="18"/>
              </w:rPr>
            </w:pPr>
            <w:r>
              <w:rPr>
                <w:rFonts w:ascii="宋体" w:hAnsi="宋体" w:cs="宋体"/>
                <w:color w:val="000000"/>
                <w:kern w:val="0"/>
                <w:sz w:val="18"/>
                <w:szCs w:val="18"/>
              </w:rPr>
              <w:t>22.5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69B2">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AD9">
            <w:pPr>
              <w:jc w:val="center"/>
              <w:rPr>
                <w:rFonts w:ascii="微软雅黑" w:hAnsi="微软雅黑" w:eastAsia="微软雅黑" w:cs="微软雅黑"/>
                <w:i/>
                <w:iCs/>
                <w:color w:val="000000"/>
                <w:sz w:val="16"/>
                <w:szCs w:val="16"/>
              </w:rPr>
            </w:pPr>
          </w:p>
        </w:tc>
      </w:tr>
      <w:tr w14:paraId="595785F1">
        <w:tblPrEx>
          <w:tblCellMar>
            <w:top w:w="0" w:type="dxa"/>
            <w:left w:w="108" w:type="dxa"/>
            <w:bottom w:w="0" w:type="dxa"/>
            <w:right w:w="108" w:type="dxa"/>
          </w:tblCellMar>
        </w:tblPrEx>
        <w:trPr>
          <w:trHeight w:val="904"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38C0">
            <w:pPr>
              <w:jc w:val="center"/>
              <w:rPr>
                <w:rFonts w:ascii="宋体" w:hAnsi="宋体" w:cs="宋体"/>
                <w:color w:val="000000"/>
                <w:sz w:val="18"/>
                <w:szCs w:val="18"/>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161EB">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E8DEC">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BDE5">
            <w:pPr>
              <w:widowControl/>
              <w:jc w:val="center"/>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“三公经费”控制率[计算方法为：（三公经费实际支出数/预算安排数]×100%）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D23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5302">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C06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1C7B">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157F">
            <w:pPr>
              <w:widowControl/>
              <w:jc w:val="center"/>
              <w:textAlignment w:val="center"/>
              <w:rPr>
                <w:rFonts w:ascii="宋体" w:hAnsi="宋体" w:cs="宋体"/>
                <w:color w:val="000000"/>
                <w:sz w:val="18"/>
                <w:szCs w:val="18"/>
              </w:rPr>
            </w:pPr>
            <w:r>
              <w:rPr>
                <w:rFonts w:ascii="宋体" w:hAnsi="宋体" w:cs="宋体"/>
                <w:color w:val="000000"/>
                <w:kern w:val="0"/>
                <w:sz w:val="18"/>
                <w:szCs w:val="18"/>
              </w:rPr>
              <w:t>22.5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881A">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E66F">
            <w:pPr>
              <w:jc w:val="center"/>
              <w:rPr>
                <w:rFonts w:ascii="微软雅黑" w:hAnsi="微软雅黑" w:eastAsia="微软雅黑" w:cs="微软雅黑"/>
                <w:i/>
                <w:iCs/>
                <w:color w:val="000000"/>
                <w:sz w:val="16"/>
                <w:szCs w:val="16"/>
              </w:rPr>
            </w:pPr>
          </w:p>
        </w:tc>
      </w:tr>
      <w:tr w14:paraId="3E6E3290">
        <w:tblPrEx>
          <w:tblCellMar>
            <w:top w:w="0" w:type="dxa"/>
            <w:left w:w="108" w:type="dxa"/>
            <w:bottom w:w="0" w:type="dxa"/>
            <w:right w:w="108" w:type="dxa"/>
          </w:tblCellMar>
        </w:tblPrEx>
        <w:trPr>
          <w:trHeight w:val="33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ABD8">
            <w:pPr>
              <w:jc w:val="center"/>
              <w:rPr>
                <w:rFonts w:ascii="宋体" w:hAnsi="宋体" w:cs="宋体"/>
                <w:color w:val="00000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11D3">
            <w:pPr>
              <w:jc w:val="center"/>
              <w:rPr>
                <w:rFonts w:ascii="宋体" w:hAnsi="宋体" w:cs="宋体"/>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99896">
            <w:pPr>
              <w:jc w:val="center"/>
              <w:rPr>
                <w:rFonts w:ascii="宋体" w:hAnsi="宋体" w:cs="宋体"/>
                <w:color w:val="000000"/>
                <w:sz w:val="18"/>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A90E">
            <w:pPr>
              <w:widowControl/>
              <w:jc w:val="center"/>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DDA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7F8D">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F87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FB69">
            <w:pPr>
              <w:jc w:val="center"/>
              <w:rPr>
                <w:rFonts w:ascii="微软雅黑" w:hAnsi="微软雅黑" w:eastAsia="微软雅黑" w:cs="微软雅黑"/>
                <w:i/>
                <w:iCs/>
                <w:color w:val="000000"/>
                <w:sz w:val="16"/>
                <w:szCs w:val="16"/>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7332">
            <w:pPr>
              <w:widowControl/>
              <w:jc w:val="center"/>
              <w:textAlignment w:val="center"/>
              <w:rPr>
                <w:rFonts w:ascii="宋体" w:hAnsi="宋体" w:cs="宋体"/>
                <w:color w:val="000000"/>
                <w:sz w:val="18"/>
                <w:szCs w:val="18"/>
              </w:rPr>
            </w:pPr>
            <w:r>
              <w:rPr>
                <w:rFonts w:ascii="宋体" w:hAnsi="宋体" w:cs="宋体"/>
                <w:color w:val="000000"/>
                <w:kern w:val="0"/>
                <w:sz w:val="18"/>
                <w:szCs w:val="18"/>
              </w:rPr>
              <w:t>22.5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FC2">
            <w:pPr>
              <w:jc w:val="cente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F9CE">
            <w:pPr>
              <w:jc w:val="center"/>
              <w:rPr>
                <w:rFonts w:ascii="微软雅黑" w:hAnsi="微软雅黑" w:eastAsia="微软雅黑" w:cs="微软雅黑"/>
                <w:i/>
                <w:iCs/>
                <w:color w:val="000000"/>
                <w:sz w:val="16"/>
                <w:szCs w:val="16"/>
              </w:rPr>
            </w:pPr>
          </w:p>
        </w:tc>
      </w:tr>
      <w:tr w14:paraId="0DA7139A">
        <w:tblPrEx>
          <w:tblCellMar>
            <w:top w:w="0" w:type="dxa"/>
            <w:left w:w="108" w:type="dxa"/>
            <w:bottom w:w="0" w:type="dxa"/>
            <w:right w:w="108" w:type="dxa"/>
          </w:tblCellMar>
        </w:tblPrEx>
        <w:trPr>
          <w:trHeight w:val="286" w:hRule="atLeast"/>
        </w:trPr>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AF615B">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94DF">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C27A">
            <w:pPr>
              <w:rPr>
                <w:rFonts w:ascii="宋体" w:hAnsi="宋体" w:cs="宋体"/>
                <w:color w:val="000000"/>
                <w:sz w:val="18"/>
                <w:szCs w:val="18"/>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1B90">
            <w:pPr>
              <w:rPr>
                <w:rFonts w:ascii="宋体" w:hAnsi="宋体" w:cs="宋体"/>
                <w:color w:val="000000"/>
                <w:sz w:val="18"/>
                <w:szCs w:val="18"/>
              </w:rPr>
            </w:pPr>
          </w:p>
        </w:tc>
      </w:tr>
      <w:tr w14:paraId="0F434B94">
        <w:tblPrEx>
          <w:tblCellMar>
            <w:top w:w="0" w:type="dxa"/>
            <w:left w:w="108" w:type="dxa"/>
            <w:bottom w:w="0" w:type="dxa"/>
            <w:right w:w="108" w:type="dxa"/>
          </w:tblCellMar>
        </w:tblPrEx>
        <w:trPr>
          <w:trHeight w:val="60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520E">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6F8729">
            <w:pPr>
              <w:widowControl/>
              <w:wordWrap w:val="0"/>
              <w:spacing w:line="252" w:lineRule="atLeast"/>
              <w:rPr>
                <w:rFonts w:ascii="宋体" w:hAnsi="宋体" w:cs="宋体"/>
                <w:b/>
                <w:sz w:val="18"/>
                <w:szCs w:val="18"/>
              </w:rPr>
            </w:pPr>
            <w:r>
              <w:rPr>
                <w:rFonts w:hint="eastAsia" w:ascii="宋体" w:hAnsi="宋体" w:cs="宋体"/>
                <w:color w:val="000000"/>
                <w:kern w:val="0"/>
                <w:sz w:val="18"/>
                <w:szCs w:val="18"/>
                <w:shd w:val="clear" w:color="auto" w:fill="FFFFFF"/>
              </w:rPr>
              <w:t>民辅警积极开展公安工作，职工满意度有效提升达到95%，带动服务外包企业就业人数增长，助力企业经济增长。</w:t>
            </w:r>
          </w:p>
          <w:p w14:paraId="44F235DC">
            <w:pPr>
              <w:widowControl/>
              <w:jc w:val="left"/>
              <w:textAlignment w:val="center"/>
              <w:rPr>
                <w:rFonts w:ascii="微软雅黑" w:hAnsi="微软雅黑" w:eastAsia="微软雅黑" w:cs="微软雅黑"/>
                <w:i/>
                <w:iCs/>
                <w:color w:val="000000"/>
                <w:sz w:val="16"/>
                <w:szCs w:val="16"/>
              </w:rPr>
            </w:pPr>
          </w:p>
        </w:tc>
      </w:tr>
      <w:tr w14:paraId="40A296A0">
        <w:tblPrEx>
          <w:tblCellMar>
            <w:top w:w="0" w:type="dxa"/>
            <w:left w:w="108" w:type="dxa"/>
            <w:bottom w:w="0" w:type="dxa"/>
            <w:right w:w="108" w:type="dxa"/>
          </w:tblCellMar>
        </w:tblPrEx>
        <w:trPr>
          <w:trHeight w:val="572"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122">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BF7032">
            <w:pPr>
              <w:widowControl/>
              <w:jc w:val="left"/>
              <w:textAlignment w:val="center"/>
              <w:rPr>
                <w:rFonts w:ascii="微软雅黑" w:hAnsi="微软雅黑" w:eastAsia="微软雅黑" w:cs="微软雅黑"/>
                <w:i/>
                <w:iCs/>
                <w:color w:val="000000"/>
                <w:sz w:val="16"/>
                <w:szCs w:val="16"/>
              </w:rPr>
            </w:pPr>
            <w:r>
              <w:rPr>
                <w:rFonts w:hint="eastAsia" w:ascii="宋体" w:hAnsi="宋体" w:cs="宋体"/>
                <w:color w:val="000000"/>
                <w:kern w:val="0"/>
                <w:sz w:val="18"/>
                <w:szCs w:val="18"/>
              </w:rPr>
              <w:t>无。</w:t>
            </w:r>
          </w:p>
        </w:tc>
      </w:tr>
      <w:tr w14:paraId="76E62030">
        <w:tblPrEx>
          <w:tblCellMar>
            <w:top w:w="0" w:type="dxa"/>
            <w:left w:w="108" w:type="dxa"/>
            <w:bottom w:w="0" w:type="dxa"/>
            <w:right w:w="108" w:type="dxa"/>
          </w:tblCellMar>
        </w:tblPrEx>
        <w:trPr>
          <w:trHeight w:val="633"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13C7">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7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DC09F4">
            <w:pPr>
              <w:widowControl/>
              <w:jc w:val="left"/>
              <w:textAlignment w:val="center"/>
              <w:rPr>
                <w:rFonts w:ascii="微软雅黑" w:hAnsi="微软雅黑" w:eastAsia="微软雅黑" w:cs="微软雅黑"/>
                <w:i/>
                <w:iCs/>
                <w:color w:val="000000"/>
                <w:sz w:val="16"/>
                <w:szCs w:val="16"/>
              </w:rPr>
            </w:pPr>
            <w:r>
              <w:rPr>
                <w:rFonts w:hint="eastAsia" w:ascii="宋体" w:hAnsi="宋体" w:cs="宋体"/>
                <w:color w:val="000000"/>
                <w:kern w:val="0"/>
                <w:sz w:val="18"/>
                <w:szCs w:val="18"/>
              </w:rPr>
              <w:t>无。</w:t>
            </w:r>
          </w:p>
        </w:tc>
      </w:tr>
    </w:tbl>
    <w:p w14:paraId="0733D831">
      <w:pPr>
        <w:pStyle w:val="5"/>
        <w:spacing w:before="93"/>
        <w:rPr>
          <w:rFonts w:ascii="仿宋" w:hAnsi="仿宋" w:eastAsia="仿宋" w:cs="仿宋"/>
          <w:color w:val="000000"/>
          <w:sz w:val="32"/>
          <w:szCs w:val="32"/>
          <w:shd w:val="clear" w:color="auto" w:fill="FFFFFF"/>
          <w:lang w:val="zh-CN"/>
        </w:rPr>
      </w:pPr>
    </w:p>
    <w:p w14:paraId="03C10646">
      <w:pPr>
        <w:pStyle w:val="5"/>
        <w:spacing w:before="93"/>
        <w:rPr>
          <w:rFonts w:ascii="仿宋" w:hAnsi="仿宋" w:eastAsia="仿宋" w:cs="仿宋"/>
          <w:color w:val="000000"/>
          <w:sz w:val="32"/>
          <w:szCs w:val="32"/>
          <w:shd w:val="clear" w:color="auto" w:fill="FFFFFF"/>
          <w:lang w:val="zh-CN"/>
        </w:rPr>
      </w:pPr>
    </w:p>
    <w:p w14:paraId="171434AE">
      <w:pPr>
        <w:snapToGrid w:val="0"/>
        <w:spacing w:line="620" w:lineRule="exact"/>
        <w:jc w:val="center"/>
        <w:rPr>
          <w:rFonts w:ascii="宋体" w:hAnsi="宋体" w:cs="宋体"/>
          <w:b/>
          <w:bCs/>
          <w:sz w:val="44"/>
          <w:szCs w:val="44"/>
        </w:rPr>
      </w:pPr>
      <w:r>
        <w:rPr>
          <w:rFonts w:hint="eastAsia" w:ascii="宋体" w:hAnsi="宋体" w:cs="宋体"/>
          <w:b/>
          <w:bCs/>
          <w:sz w:val="44"/>
          <w:szCs w:val="44"/>
        </w:rPr>
        <w:t>部门预算项目支出绩效自评报告</w:t>
      </w:r>
    </w:p>
    <w:p w14:paraId="7BD55A90">
      <w:pPr>
        <w:snapToGrid w:val="0"/>
        <w:spacing w:line="620" w:lineRule="exact"/>
        <w:jc w:val="center"/>
        <w:rPr>
          <w:rFonts w:eastAsia="仿宋_GB2312"/>
          <w:sz w:val="32"/>
          <w:szCs w:val="32"/>
        </w:rPr>
      </w:pPr>
      <w:r>
        <w:rPr>
          <w:rFonts w:ascii="仿宋_GB2312" w:eastAsia="仿宋_GB2312" w:cs="仿宋_GB2312"/>
          <w:sz w:val="32"/>
          <w:szCs w:val="32"/>
        </w:rPr>
        <w:t>（设备购置经费项目）</w:t>
      </w:r>
    </w:p>
    <w:p w14:paraId="1881FB25">
      <w:pPr>
        <w:widowControl/>
        <w:wordWrap w:val="0"/>
        <w:spacing w:line="360"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为了对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设备购置经费项目资金使用、管理的科学性、合理性和效益性进行客观、公正的评价，规范设备购置经费项目管理，提高资金使用效益，根据《遂宁市财政局关于开展2023年部门、项目、政策支出绩效自评工作的通知（遂财绩[2023]2号）文件精神，对</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年度遂宁市公安局交警支队设备购置经费项目实施了绩效评价。现将项目绩效评价情况报告如下</w:t>
      </w:r>
      <w:r>
        <w:rPr>
          <w:rFonts w:hint="eastAsia" w:ascii="新宋体" w:hAnsi="新宋体" w:eastAsia="新宋体" w:cs="新宋体"/>
          <w:color w:val="000000"/>
          <w:kern w:val="0"/>
          <w:sz w:val="32"/>
          <w:szCs w:val="32"/>
          <w:shd w:val="clear" w:color="auto" w:fill="FFFFFF"/>
        </w:rPr>
        <w:t>：</w:t>
      </w:r>
    </w:p>
    <w:p w14:paraId="730A4B8A">
      <w:pPr>
        <w:snapToGrid w:val="0"/>
        <w:spacing w:line="620" w:lineRule="exact"/>
        <w:ind w:left="632"/>
        <w:jc w:val="left"/>
        <w:rPr>
          <w:rFonts w:eastAsia="黑体"/>
          <w:sz w:val="32"/>
          <w:szCs w:val="32"/>
        </w:rPr>
      </w:pPr>
      <w:r>
        <w:rPr>
          <w:rFonts w:hint="eastAsia" w:ascii="黑体" w:hAnsi="宋体" w:eastAsia="黑体" w:cs="黑体"/>
          <w:sz w:val="32"/>
          <w:szCs w:val="32"/>
        </w:rPr>
        <w:t>一、基本情况</w:t>
      </w:r>
    </w:p>
    <w:p w14:paraId="5208279E">
      <w:pPr>
        <w:widowControl/>
        <w:wordWrap w:val="0"/>
        <w:spacing w:line="360"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为了保障交警支队交通管理工作正常开展，保证民辅警日常正常办公，因交警支队直属三大队成立和市民中心的车管窗口的设立，需采购一批办公设备，将设备购置经费列入同级财政预算。</w:t>
      </w:r>
    </w:p>
    <w:p w14:paraId="69653E87">
      <w:pPr>
        <w:pStyle w:val="2"/>
        <w:keepNext w:val="0"/>
        <w:keepLines w:val="0"/>
        <w:widowControl/>
        <w:wordWrap w:val="0"/>
        <w:spacing w:line="480" w:lineRule="atLeast"/>
        <w:ind w:firstLine="353" w:firstLineChars="110"/>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rPr>
        <w:t>（一）项目绩效目标</w:t>
      </w:r>
    </w:p>
    <w:p w14:paraId="2C2E31CF">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通过采购办公设备，进一步提高民辅警办公效率，保证民辅警正常办公，更好地服务于交管工作。</w:t>
      </w:r>
    </w:p>
    <w:p w14:paraId="45AC304F">
      <w:pPr>
        <w:pStyle w:val="2"/>
        <w:keepNext w:val="0"/>
        <w:keepLines w:val="0"/>
        <w:widowControl/>
        <w:wordWrap w:val="0"/>
        <w:spacing w:line="480" w:lineRule="atLeast"/>
        <w:ind w:firstLine="196"/>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rPr>
        <w:t>（二）专项资金的使用及管理情况</w:t>
      </w:r>
    </w:p>
    <w:p w14:paraId="0B2B0DC5">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1</w:t>
      </w:r>
      <w:r>
        <w:rPr>
          <w:rFonts w:ascii="仿宋_GB2312" w:eastAsia="仿宋_GB2312" w:cs="仿宋_GB2312"/>
          <w:color w:val="000000"/>
          <w:kern w:val="0"/>
          <w:sz w:val="32"/>
          <w:szCs w:val="32"/>
          <w:shd w:val="clear" w:color="auto" w:fill="FFFFFF"/>
        </w:rPr>
        <w:t>．专项资金安排、拨付情况</w:t>
      </w:r>
    </w:p>
    <w:p w14:paraId="40D5768E">
      <w:pPr>
        <w:widowControl/>
        <w:wordWrap w:val="0"/>
        <w:spacing w:line="252" w:lineRule="atLeast"/>
        <w:ind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t>2022年度需采购热水器、办公家具等办公设备，2022年财政实际拨款16.9万元。</w:t>
      </w:r>
    </w:p>
    <w:p w14:paraId="64D3002C">
      <w:pPr>
        <w:widowControl/>
        <w:wordWrap w:val="0"/>
        <w:spacing w:line="252" w:lineRule="atLeast"/>
        <w:ind w:firstLine="640"/>
        <w:rPr>
          <w:rFonts w:eastAsia="仿宋_GB2312"/>
          <w:sz w:val="32"/>
          <w:szCs w:val="32"/>
        </w:rPr>
      </w:pPr>
      <w:r>
        <w:rPr>
          <w:rFonts w:eastAsia="微软雅黑"/>
          <w:color w:val="000000"/>
          <w:kern w:val="0"/>
          <w:sz w:val="32"/>
          <w:szCs w:val="32"/>
        </w:rPr>
        <w:t>2</w:t>
      </w:r>
      <w:r>
        <w:rPr>
          <w:rFonts w:ascii="仿宋_GB2312" w:eastAsia="仿宋_GB2312" w:cs="仿宋_GB2312"/>
          <w:color w:val="000000"/>
          <w:kern w:val="0"/>
          <w:sz w:val="32"/>
          <w:szCs w:val="32"/>
        </w:rPr>
        <w:t>．专项资金使用情况</w:t>
      </w:r>
    </w:p>
    <w:p w14:paraId="0A49E857">
      <w:pPr>
        <w:widowControl/>
        <w:wordWrap w:val="0"/>
        <w:spacing w:line="252" w:lineRule="atLeast"/>
        <w:ind w:firstLine="640"/>
        <w:rPr>
          <w:rFonts w:ascii="仿宋_GB2312" w:eastAsia="仿宋_GB2312" w:cs="仿宋_GB2312"/>
          <w:color w:val="000000"/>
          <w:kern w:val="0"/>
          <w:sz w:val="32"/>
          <w:szCs w:val="32"/>
        </w:rPr>
      </w:pPr>
      <w:r>
        <w:rPr>
          <w:rFonts w:ascii="仿宋_GB2312" w:eastAsia="仿宋_GB2312" w:cs="仿宋_GB2312"/>
          <w:color w:val="000000"/>
          <w:kern w:val="0"/>
          <w:sz w:val="32"/>
          <w:szCs w:val="32"/>
        </w:rPr>
        <w:t>2022年度设备购置经费实际支出16.9万元。主要用于采购热水器、办公家具等办公设备。</w:t>
      </w:r>
    </w:p>
    <w:p w14:paraId="3AA66570">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3</w:t>
      </w:r>
      <w:r>
        <w:rPr>
          <w:rFonts w:ascii="仿宋_GB2312" w:eastAsia="仿宋_GB2312" w:cs="仿宋_GB2312"/>
          <w:color w:val="000000"/>
          <w:kern w:val="0"/>
          <w:sz w:val="32"/>
          <w:szCs w:val="32"/>
          <w:shd w:val="clear" w:color="auto" w:fill="FFFFFF"/>
        </w:rPr>
        <w:t>．资金管理情况</w:t>
      </w:r>
    </w:p>
    <w:p w14:paraId="4C21A0FD">
      <w:pPr>
        <w:pStyle w:val="12"/>
        <w:widowControl/>
        <w:shd w:val="clear" w:color="auto" w:fill="FFFFFF"/>
        <w:wordWrap w:val="0"/>
        <w:spacing w:line="288" w:lineRule="atLeast"/>
        <w:ind w:firstLine="640"/>
        <w:rPr>
          <w:rFonts w:ascii="宋体" w:hAnsi="宋体" w:cs="宋体"/>
          <w:shd w:val="clear" w:color="auto" w:fill="FFFFFF"/>
        </w:rPr>
      </w:pPr>
      <w:r>
        <w:rPr>
          <w:rFonts w:ascii="仿宋_GB2312" w:hAnsi="宋体" w:eastAsia="仿宋_GB2312" w:cs="仿宋_GB2312"/>
          <w:color w:val="000000"/>
          <w:sz w:val="32"/>
          <w:szCs w:val="32"/>
          <w:shd w:val="clear" w:color="auto" w:fill="FFFFFF"/>
        </w:rPr>
        <w:t>遂宁市公安局交警支队未单独制定</w:t>
      </w:r>
      <w:r>
        <w:rPr>
          <w:rFonts w:ascii="仿宋_GB2312" w:eastAsia="仿宋_GB2312" w:cs="仿宋_GB2312"/>
          <w:color w:val="000000"/>
          <w:sz w:val="32"/>
          <w:szCs w:val="32"/>
          <w:shd w:val="clear" w:color="auto" w:fill="FFFFFF"/>
        </w:rPr>
        <w:t>设备购置经费</w:t>
      </w:r>
      <w:r>
        <w:rPr>
          <w:rFonts w:ascii="仿宋_GB2312" w:hAnsi="宋体" w:eastAsia="仿宋_GB2312" w:cs="仿宋_GB2312"/>
          <w:color w:val="000000"/>
          <w:sz w:val="32"/>
          <w:szCs w:val="32"/>
          <w:shd w:val="clear" w:color="auto" w:fill="FFFFFF"/>
        </w:rPr>
        <w:t>管理办法，资金全部由支队装财科统一开支管理。</w:t>
      </w:r>
    </w:p>
    <w:p w14:paraId="701D14F0">
      <w:pPr>
        <w:widowControl/>
        <w:wordWrap w:val="0"/>
        <w:spacing w:line="252" w:lineRule="atLeast"/>
        <w:ind w:firstLine="640"/>
        <w:rPr>
          <w:rFonts w:eastAsia="仿宋_GB2312"/>
          <w:sz w:val="32"/>
          <w:szCs w:val="32"/>
        </w:rPr>
      </w:pPr>
      <w:r>
        <w:rPr>
          <w:rFonts w:eastAsia="微软雅黑"/>
          <w:color w:val="000000"/>
          <w:kern w:val="0"/>
          <w:sz w:val="32"/>
          <w:szCs w:val="32"/>
          <w:shd w:val="clear" w:color="auto" w:fill="FFFFFF"/>
        </w:rPr>
        <w:t>4</w:t>
      </w:r>
      <w:r>
        <w:rPr>
          <w:rFonts w:ascii="仿宋_GB2312" w:eastAsia="仿宋_GB2312" w:cs="仿宋_GB2312"/>
          <w:color w:val="000000"/>
          <w:kern w:val="0"/>
          <w:sz w:val="32"/>
          <w:szCs w:val="32"/>
          <w:shd w:val="clear" w:color="auto" w:fill="FFFFFF"/>
        </w:rPr>
        <w:t>．项目管理情况</w:t>
      </w:r>
    </w:p>
    <w:p w14:paraId="0690FFC5">
      <w:pPr>
        <w:widowControl/>
        <w:wordWrap w:val="0"/>
        <w:spacing w:line="252" w:lineRule="atLeast"/>
        <w:ind w:firstLine="604"/>
        <w:rPr>
          <w:rFonts w:ascii="宋体" w:hAnsi="宋体" w:cs="宋体"/>
          <w:sz w:val="24"/>
        </w:rPr>
      </w:pPr>
      <w:r>
        <w:rPr>
          <w:rFonts w:ascii="仿宋_GB2312" w:eastAsia="仿宋_GB2312" w:cs="仿宋_GB2312"/>
          <w:color w:val="000000"/>
          <w:kern w:val="0"/>
          <w:sz w:val="32"/>
          <w:szCs w:val="32"/>
          <w:shd w:val="clear" w:color="auto" w:fill="FFFFFF"/>
        </w:rPr>
        <w:t>严格按照预算安排和日常办公需求，及时完成办公设备的采购，项目管理专款专用。</w:t>
      </w:r>
    </w:p>
    <w:p w14:paraId="1EDBC26C">
      <w:pPr>
        <w:snapToGrid w:val="0"/>
        <w:spacing w:line="620" w:lineRule="exact"/>
        <w:ind w:firstLine="640" w:firstLineChars="200"/>
        <w:rPr>
          <w:rFonts w:eastAsia="仿宋_GB2312"/>
          <w:sz w:val="32"/>
          <w:szCs w:val="32"/>
        </w:rPr>
      </w:pPr>
      <w:r>
        <w:rPr>
          <w:rFonts w:hint="eastAsia" w:ascii="黑体" w:hAnsi="宋体" w:eastAsia="黑体" w:cs="黑体"/>
          <w:sz w:val="32"/>
          <w:szCs w:val="32"/>
        </w:rPr>
        <w:t>二、评价工作开展情况</w:t>
      </w:r>
    </w:p>
    <w:p w14:paraId="4E14F4BE">
      <w:pPr>
        <w:pStyle w:val="2"/>
        <w:keepNext w:val="0"/>
        <w:keepLines w:val="0"/>
        <w:widowControl/>
        <w:wordWrap w:val="0"/>
        <w:spacing w:line="480" w:lineRule="atLeast"/>
        <w:ind w:firstLine="511" w:firstLineChars="159"/>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（一）绩效评价目的</w:t>
      </w:r>
    </w:p>
    <w:p w14:paraId="75516CD0">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p>
    <w:p w14:paraId="4CBCF9BF">
      <w:pPr>
        <w:pStyle w:val="2"/>
        <w:keepNext w:val="0"/>
        <w:keepLines w:val="0"/>
        <w:widowControl/>
        <w:wordWrap w:val="0"/>
        <w:spacing w:line="480" w:lineRule="atLeast"/>
        <w:ind w:firstLine="196"/>
        <w:rPr>
          <w:rFonts w:ascii="微软雅黑" w:hAnsi="微软雅黑" w:eastAsia="微软雅黑" w:cs="微软雅黑"/>
          <w:b w:val="0"/>
          <w:color w:val="307BBB"/>
          <w:kern w:val="0"/>
          <w:sz w:val="21"/>
          <w:szCs w:val="21"/>
        </w:rPr>
      </w:pPr>
      <w:r>
        <w:rPr>
          <w:rFonts w:ascii="楷体_GB2312" w:hAnsi="微软雅黑" w:eastAsia="楷体_GB2312" w:cs="楷体_GB2312"/>
          <w:bCs w:val="0"/>
          <w:color w:val="000000"/>
          <w:kern w:val="0"/>
          <w:shd w:val="clear" w:color="auto" w:fill="FFFFFF"/>
        </w:rPr>
        <w:t>（二）绩效评价过程</w:t>
      </w:r>
    </w:p>
    <w:p w14:paraId="0A7AA91F">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根据《遂宁市财政局关于开展2023年部门、项目、政策支出绩效自评工作的通知（遂财绩[2023]2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14:paraId="389AA41D">
      <w:pPr>
        <w:snapToGrid w:val="0"/>
        <w:spacing w:line="620" w:lineRule="exact"/>
        <w:ind w:firstLine="640" w:firstLineChars="200"/>
        <w:rPr>
          <w:rFonts w:eastAsia="黑体"/>
          <w:sz w:val="32"/>
          <w:szCs w:val="32"/>
        </w:rPr>
      </w:pPr>
      <w:r>
        <w:rPr>
          <w:rFonts w:hint="eastAsia" w:ascii="黑体" w:hAnsi="宋体" w:eastAsia="黑体" w:cs="黑体"/>
          <w:sz w:val="32"/>
          <w:szCs w:val="32"/>
        </w:rPr>
        <w:t>三、综合评价结论（附评分表）</w:t>
      </w:r>
    </w:p>
    <w:p w14:paraId="31875406">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通过实施支队办公设备购置，进一步提高民辅警办公效率，保证民辅警正常办公，更好地服务于交管工作。</w:t>
      </w:r>
    </w:p>
    <w:p w14:paraId="69F0C3BE">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根据《</w:t>
      </w:r>
      <w:r>
        <w:rPr>
          <w:rFonts w:eastAsia="微软雅黑"/>
          <w:color w:val="000000"/>
          <w:kern w:val="0"/>
          <w:sz w:val="32"/>
          <w:szCs w:val="32"/>
          <w:shd w:val="clear" w:color="auto" w:fill="FFFFFF"/>
        </w:rPr>
        <w:t>2023</w:t>
      </w:r>
      <w:r>
        <w:rPr>
          <w:rFonts w:ascii="仿宋_GB2312" w:eastAsia="仿宋_GB2312" w:cs="仿宋_GB2312"/>
          <w:color w:val="000000"/>
          <w:kern w:val="0"/>
          <w:sz w:val="32"/>
          <w:szCs w:val="32"/>
          <w:shd w:val="clear" w:color="auto" w:fill="FFFFFF"/>
        </w:rPr>
        <w:t>年度实际项目支出绩效评价指标体系》，</w:t>
      </w:r>
      <w:r>
        <w:rPr>
          <w:rFonts w:eastAsia="微软雅黑"/>
          <w:color w:val="000000"/>
          <w:kern w:val="0"/>
          <w:sz w:val="32"/>
          <w:szCs w:val="32"/>
          <w:shd w:val="clear" w:color="auto" w:fill="FFFFFF"/>
        </w:rPr>
        <w:t>2022</w:t>
      </w:r>
      <w:r>
        <w:rPr>
          <w:rFonts w:ascii="仿宋_GB2312" w:eastAsia="仿宋_GB2312" w:cs="仿宋_GB2312"/>
          <w:color w:val="000000"/>
          <w:kern w:val="0"/>
          <w:sz w:val="32"/>
          <w:szCs w:val="32"/>
          <w:shd w:val="clear" w:color="auto" w:fill="FFFFFF"/>
        </w:rPr>
        <w:t>年度遂宁市公安局交警支队设备购置经费绩效评价综合得分为</w:t>
      </w:r>
      <w:r>
        <w:rPr>
          <w:rFonts w:eastAsia="微软雅黑"/>
          <w:color w:val="000000"/>
          <w:kern w:val="0"/>
          <w:sz w:val="32"/>
          <w:szCs w:val="32"/>
          <w:shd w:val="clear" w:color="auto" w:fill="FFFFFF"/>
        </w:rPr>
        <w:t>97</w:t>
      </w:r>
      <w:r>
        <w:rPr>
          <w:rFonts w:ascii="仿宋_GB2312" w:eastAsia="仿宋_GB2312" w:cs="仿宋_GB2312"/>
          <w:color w:val="000000"/>
          <w:kern w:val="0"/>
          <w:sz w:val="32"/>
          <w:szCs w:val="32"/>
          <w:shd w:val="clear" w:color="auto" w:fill="FFFFFF"/>
        </w:rPr>
        <w:t>分。评价等级为</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优</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w:t>
      </w:r>
    </w:p>
    <w:p w14:paraId="70C06D65">
      <w:pPr>
        <w:snapToGrid w:val="0"/>
        <w:spacing w:line="620" w:lineRule="exact"/>
        <w:ind w:firstLine="640" w:firstLineChars="200"/>
        <w:rPr>
          <w:rFonts w:eastAsia="黑体"/>
          <w:bCs/>
          <w:sz w:val="32"/>
          <w:szCs w:val="32"/>
        </w:rPr>
      </w:pPr>
      <w:r>
        <w:rPr>
          <w:rFonts w:hint="eastAsia" w:ascii="黑体" w:hAnsi="宋体" w:eastAsia="黑体" w:cs="黑体"/>
          <w:bCs/>
          <w:sz w:val="32"/>
          <w:szCs w:val="32"/>
        </w:rPr>
        <w:t>四、绩效评价分析</w:t>
      </w:r>
    </w:p>
    <w:p w14:paraId="550A829F">
      <w:pPr>
        <w:pStyle w:val="2"/>
        <w:keepNext w:val="0"/>
        <w:keepLines w:val="0"/>
        <w:widowControl/>
        <w:wordWrap w:val="0"/>
        <w:spacing w:line="480" w:lineRule="atLeast"/>
        <w:ind w:firstLine="511" w:firstLineChars="159"/>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（一）项目决策、管理情况</w:t>
      </w:r>
    </w:p>
    <w:p w14:paraId="635CD3EC">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根据各部门提出办公设备及办公家具需求，及时按照政府采购流程实施采购活动，保障各部门正常办公。</w:t>
      </w:r>
    </w:p>
    <w:p w14:paraId="0BEB513A">
      <w:pPr>
        <w:pStyle w:val="2"/>
        <w:keepNext w:val="0"/>
        <w:keepLines w:val="0"/>
        <w:widowControl/>
        <w:wordWrap w:val="0"/>
        <w:spacing w:line="480" w:lineRule="atLeast"/>
        <w:ind w:firstLine="514" w:firstLineChars="160"/>
        <w:rPr>
          <w:rFonts w:ascii="微软雅黑" w:hAnsi="微软雅黑" w:eastAsia="楷体_GB2312" w:cs="微软雅黑"/>
          <w:b w:val="0"/>
          <w:color w:val="307BBB"/>
          <w:kern w:val="0"/>
          <w:sz w:val="21"/>
          <w:szCs w:val="21"/>
        </w:rPr>
      </w:pPr>
      <w:r>
        <w:rPr>
          <w:rFonts w:ascii="楷体_GB2312" w:hAnsi="微软雅黑" w:eastAsia="楷体_GB2312" w:cs="楷体_GB2312"/>
          <w:bCs w:val="0"/>
          <w:color w:val="000000"/>
          <w:kern w:val="0"/>
          <w:shd w:val="clear" w:color="auto" w:fill="FFFFFF"/>
        </w:rPr>
        <w:t>（二）项目产出、效益情况</w:t>
      </w:r>
    </w:p>
    <w:p w14:paraId="114E1056">
      <w:pPr>
        <w:widowControl/>
        <w:wordWrap w:val="0"/>
        <w:spacing w:line="252" w:lineRule="atLeast"/>
        <w:ind w:firstLine="640"/>
        <w:rPr>
          <w:rFonts w:eastAsia="仿宋_GB2312"/>
          <w:sz w:val="32"/>
          <w:szCs w:val="32"/>
        </w:rPr>
      </w:pPr>
      <w:r>
        <w:rPr>
          <w:rFonts w:ascii="仿宋_GB2312" w:eastAsia="仿宋_GB2312" w:cs="仿宋_GB2312"/>
          <w:color w:val="000000"/>
          <w:kern w:val="0"/>
          <w:sz w:val="32"/>
          <w:szCs w:val="32"/>
          <w:shd w:val="clear" w:color="auto" w:fill="FFFFFF"/>
        </w:rPr>
        <w:t>办公设备及办公家具的更新，能有效提高民辅警办事效率，更好的开展公安交管工作，公众安全感指数增长率达到23%，重大活动突发事件下降率达到12%，群体性事件成功处置率达到90%。全市取得了发案下降、安全事故下降、破案率上升、群众安全感上升、满意度上升</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两下降三上升</w:t>
      </w:r>
      <w:r>
        <w:rPr>
          <w:rFonts w:eastAsia="微软雅黑"/>
          <w:color w:val="000000"/>
          <w:kern w:val="0"/>
          <w:sz w:val="32"/>
          <w:szCs w:val="32"/>
          <w:shd w:val="clear" w:color="auto" w:fill="FFFFFF"/>
        </w:rPr>
        <w:t>”</w:t>
      </w:r>
      <w:r>
        <w:rPr>
          <w:rFonts w:ascii="仿宋_GB2312" w:eastAsia="仿宋_GB2312" w:cs="仿宋_GB2312"/>
          <w:color w:val="000000"/>
          <w:kern w:val="0"/>
          <w:sz w:val="32"/>
          <w:szCs w:val="32"/>
          <w:shd w:val="clear" w:color="auto" w:fill="FFFFFF"/>
        </w:rPr>
        <w:t>的好成绩。</w:t>
      </w:r>
    </w:p>
    <w:p w14:paraId="7D2C4D17">
      <w:pPr>
        <w:snapToGrid w:val="0"/>
        <w:spacing w:line="620" w:lineRule="exact"/>
        <w:ind w:firstLine="640" w:firstLineChars="200"/>
        <w:rPr>
          <w:rFonts w:eastAsia="黑体"/>
          <w:sz w:val="32"/>
          <w:szCs w:val="32"/>
        </w:rPr>
      </w:pPr>
      <w:r>
        <w:rPr>
          <w:rFonts w:hint="eastAsia" w:ascii="黑体" w:hAnsi="宋体" w:eastAsia="黑体" w:cs="黑体"/>
          <w:sz w:val="32"/>
          <w:szCs w:val="32"/>
        </w:rPr>
        <w:t>五、存在主要问题</w:t>
      </w:r>
    </w:p>
    <w:p w14:paraId="3FE0B957">
      <w:pPr>
        <w:widowControl/>
        <w:wordWrap w:val="0"/>
        <w:spacing w:line="252" w:lineRule="atLeast"/>
        <w:ind w:firstLine="64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2021年度预算了台式计算机、打印机等办公设备，因为新的标准出台，全部需由财政局统一采购信创产品，但目前信创产品和公安网络不兼容，导致电脑等办公设备不能及时替换，工作效率缓慢。</w:t>
      </w:r>
    </w:p>
    <w:p w14:paraId="6A6B1E8B">
      <w:pPr>
        <w:snapToGrid w:val="0"/>
        <w:spacing w:line="620" w:lineRule="exact"/>
        <w:ind w:firstLine="640" w:firstLineChars="200"/>
        <w:rPr>
          <w:rFonts w:eastAsia="黑体"/>
          <w:sz w:val="32"/>
          <w:szCs w:val="32"/>
        </w:rPr>
      </w:pPr>
      <w:r>
        <w:rPr>
          <w:rFonts w:hint="eastAsia" w:ascii="黑体" w:hAnsi="宋体" w:eastAsia="黑体" w:cs="黑体"/>
          <w:sz w:val="32"/>
          <w:szCs w:val="32"/>
        </w:rPr>
        <w:t>六、相关措施建议</w:t>
      </w:r>
    </w:p>
    <w:p w14:paraId="639CF398">
      <w:pPr>
        <w:widowControl/>
        <w:wordWrap w:val="0"/>
        <w:spacing w:line="360" w:lineRule="atLeas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交警支队大部分电脑老旧，工作效率低，人民群众办事时，常常因电脑速度慢导致业务办理慢，及时优化信创产品的兼容性，能够满足公安工作的需要，进而提升民辅警办公效率，增强人民群众的满意度。</w:t>
      </w:r>
    </w:p>
    <w:p w14:paraId="28476749">
      <w:pPr>
        <w:pStyle w:val="2"/>
      </w:pPr>
    </w:p>
    <w:tbl>
      <w:tblPr>
        <w:tblStyle w:val="13"/>
        <w:tblW w:w="8618" w:type="dxa"/>
        <w:tblInd w:w="98" w:type="dxa"/>
        <w:tblLayout w:type="fixed"/>
        <w:tblCellMar>
          <w:top w:w="0" w:type="dxa"/>
          <w:left w:w="108" w:type="dxa"/>
          <w:bottom w:w="0" w:type="dxa"/>
          <w:right w:w="108" w:type="dxa"/>
        </w:tblCellMar>
      </w:tblPr>
      <w:tblGrid>
        <w:gridCol w:w="622"/>
        <w:gridCol w:w="1169"/>
        <w:gridCol w:w="1016"/>
        <w:gridCol w:w="1100"/>
        <w:gridCol w:w="572"/>
        <w:gridCol w:w="725"/>
        <w:gridCol w:w="670"/>
        <w:gridCol w:w="867"/>
        <w:gridCol w:w="566"/>
        <w:gridCol w:w="541"/>
        <w:gridCol w:w="770"/>
      </w:tblGrid>
      <w:tr w14:paraId="0BDAC221">
        <w:tblPrEx>
          <w:tblCellMar>
            <w:top w:w="0" w:type="dxa"/>
            <w:left w:w="108" w:type="dxa"/>
            <w:bottom w:w="0" w:type="dxa"/>
            <w:right w:w="108" w:type="dxa"/>
          </w:tblCellMar>
        </w:tblPrEx>
        <w:trPr>
          <w:trHeight w:val="904" w:hRule="atLeast"/>
        </w:trPr>
        <w:tc>
          <w:tcPr>
            <w:tcW w:w="86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1570F5">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14:paraId="11BD26B6">
        <w:tblPrEx>
          <w:tblCellMar>
            <w:top w:w="0" w:type="dxa"/>
            <w:left w:w="108" w:type="dxa"/>
            <w:bottom w:w="0" w:type="dxa"/>
            <w:right w:w="108" w:type="dxa"/>
          </w:tblCellMar>
        </w:tblPrEx>
        <w:trPr>
          <w:trHeight w:val="286" w:hRule="atLeast"/>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B0D3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68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B439A0">
            <w:pPr>
              <w:widowControl/>
              <w:jc w:val="left"/>
              <w:textAlignment w:val="center"/>
              <w:rPr>
                <w:rFonts w:ascii="宋体" w:hAnsi="宋体" w:cs="宋体"/>
                <w:color w:val="000000"/>
                <w:sz w:val="18"/>
                <w:szCs w:val="18"/>
              </w:rPr>
            </w:pPr>
            <w:r>
              <w:rPr>
                <w:rFonts w:ascii="宋体" w:hAnsi="宋体" w:cs="宋体"/>
                <w:color w:val="000000"/>
                <w:kern w:val="0"/>
                <w:sz w:val="18"/>
                <w:szCs w:val="18"/>
              </w:rPr>
              <w:t>51090022T000004783120-交警设备购置费</w:t>
            </w:r>
          </w:p>
        </w:tc>
      </w:tr>
      <w:tr w14:paraId="71B1D576">
        <w:tblPrEx>
          <w:tblCellMar>
            <w:top w:w="0" w:type="dxa"/>
            <w:left w:w="108" w:type="dxa"/>
            <w:bottom w:w="0" w:type="dxa"/>
            <w:right w:w="108" w:type="dxa"/>
          </w:tblCellMar>
        </w:tblPrEx>
        <w:trPr>
          <w:trHeight w:val="512" w:hRule="atLeast"/>
        </w:trPr>
        <w:tc>
          <w:tcPr>
            <w:tcW w:w="1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27FD8">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4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92049">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遂宁市公安局部门</w:t>
            </w:r>
          </w:p>
        </w:tc>
        <w:tc>
          <w:tcPr>
            <w:tcW w:w="867" w:type="dxa"/>
            <w:tcBorders>
              <w:top w:val="nil"/>
              <w:left w:val="nil"/>
              <w:bottom w:val="nil"/>
              <w:right w:val="nil"/>
            </w:tcBorders>
            <w:shd w:val="clear" w:color="auto" w:fill="auto"/>
            <w:vAlign w:val="center"/>
          </w:tcPr>
          <w:p w14:paraId="561FDBD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9D170">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遂宁市公安局交通警察支队</w:t>
            </w:r>
          </w:p>
        </w:tc>
      </w:tr>
      <w:tr w14:paraId="03CA1A07">
        <w:tblPrEx>
          <w:tblCellMar>
            <w:top w:w="0" w:type="dxa"/>
            <w:left w:w="108" w:type="dxa"/>
            <w:bottom w:w="0" w:type="dxa"/>
            <w:right w:w="108" w:type="dxa"/>
          </w:tblCellMar>
        </w:tblPrEx>
        <w:trPr>
          <w:trHeight w:val="286"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52E8E">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7C3B7">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4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FD022">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7D860F">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4DBF9868">
        <w:tblPrEx>
          <w:tblCellMar>
            <w:top w:w="0" w:type="dxa"/>
            <w:left w:w="108" w:type="dxa"/>
            <w:bottom w:w="0" w:type="dxa"/>
            <w:right w:w="108" w:type="dxa"/>
          </w:tblCellMar>
        </w:tblPrEx>
        <w:trPr>
          <w:trHeight w:val="708"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E66B">
            <w:pPr>
              <w:rPr>
                <w:rFonts w:ascii="宋体" w:hAnsi="宋体" w:cs="宋体"/>
                <w:color w:val="000000"/>
                <w:sz w:val="18"/>
                <w:szCs w:val="18"/>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1B51B">
            <w:pPr>
              <w:rPr>
                <w:rFonts w:ascii="宋体" w:hAnsi="宋体" w:cs="宋体"/>
                <w:color w:val="000000"/>
                <w:sz w:val="18"/>
                <w:szCs w:val="18"/>
              </w:rPr>
            </w:pPr>
          </w:p>
        </w:tc>
        <w:tc>
          <w:tcPr>
            <w:tcW w:w="4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7B284">
            <w:pPr>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更换新增设备和家具，保障日常办公和业务开展正常运行。 </w:t>
            </w:r>
          </w:p>
        </w:tc>
        <w:tc>
          <w:tcPr>
            <w:tcW w:w="2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D8C3E">
            <w:pPr>
              <w:widowControl/>
              <w:jc w:val="left"/>
              <w:textAlignment w:val="center"/>
              <w:rPr>
                <w:rFonts w:ascii="黑体" w:hAnsi="黑体" w:eastAsia="黑体" w:cs="黑体"/>
                <w:color w:val="000000"/>
                <w:sz w:val="18"/>
                <w:szCs w:val="18"/>
              </w:rPr>
            </w:pPr>
            <w:r>
              <w:rPr>
                <w:rFonts w:hint="eastAsia" w:ascii="宋体" w:hAnsi="宋体" w:cs="宋体"/>
                <w:color w:val="000000"/>
                <w:kern w:val="0"/>
                <w:sz w:val="18"/>
                <w:szCs w:val="18"/>
                <w:shd w:val="clear" w:color="auto" w:fill="FFFFFF"/>
              </w:rPr>
              <w:t>根据各部门提出办公设备及办公家具需求，及时按照政府采购流程实施采购活动，保障各部门正常办公。</w:t>
            </w:r>
          </w:p>
        </w:tc>
      </w:tr>
      <w:tr w14:paraId="38CCE7B2">
        <w:tblPrEx>
          <w:tblCellMar>
            <w:top w:w="0" w:type="dxa"/>
            <w:left w:w="108" w:type="dxa"/>
            <w:bottom w:w="0" w:type="dxa"/>
            <w:right w:w="108" w:type="dxa"/>
          </w:tblCellMar>
        </w:tblPrEx>
        <w:trPr>
          <w:trHeight w:val="693"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44A3A">
            <w:pPr>
              <w:rPr>
                <w:rFonts w:ascii="宋体" w:hAnsi="宋体" w:cs="宋体"/>
                <w:color w:val="000000"/>
                <w:sz w:val="18"/>
                <w:szCs w:val="18"/>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BAB0">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68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D4C09F">
            <w:pPr>
              <w:rPr>
                <w:rFonts w:ascii="宋体" w:hAnsi="宋体" w:cs="宋体"/>
                <w:color w:val="000000"/>
                <w:sz w:val="18"/>
                <w:szCs w:val="18"/>
              </w:rPr>
            </w:pPr>
          </w:p>
        </w:tc>
      </w:tr>
      <w:tr w14:paraId="1771D068">
        <w:tblPrEx>
          <w:tblCellMar>
            <w:top w:w="0" w:type="dxa"/>
            <w:left w:w="108" w:type="dxa"/>
            <w:bottom w:w="0" w:type="dxa"/>
            <w:right w:w="108" w:type="dxa"/>
          </w:tblCellMar>
        </w:tblPrEx>
        <w:trPr>
          <w:trHeight w:val="361"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61FEE">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3CA2">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3936">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D9DB">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7551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3AED">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3382">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A406">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46B7">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3F15F008">
        <w:tblPrEx>
          <w:tblCellMar>
            <w:top w:w="0" w:type="dxa"/>
            <w:left w:w="108" w:type="dxa"/>
            <w:bottom w:w="0" w:type="dxa"/>
            <w:right w:w="108" w:type="dxa"/>
          </w:tblCellMar>
        </w:tblPrEx>
        <w:trPr>
          <w:trHeight w:val="387"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E92F">
            <w:pPr>
              <w:jc w:val="center"/>
              <w:rPr>
                <w:rFonts w:ascii="宋体" w:hAnsi="宋体" w:cs="宋体"/>
                <w:color w:val="000000"/>
                <w:sz w:val="18"/>
                <w:szCs w:val="18"/>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680D">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B1F">
            <w:pPr>
              <w:widowControl/>
              <w:jc w:val="center"/>
              <w:textAlignment w:val="center"/>
              <w:rPr>
                <w:rFonts w:ascii="宋体" w:hAnsi="宋体" w:cs="宋体"/>
                <w:color w:val="000000"/>
                <w:sz w:val="18"/>
                <w:szCs w:val="18"/>
              </w:rPr>
            </w:pPr>
            <w:r>
              <w:rPr>
                <w:rFonts w:ascii="宋体" w:hAnsi="宋体" w:cs="宋体"/>
                <w:color w:val="000000"/>
                <w:kern w:val="0"/>
                <w:sz w:val="18"/>
                <w:szCs w:val="18"/>
              </w:rPr>
              <w:t>16.90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CA80">
            <w:pPr>
              <w:widowControl/>
              <w:jc w:val="center"/>
              <w:textAlignment w:val="center"/>
              <w:rPr>
                <w:rFonts w:ascii="宋体" w:hAnsi="宋体" w:cs="宋体"/>
                <w:color w:val="000000"/>
                <w:sz w:val="18"/>
                <w:szCs w:val="18"/>
              </w:rPr>
            </w:pPr>
            <w:r>
              <w:rPr>
                <w:rFonts w:ascii="宋体" w:hAnsi="宋体" w:cs="宋体"/>
                <w:color w:val="000000"/>
                <w:kern w:val="0"/>
                <w:sz w:val="18"/>
                <w:szCs w:val="18"/>
              </w:rPr>
              <w:t>16.90</w:t>
            </w: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F785E">
            <w:pPr>
              <w:widowControl/>
              <w:jc w:val="center"/>
              <w:textAlignment w:val="center"/>
              <w:rPr>
                <w:rFonts w:ascii="宋体" w:hAnsi="宋体" w:cs="宋体"/>
                <w:color w:val="000000"/>
                <w:sz w:val="18"/>
                <w:szCs w:val="18"/>
              </w:rPr>
            </w:pPr>
            <w:r>
              <w:rPr>
                <w:rFonts w:ascii="宋体" w:hAnsi="宋体" w:cs="宋体"/>
                <w:color w:val="000000"/>
                <w:kern w:val="0"/>
                <w:sz w:val="18"/>
                <w:szCs w:val="18"/>
              </w:rPr>
              <w:t>16.90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F578">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5F2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D43D">
            <w:pPr>
              <w:jc w:val="center"/>
              <w:rPr>
                <w:rFonts w:ascii="宋体" w:hAnsi="宋体" w:cs="宋体"/>
                <w:color w:val="000000"/>
                <w:sz w:val="18"/>
                <w:szCs w:val="18"/>
              </w:rPr>
            </w:pP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E8456">
            <w:pPr>
              <w:widowControl/>
              <w:jc w:val="left"/>
              <w:textAlignment w:val="center"/>
              <w:rPr>
                <w:rFonts w:ascii="黑体" w:hAnsi="黑体" w:eastAsia="黑体" w:cs="黑体"/>
                <w:i/>
                <w:iCs/>
                <w:color w:val="000000"/>
                <w:sz w:val="18"/>
                <w:szCs w:val="18"/>
              </w:rPr>
            </w:pPr>
          </w:p>
        </w:tc>
      </w:tr>
      <w:tr w14:paraId="0AEC33F4">
        <w:tblPrEx>
          <w:tblCellMar>
            <w:top w:w="0" w:type="dxa"/>
            <w:left w:w="108" w:type="dxa"/>
            <w:bottom w:w="0" w:type="dxa"/>
            <w:right w:w="108" w:type="dxa"/>
          </w:tblCellMar>
        </w:tblPrEx>
        <w:trPr>
          <w:trHeight w:val="432"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1862">
            <w:pPr>
              <w:jc w:val="center"/>
              <w:rPr>
                <w:rFonts w:ascii="宋体" w:hAnsi="宋体" w:cs="宋体"/>
                <w:color w:val="000000"/>
                <w:sz w:val="18"/>
                <w:szCs w:val="18"/>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F107">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7D03">
            <w:pPr>
              <w:widowControl/>
              <w:jc w:val="center"/>
              <w:textAlignment w:val="center"/>
              <w:rPr>
                <w:rFonts w:ascii="宋体" w:hAnsi="宋体" w:cs="宋体"/>
                <w:color w:val="000000"/>
                <w:sz w:val="18"/>
                <w:szCs w:val="18"/>
              </w:rPr>
            </w:pPr>
            <w:r>
              <w:rPr>
                <w:rFonts w:ascii="宋体" w:hAnsi="宋体" w:cs="宋体"/>
                <w:color w:val="000000"/>
                <w:kern w:val="0"/>
                <w:sz w:val="18"/>
                <w:szCs w:val="18"/>
              </w:rPr>
              <w:t>16.90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C301">
            <w:pPr>
              <w:widowControl/>
              <w:jc w:val="center"/>
              <w:textAlignment w:val="center"/>
              <w:rPr>
                <w:rFonts w:ascii="宋体" w:hAnsi="宋体" w:cs="宋体"/>
                <w:color w:val="000000"/>
                <w:sz w:val="18"/>
                <w:szCs w:val="18"/>
              </w:rPr>
            </w:pPr>
            <w:r>
              <w:rPr>
                <w:rFonts w:ascii="宋体" w:hAnsi="宋体" w:cs="宋体"/>
                <w:color w:val="000000"/>
                <w:kern w:val="0"/>
                <w:sz w:val="18"/>
                <w:szCs w:val="18"/>
              </w:rPr>
              <w:t>16.90</w:t>
            </w: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43848">
            <w:pPr>
              <w:widowControl/>
              <w:jc w:val="center"/>
              <w:textAlignment w:val="center"/>
              <w:rPr>
                <w:rFonts w:ascii="宋体" w:hAnsi="宋体" w:cs="宋体"/>
                <w:color w:val="000000"/>
                <w:sz w:val="18"/>
                <w:szCs w:val="18"/>
              </w:rPr>
            </w:pPr>
            <w:r>
              <w:rPr>
                <w:rFonts w:ascii="宋体" w:hAnsi="宋体" w:cs="宋体"/>
                <w:color w:val="000000"/>
                <w:kern w:val="0"/>
                <w:sz w:val="18"/>
                <w:szCs w:val="18"/>
              </w:rPr>
              <w:t>16.90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87E5">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18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EAB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F400">
            <w:pPr>
              <w:rPr>
                <w:rFonts w:ascii="黑体" w:hAnsi="黑体" w:eastAsia="黑体" w:cs="黑体"/>
                <w:i/>
                <w:iCs/>
                <w:color w:val="000000"/>
                <w:sz w:val="18"/>
                <w:szCs w:val="18"/>
              </w:rPr>
            </w:pPr>
          </w:p>
        </w:tc>
      </w:tr>
      <w:tr w14:paraId="0DF9CFA8">
        <w:tblPrEx>
          <w:tblCellMar>
            <w:top w:w="0" w:type="dxa"/>
            <w:left w:w="108" w:type="dxa"/>
            <w:bottom w:w="0" w:type="dxa"/>
            <w:right w:w="108" w:type="dxa"/>
          </w:tblCellMar>
        </w:tblPrEx>
        <w:trPr>
          <w:trHeight w:val="447"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8EF8">
            <w:pPr>
              <w:jc w:val="center"/>
              <w:rPr>
                <w:rFonts w:ascii="宋体" w:hAnsi="宋体" w:cs="宋体"/>
                <w:color w:val="000000"/>
                <w:sz w:val="18"/>
                <w:szCs w:val="18"/>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450B">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5C1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2F4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1A2D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13D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D1A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820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55E7">
            <w:pPr>
              <w:rPr>
                <w:rFonts w:ascii="黑体" w:hAnsi="黑体" w:eastAsia="黑体" w:cs="黑体"/>
                <w:i/>
                <w:iCs/>
                <w:color w:val="000000"/>
                <w:sz w:val="18"/>
                <w:szCs w:val="18"/>
              </w:rPr>
            </w:pPr>
          </w:p>
        </w:tc>
      </w:tr>
      <w:tr w14:paraId="08CDF3B1">
        <w:tblPrEx>
          <w:tblCellMar>
            <w:top w:w="0" w:type="dxa"/>
            <w:left w:w="108" w:type="dxa"/>
            <w:bottom w:w="0" w:type="dxa"/>
            <w:right w:w="108" w:type="dxa"/>
          </w:tblCellMar>
        </w:tblPrEx>
        <w:trPr>
          <w:trHeight w:val="402"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06DDD">
            <w:pPr>
              <w:jc w:val="center"/>
              <w:rPr>
                <w:rFonts w:ascii="宋体" w:hAnsi="宋体" w:cs="宋体"/>
                <w:color w:val="000000"/>
                <w:sz w:val="18"/>
                <w:szCs w:val="18"/>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2522">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5F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59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8FEA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B1B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05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BB3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DB18">
            <w:pPr>
              <w:rPr>
                <w:rFonts w:ascii="黑体" w:hAnsi="黑体" w:eastAsia="黑体" w:cs="黑体"/>
                <w:i/>
                <w:iCs/>
                <w:color w:val="000000"/>
                <w:sz w:val="18"/>
                <w:szCs w:val="18"/>
              </w:rPr>
            </w:pPr>
          </w:p>
        </w:tc>
      </w:tr>
      <w:tr w14:paraId="7B211AD9">
        <w:tblPrEx>
          <w:tblCellMar>
            <w:top w:w="0" w:type="dxa"/>
            <w:left w:w="108" w:type="dxa"/>
            <w:bottom w:w="0" w:type="dxa"/>
            <w:right w:w="108" w:type="dxa"/>
          </w:tblCellMar>
        </w:tblPrEx>
        <w:trPr>
          <w:trHeight w:val="379"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C008">
            <w:pPr>
              <w:jc w:val="center"/>
              <w:rPr>
                <w:rFonts w:ascii="宋体" w:hAnsi="宋体" w:cs="宋体"/>
                <w:color w:val="000000"/>
                <w:sz w:val="18"/>
                <w:szCs w:val="18"/>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9892">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2988">
            <w:pPr>
              <w:jc w:val="center"/>
              <w:rPr>
                <w:rFonts w:ascii="微软雅黑" w:hAnsi="微软雅黑" w:eastAsia="微软雅黑" w:cs="微软雅黑"/>
                <w:i/>
                <w:iCs/>
                <w:color w:val="000000"/>
                <w:sz w:val="16"/>
                <w:szCs w:val="16"/>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79EC">
            <w:pPr>
              <w:jc w:val="center"/>
              <w:rPr>
                <w:rFonts w:ascii="微软雅黑" w:hAnsi="微软雅黑" w:eastAsia="微软雅黑" w:cs="微软雅黑"/>
                <w:i/>
                <w:iCs/>
                <w:color w:val="000000"/>
                <w:sz w:val="16"/>
                <w:szCs w:val="16"/>
              </w:rPr>
            </w:pP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AE4E3">
            <w:pPr>
              <w:jc w:val="center"/>
              <w:rPr>
                <w:rFonts w:ascii="微软雅黑" w:hAnsi="微软雅黑" w:eastAsia="微软雅黑" w:cs="微软雅黑"/>
                <w:i/>
                <w:iCs/>
                <w:color w:val="000000"/>
                <w:sz w:val="16"/>
                <w:szCs w:val="16"/>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50DA">
            <w:pPr>
              <w:jc w:val="center"/>
              <w:rPr>
                <w:rFonts w:ascii="微软雅黑" w:hAnsi="微软雅黑" w:eastAsia="微软雅黑" w:cs="微软雅黑"/>
                <w:i/>
                <w:iCs/>
                <w:color w:val="000000"/>
                <w:sz w:val="16"/>
                <w:szCs w:val="16"/>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B59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3B7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59A3">
            <w:pPr>
              <w:rPr>
                <w:rFonts w:ascii="黑体" w:hAnsi="黑体" w:eastAsia="黑体" w:cs="黑体"/>
                <w:i/>
                <w:iCs/>
                <w:color w:val="000000"/>
                <w:sz w:val="18"/>
                <w:szCs w:val="18"/>
              </w:rPr>
            </w:pPr>
          </w:p>
        </w:tc>
      </w:tr>
      <w:tr w14:paraId="07CDA0F3">
        <w:tblPrEx>
          <w:tblCellMar>
            <w:top w:w="0" w:type="dxa"/>
            <w:left w:w="108" w:type="dxa"/>
            <w:bottom w:w="0" w:type="dxa"/>
            <w:right w:w="108" w:type="dxa"/>
          </w:tblCellMar>
        </w:tblPrEx>
        <w:trPr>
          <w:trHeight w:val="452"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866E3">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1545">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E64C">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AB39">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676B">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6DAA">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6ED3">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41C0">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2AB3">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D4FF">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0BC3">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2C3C2AF1">
        <w:tblPrEx>
          <w:tblCellMar>
            <w:top w:w="0" w:type="dxa"/>
            <w:left w:w="108" w:type="dxa"/>
            <w:bottom w:w="0" w:type="dxa"/>
            <w:right w:w="108" w:type="dxa"/>
          </w:tblCellMar>
        </w:tblPrEx>
        <w:trPr>
          <w:trHeight w:val="113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35E5">
            <w:pPr>
              <w:jc w:val="center"/>
              <w:rPr>
                <w:rFonts w:ascii="宋体" w:hAnsi="宋体" w:cs="宋体"/>
                <w:color w:val="000000"/>
                <w:sz w:val="18"/>
                <w:szCs w:val="18"/>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1167A">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18E2">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07BB">
            <w:pPr>
              <w:widowControl/>
              <w:jc w:val="center"/>
              <w:textAlignment w:val="center"/>
              <w:rPr>
                <w:rFonts w:ascii="宋体" w:hAnsi="宋体" w:cs="宋体"/>
                <w:color w:val="000000"/>
                <w:sz w:val="18"/>
                <w:szCs w:val="18"/>
              </w:rPr>
            </w:pPr>
            <w:r>
              <w:rPr>
                <w:rFonts w:ascii="宋体" w:hAnsi="宋体" w:cs="宋体"/>
                <w:color w:val="000000"/>
                <w:kern w:val="0"/>
                <w:sz w:val="18"/>
                <w:szCs w:val="18"/>
              </w:rPr>
              <w:t>购置国有资产数量</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F91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7CE3">
            <w:pPr>
              <w:widowControl/>
              <w:jc w:val="center"/>
              <w:textAlignment w:val="center"/>
              <w:rPr>
                <w:rFonts w:ascii="宋体" w:hAnsi="宋体" w:cs="宋体"/>
                <w:color w:val="000000"/>
                <w:sz w:val="18"/>
                <w:szCs w:val="18"/>
              </w:rPr>
            </w:pPr>
            <w:r>
              <w:rPr>
                <w:rFonts w:ascii="宋体" w:hAnsi="宋体" w:cs="宋体"/>
                <w:color w:val="000000"/>
                <w:kern w:val="0"/>
                <w:sz w:val="18"/>
                <w:szCs w:val="18"/>
              </w:rPr>
              <w:t>150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51E">
            <w:pPr>
              <w:widowControl/>
              <w:jc w:val="center"/>
              <w:textAlignment w:val="center"/>
              <w:rPr>
                <w:rFonts w:ascii="宋体" w:hAnsi="宋体" w:cs="宋体"/>
                <w:color w:val="000000"/>
                <w:sz w:val="18"/>
                <w:szCs w:val="18"/>
              </w:rPr>
            </w:pPr>
            <w:r>
              <w:rPr>
                <w:rFonts w:ascii="宋体" w:hAnsi="宋体" w:cs="宋体"/>
                <w:color w:val="000000"/>
                <w:kern w:val="0"/>
                <w:sz w:val="18"/>
                <w:szCs w:val="18"/>
              </w:rPr>
              <w:t>个（台、套、件、辆）</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6F7E">
            <w:pPr>
              <w:jc w:val="center"/>
              <w:rPr>
                <w:rFonts w:ascii="微软雅黑" w:hAnsi="微软雅黑" w:eastAsia="微软雅黑" w:cs="微软雅黑"/>
                <w:i/>
                <w:iCs/>
                <w:color w:val="000000"/>
                <w:sz w:val="16"/>
                <w:szCs w:val="16"/>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6D28">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8A3D">
            <w:pPr>
              <w:jc w:val="center"/>
              <w:rPr>
                <w:rFonts w:ascii="宋体" w:hAnsi="宋体" w:cs="宋体"/>
                <w:color w:val="000000"/>
                <w:sz w:val="18"/>
                <w:szCs w:val="18"/>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6F9D">
            <w:pPr>
              <w:jc w:val="center"/>
              <w:rPr>
                <w:rFonts w:ascii="微软雅黑" w:hAnsi="微软雅黑" w:eastAsia="微软雅黑" w:cs="微软雅黑"/>
                <w:i/>
                <w:iCs/>
                <w:color w:val="000000"/>
                <w:sz w:val="16"/>
                <w:szCs w:val="16"/>
              </w:rPr>
            </w:pPr>
          </w:p>
        </w:tc>
      </w:tr>
      <w:tr w14:paraId="09020668">
        <w:tblPrEx>
          <w:tblCellMar>
            <w:top w:w="0" w:type="dxa"/>
            <w:left w:w="108" w:type="dxa"/>
            <w:bottom w:w="0" w:type="dxa"/>
            <w:right w:w="108" w:type="dxa"/>
          </w:tblCellMar>
        </w:tblPrEx>
        <w:trPr>
          <w:trHeight w:val="339"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E125">
            <w:pPr>
              <w:jc w:val="center"/>
              <w:rPr>
                <w:rFonts w:ascii="宋体" w:hAnsi="宋体" w:cs="宋体"/>
                <w:color w:val="000000"/>
                <w:sz w:val="18"/>
                <w:szCs w:val="18"/>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66AC">
            <w:pPr>
              <w:jc w:val="center"/>
              <w:rPr>
                <w:rFonts w:ascii="宋体" w:hAnsi="宋体" w:cs="宋体"/>
                <w:color w:val="000000"/>
                <w:sz w:val="18"/>
                <w:szCs w:val="18"/>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E257">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E35A">
            <w:pPr>
              <w:widowControl/>
              <w:jc w:val="center"/>
              <w:textAlignment w:val="center"/>
              <w:rPr>
                <w:rFonts w:ascii="宋体" w:hAnsi="宋体" w:cs="宋体"/>
                <w:color w:val="000000"/>
                <w:sz w:val="18"/>
                <w:szCs w:val="18"/>
              </w:rPr>
            </w:pPr>
            <w:r>
              <w:rPr>
                <w:rFonts w:ascii="宋体" w:hAnsi="宋体" w:cs="宋体"/>
                <w:color w:val="000000"/>
                <w:kern w:val="0"/>
                <w:sz w:val="18"/>
                <w:szCs w:val="18"/>
              </w:rPr>
              <w:t>验收合格率</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39E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A38B">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C7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2DFC">
            <w:pPr>
              <w:jc w:val="center"/>
              <w:rPr>
                <w:rFonts w:ascii="微软雅黑" w:hAnsi="微软雅黑" w:eastAsia="微软雅黑" w:cs="微软雅黑"/>
                <w:i/>
                <w:iCs/>
                <w:color w:val="000000"/>
                <w:sz w:val="16"/>
                <w:szCs w:val="16"/>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88E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BF49">
            <w:pPr>
              <w:jc w:val="center"/>
              <w:rPr>
                <w:rFonts w:ascii="宋体" w:hAnsi="宋体" w:cs="宋体"/>
                <w:color w:val="000000"/>
                <w:sz w:val="18"/>
                <w:szCs w:val="18"/>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0F38">
            <w:pPr>
              <w:jc w:val="center"/>
              <w:rPr>
                <w:rFonts w:ascii="微软雅黑" w:hAnsi="微软雅黑" w:eastAsia="微软雅黑" w:cs="微软雅黑"/>
                <w:i/>
                <w:iCs/>
                <w:color w:val="000000"/>
                <w:sz w:val="16"/>
                <w:szCs w:val="16"/>
              </w:rPr>
            </w:pPr>
          </w:p>
        </w:tc>
      </w:tr>
      <w:tr w14:paraId="6D2AA32F">
        <w:tblPrEx>
          <w:tblCellMar>
            <w:top w:w="0" w:type="dxa"/>
            <w:left w:w="108" w:type="dxa"/>
            <w:bottom w:w="0" w:type="dxa"/>
            <w:right w:w="108" w:type="dxa"/>
          </w:tblCellMar>
        </w:tblPrEx>
        <w:trPr>
          <w:trHeight w:val="339"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F043">
            <w:pPr>
              <w:jc w:val="center"/>
              <w:rPr>
                <w:rFonts w:ascii="宋体" w:hAnsi="宋体" w:cs="宋体"/>
                <w:color w:val="000000"/>
                <w:sz w:val="18"/>
                <w:szCs w:val="18"/>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76206">
            <w:pPr>
              <w:jc w:val="center"/>
              <w:rPr>
                <w:rFonts w:ascii="宋体" w:hAnsi="宋体" w:cs="宋体"/>
                <w:color w:val="000000"/>
                <w:sz w:val="18"/>
                <w:szCs w:val="18"/>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2CD3">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7BD7">
            <w:pPr>
              <w:widowControl/>
              <w:jc w:val="center"/>
              <w:textAlignment w:val="center"/>
              <w:rPr>
                <w:rFonts w:ascii="宋体" w:hAnsi="宋体" w:cs="宋体"/>
                <w:color w:val="000000"/>
                <w:sz w:val="18"/>
                <w:szCs w:val="18"/>
              </w:rPr>
            </w:pPr>
            <w:r>
              <w:rPr>
                <w:rFonts w:ascii="宋体" w:hAnsi="宋体" w:cs="宋体"/>
                <w:color w:val="000000"/>
                <w:kern w:val="0"/>
                <w:sz w:val="18"/>
                <w:szCs w:val="18"/>
              </w:rPr>
              <w:t>资金支出的及时性</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E98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EB5B">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EB08">
            <w:pPr>
              <w:widowControl/>
              <w:jc w:val="center"/>
              <w:textAlignment w:val="center"/>
              <w:rPr>
                <w:rFonts w:ascii="宋体" w:hAnsi="宋体" w:cs="宋体"/>
                <w:color w:val="000000"/>
                <w:sz w:val="18"/>
                <w:szCs w:val="18"/>
              </w:rPr>
            </w:pPr>
            <w:r>
              <w:rPr>
                <w:rFonts w:ascii="宋体" w:hAnsi="宋体" w:cs="宋体"/>
                <w:color w:val="000000"/>
                <w:kern w:val="0"/>
                <w:sz w:val="18"/>
                <w:szCs w:val="18"/>
              </w:rPr>
              <w:t>月</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AD19">
            <w:pPr>
              <w:jc w:val="center"/>
              <w:rPr>
                <w:rFonts w:ascii="微软雅黑" w:hAnsi="微软雅黑" w:eastAsia="微软雅黑" w:cs="微软雅黑"/>
                <w:i/>
                <w:iCs/>
                <w:color w:val="000000"/>
                <w:sz w:val="16"/>
                <w:szCs w:val="16"/>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801">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6FE6">
            <w:pPr>
              <w:jc w:val="center"/>
              <w:rPr>
                <w:rFonts w:ascii="宋体" w:hAnsi="宋体" w:cs="宋体"/>
                <w:color w:val="000000"/>
                <w:sz w:val="18"/>
                <w:szCs w:val="18"/>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430">
            <w:pPr>
              <w:jc w:val="center"/>
              <w:rPr>
                <w:rFonts w:ascii="微软雅黑" w:hAnsi="微软雅黑" w:eastAsia="微软雅黑" w:cs="微软雅黑"/>
                <w:i/>
                <w:iCs/>
                <w:color w:val="000000"/>
                <w:sz w:val="16"/>
                <w:szCs w:val="16"/>
              </w:rPr>
            </w:pPr>
          </w:p>
        </w:tc>
      </w:tr>
      <w:tr w14:paraId="18A93BF1">
        <w:tblPrEx>
          <w:tblCellMar>
            <w:top w:w="0" w:type="dxa"/>
            <w:left w:w="108" w:type="dxa"/>
            <w:bottom w:w="0" w:type="dxa"/>
            <w:right w:w="108" w:type="dxa"/>
          </w:tblCellMar>
        </w:tblPrEx>
        <w:trPr>
          <w:trHeight w:val="339"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0ED3">
            <w:pPr>
              <w:jc w:val="center"/>
              <w:rPr>
                <w:rFonts w:ascii="宋体" w:hAnsi="宋体" w:cs="宋体"/>
                <w:color w:val="000000"/>
                <w:sz w:val="18"/>
                <w:szCs w:val="18"/>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ABB8">
            <w:pPr>
              <w:jc w:val="center"/>
              <w:rPr>
                <w:rFonts w:ascii="宋体" w:hAnsi="宋体" w:cs="宋体"/>
                <w:color w:val="000000"/>
                <w:sz w:val="18"/>
                <w:szCs w:val="18"/>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7B4">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BE82">
            <w:pPr>
              <w:widowControl/>
              <w:jc w:val="center"/>
              <w:textAlignment w:val="center"/>
              <w:rPr>
                <w:rFonts w:ascii="宋体" w:hAnsi="宋体" w:cs="宋体"/>
                <w:color w:val="000000"/>
                <w:sz w:val="18"/>
                <w:szCs w:val="18"/>
              </w:rPr>
            </w:pPr>
            <w:r>
              <w:rPr>
                <w:rFonts w:ascii="宋体" w:hAnsi="宋体" w:cs="宋体"/>
                <w:color w:val="000000"/>
                <w:kern w:val="0"/>
                <w:sz w:val="18"/>
                <w:szCs w:val="18"/>
              </w:rPr>
              <w:t>购置资产金额</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3FF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E776">
            <w:pPr>
              <w:widowControl/>
              <w:jc w:val="center"/>
              <w:textAlignment w:val="center"/>
              <w:rPr>
                <w:rFonts w:ascii="宋体" w:hAnsi="宋体" w:cs="宋体"/>
                <w:color w:val="000000"/>
                <w:sz w:val="18"/>
                <w:szCs w:val="18"/>
              </w:rPr>
            </w:pPr>
            <w:r>
              <w:rPr>
                <w:rFonts w:ascii="宋体" w:hAnsi="宋体" w:cs="宋体"/>
                <w:color w:val="000000"/>
                <w:kern w:val="0"/>
                <w:sz w:val="18"/>
                <w:szCs w:val="18"/>
              </w:rPr>
              <w:t>490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69A2">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DE5B">
            <w:pPr>
              <w:jc w:val="center"/>
              <w:rPr>
                <w:rFonts w:ascii="微软雅黑" w:hAnsi="微软雅黑" w:eastAsia="微软雅黑" w:cs="微软雅黑"/>
                <w:i/>
                <w:iCs/>
                <w:color w:val="000000"/>
                <w:sz w:val="16"/>
                <w:szCs w:val="16"/>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FD8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8D9E">
            <w:pPr>
              <w:jc w:val="center"/>
              <w:rPr>
                <w:rFonts w:ascii="宋体" w:hAnsi="宋体" w:cs="宋体"/>
                <w:color w:val="000000"/>
                <w:sz w:val="18"/>
                <w:szCs w:val="18"/>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A45D">
            <w:pPr>
              <w:jc w:val="center"/>
              <w:rPr>
                <w:rFonts w:ascii="微软雅黑" w:hAnsi="微软雅黑" w:eastAsia="微软雅黑" w:cs="微软雅黑"/>
                <w:i/>
                <w:iCs/>
                <w:color w:val="000000"/>
                <w:sz w:val="16"/>
                <w:szCs w:val="16"/>
              </w:rPr>
            </w:pPr>
          </w:p>
        </w:tc>
      </w:tr>
      <w:tr w14:paraId="1B6FB713">
        <w:tblPrEx>
          <w:tblCellMar>
            <w:top w:w="0" w:type="dxa"/>
            <w:left w:w="108" w:type="dxa"/>
            <w:bottom w:w="0" w:type="dxa"/>
            <w:right w:w="108" w:type="dxa"/>
          </w:tblCellMar>
        </w:tblPrEx>
        <w:trPr>
          <w:trHeight w:val="339"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DB45">
            <w:pPr>
              <w:jc w:val="center"/>
              <w:rPr>
                <w:rFonts w:ascii="宋体" w:hAnsi="宋体" w:cs="宋体"/>
                <w:color w:val="000000"/>
                <w:sz w:val="18"/>
                <w:szCs w:val="18"/>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C13EC">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9D71">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EEF0">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提升服务质量</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CCF6">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052">
            <w:pPr>
              <w:widowControl/>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363C">
            <w:pPr>
              <w:jc w:val="center"/>
              <w:rPr>
                <w:rFonts w:ascii="宋体" w:hAnsi="宋体" w:cs="宋体"/>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B121">
            <w:pPr>
              <w:jc w:val="center"/>
              <w:rPr>
                <w:rFonts w:ascii="微软雅黑" w:hAnsi="微软雅黑" w:eastAsia="微软雅黑" w:cs="微软雅黑"/>
                <w:i/>
                <w:iCs/>
                <w:color w:val="000000"/>
                <w:sz w:val="16"/>
                <w:szCs w:val="16"/>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3370">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9908">
            <w:pPr>
              <w:jc w:val="center"/>
              <w:rPr>
                <w:rFonts w:ascii="宋体" w:hAnsi="宋体" w:cs="宋体"/>
                <w:color w:val="000000"/>
                <w:sz w:val="18"/>
                <w:szCs w:val="18"/>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B7E7">
            <w:pPr>
              <w:jc w:val="center"/>
              <w:rPr>
                <w:rFonts w:ascii="微软雅黑" w:hAnsi="微软雅黑" w:eastAsia="微软雅黑" w:cs="微软雅黑"/>
                <w:i/>
                <w:iCs/>
                <w:color w:val="000000"/>
                <w:sz w:val="16"/>
                <w:szCs w:val="16"/>
              </w:rPr>
            </w:pPr>
          </w:p>
        </w:tc>
      </w:tr>
      <w:tr w14:paraId="0E581AC2">
        <w:tblPrEx>
          <w:tblCellMar>
            <w:top w:w="0" w:type="dxa"/>
            <w:left w:w="108" w:type="dxa"/>
            <w:bottom w:w="0" w:type="dxa"/>
            <w:right w:w="108" w:type="dxa"/>
          </w:tblCellMar>
        </w:tblPrEx>
        <w:trPr>
          <w:trHeight w:val="339"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6D18">
            <w:pPr>
              <w:jc w:val="center"/>
              <w:rPr>
                <w:rFonts w:ascii="宋体" w:hAnsi="宋体" w:cs="宋体"/>
                <w:color w:val="000000"/>
                <w:sz w:val="18"/>
                <w:szCs w:val="18"/>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CBBA">
            <w:pPr>
              <w:jc w:val="center"/>
              <w:rPr>
                <w:rFonts w:ascii="宋体" w:hAnsi="宋体" w:cs="宋体"/>
                <w:color w:val="000000"/>
                <w:sz w:val="18"/>
                <w:szCs w:val="18"/>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ECBA">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E38E">
            <w:pPr>
              <w:widowControl/>
              <w:jc w:val="center"/>
              <w:textAlignment w:val="center"/>
              <w:rPr>
                <w:rFonts w:ascii="宋体" w:hAnsi="宋体" w:cs="宋体"/>
                <w:color w:val="000000"/>
                <w:sz w:val="18"/>
                <w:szCs w:val="18"/>
              </w:rPr>
            </w:pPr>
            <w:r>
              <w:rPr>
                <w:rFonts w:ascii="宋体" w:hAnsi="宋体" w:cs="宋体"/>
                <w:color w:val="000000"/>
                <w:kern w:val="0"/>
                <w:sz w:val="18"/>
                <w:szCs w:val="18"/>
              </w:rPr>
              <w:t>资产使用年限</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A65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625F">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F13C">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A5BA">
            <w:pPr>
              <w:jc w:val="center"/>
              <w:rPr>
                <w:rFonts w:ascii="微软雅黑" w:hAnsi="微软雅黑" w:eastAsia="微软雅黑" w:cs="微软雅黑"/>
                <w:i/>
                <w:iCs/>
                <w:color w:val="000000"/>
                <w:sz w:val="16"/>
                <w:szCs w:val="16"/>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EE08">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204">
            <w:pPr>
              <w:jc w:val="center"/>
              <w:rPr>
                <w:rFonts w:ascii="宋体" w:hAnsi="宋体" w:cs="宋体"/>
                <w:color w:val="000000"/>
                <w:sz w:val="18"/>
                <w:szCs w:val="18"/>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D62">
            <w:pPr>
              <w:jc w:val="center"/>
              <w:rPr>
                <w:rFonts w:ascii="微软雅黑" w:hAnsi="微软雅黑" w:eastAsia="微软雅黑" w:cs="微软雅黑"/>
                <w:i/>
                <w:iCs/>
                <w:color w:val="000000"/>
                <w:sz w:val="16"/>
                <w:szCs w:val="16"/>
              </w:rPr>
            </w:pPr>
          </w:p>
        </w:tc>
      </w:tr>
      <w:tr w14:paraId="2D709295">
        <w:tblPrEx>
          <w:tblCellMar>
            <w:top w:w="0" w:type="dxa"/>
            <w:left w:w="108" w:type="dxa"/>
            <w:bottom w:w="0" w:type="dxa"/>
            <w:right w:w="108" w:type="dxa"/>
          </w:tblCellMar>
        </w:tblPrEx>
        <w:trPr>
          <w:trHeight w:val="452"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8FDF">
            <w:pPr>
              <w:jc w:val="center"/>
              <w:rPr>
                <w:rFonts w:ascii="宋体" w:hAnsi="宋体" w:cs="宋体"/>
                <w:color w:val="000000"/>
                <w:sz w:val="18"/>
                <w:szCs w:val="18"/>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DBA3">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3858">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9A94">
            <w:pPr>
              <w:widowControl/>
              <w:jc w:val="center"/>
              <w:textAlignment w:val="center"/>
              <w:rPr>
                <w:rFonts w:ascii="宋体" w:hAnsi="宋体" w:cs="宋体"/>
                <w:color w:val="000000"/>
                <w:sz w:val="18"/>
                <w:szCs w:val="18"/>
              </w:rPr>
            </w:pPr>
            <w:r>
              <w:rPr>
                <w:rFonts w:ascii="宋体" w:hAnsi="宋体" w:cs="宋体"/>
                <w:color w:val="000000"/>
                <w:kern w:val="0"/>
                <w:sz w:val="18"/>
                <w:szCs w:val="18"/>
              </w:rPr>
              <w:t>干警职工满意度</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567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5A53">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4C5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0DE1">
            <w:pPr>
              <w:jc w:val="center"/>
              <w:rPr>
                <w:rFonts w:ascii="微软雅黑" w:hAnsi="微软雅黑" w:eastAsia="微软雅黑" w:cs="微软雅黑"/>
                <w:i/>
                <w:iCs/>
                <w:color w:val="000000"/>
                <w:sz w:val="16"/>
                <w:szCs w:val="16"/>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91D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5BDB">
            <w:pPr>
              <w:jc w:val="center"/>
              <w:rPr>
                <w:rFonts w:ascii="宋体" w:hAnsi="宋体" w:cs="宋体"/>
                <w:color w:val="000000"/>
                <w:sz w:val="18"/>
                <w:szCs w:val="18"/>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C3F0">
            <w:pPr>
              <w:jc w:val="center"/>
              <w:rPr>
                <w:rFonts w:ascii="微软雅黑" w:hAnsi="微软雅黑" w:eastAsia="微软雅黑" w:cs="微软雅黑"/>
                <w:i/>
                <w:iCs/>
                <w:color w:val="000000"/>
                <w:sz w:val="16"/>
                <w:szCs w:val="16"/>
              </w:rPr>
            </w:pPr>
          </w:p>
        </w:tc>
      </w:tr>
      <w:tr w14:paraId="235B2CA7">
        <w:tblPrEx>
          <w:tblCellMar>
            <w:top w:w="0" w:type="dxa"/>
            <w:left w:w="108" w:type="dxa"/>
            <w:bottom w:w="0" w:type="dxa"/>
            <w:right w:w="108" w:type="dxa"/>
          </w:tblCellMar>
        </w:tblPrEx>
        <w:trPr>
          <w:trHeight w:val="286" w:hRule="atLeast"/>
        </w:trPr>
        <w:tc>
          <w:tcPr>
            <w:tcW w:w="67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5C21E3">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F0F5">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2A9C">
            <w:pPr>
              <w:rPr>
                <w:rFonts w:ascii="宋体" w:hAnsi="宋体" w:cs="宋体"/>
                <w:color w:val="000000"/>
                <w:sz w:val="18"/>
                <w:szCs w:val="18"/>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1666">
            <w:pPr>
              <w:rPr>
                <w:rFonts w:ascii="宋体" w:hAnsi="宋体" w:cs="宋体"/>
                <w:color w:val="000000"/>
                <w:sz w:val="18"/>
                <w:szCs w:val="18"/>
              </w:rPr>
            </w:pPr>
          </w:p>
        </w:tc>
      </w:tr>
      <w:tr w14:paraId="4A369291">
        <w:tblPrEx>
          <w:tblCellMar>
            <w:top w:w="0" w:type="dxa"/>
            <w:left w:w="108" w:type="dxa"/>
            <w:bottom w:w="0" w:type="dxa"/>
            <w:right w:w="108" w:type="dxa"/>
          </w:tblCellMar>
        </w:tblPrEx>
        <w:trPr>
          <w:trHeight w:val="60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7420">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79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73BB79">
            <w:pPr>
              <w:widowControl/>
              <w:wordWrap w:val="0"/>
              <w:spacing w:line="252" w:lineRule="atLeast"/>
              <w:ind w:firstLine="640"/>
              <w:rPr>
                <w:rFonts w:ascii="宋体" w:hAnsi="宋体" w:cs="宋体"/>
                <w:sz w:val="18"/>
                <w:szCs w:val="18"/>
              </w:rPr>
            </w:pPr>
            <w:r>
              <w:rPr>
                <w:rFonts w:hint="eastAsia" w:ascii="宋体" w:hAnsi="宋体" w:cs="宋体"/>
                <w:color w:val="000000"/>
                <w:kern w:val="0"/>
                <w:sz w:val="18"/>
                <w:szCs w:val="18"/>
                <w:shd w:val="clear" w:color="auto" w:fill="FFFFFF"/>
              </w:rPr>
              <w:t>办公设备及办公家具的更新，能有效提高民辅警办事效率，更好的开展公安交管工作，公众安全感指数增长率达到23%，重大活动突发事件下降率达到12%，群体性事件成功处置率达到90%。全市取得了发案下降、安全事故下降、破案率上升、群众安全感上升、满意度上升“两下降三上升”的好成绩。</w:t>
            </w:r>
          </w:p>
          <w:p w14:paraId="465D903D">
            <w:pPr>
              <w:widowControl/>
              <w:jc w:val="left"/>
              <w:textAlignment w:val="center"/>
              <w:rPr>
                <w:rFonts w:ascii="微软雅黑" w:hAnsi="微软雅黑" w:eastAsia="微软雅黑" w:cs="微软雅黑"/>
                <w:i/>
                <w:iCs/>
                <w:color w:val="000000"/>
                <w:sz w:val="16"/>
                <w:szCs w:val="16"/>
              </w:rPr>
            </w:pPr>
          </w:p>
        </w:tc>
      </w:tr>
      <w:tr w14:paraId="73C7D70D">
        <w:tblPrEx>
          <w:tblCellMar>
            <w:top w:w="0" w:type="dxa"/>
            <w:left w:w="108" w:type="dxa"/>
            <w:bottom w:w="0" w:type="dxa"/>
            <w:right w:w="108" w:type="dxa"/>
          </w:tblCellMar>
        </w:tblPrEx>
        <w:trPr>
          <w:trHeight w:val="572"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2AF1">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79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F13D0F">
            <w:pPr>
              <w:widowControl/>
              <w:wordWrap w:val="0"/>
              <w:spacing w:line="252" w:lineRule="atLeast"/>
              <w:rPr>
                <w:rFonts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rPr>
              <w:t>2021年度预算了台式计算机、打印机等办公设备，因为新的标准出台，全部需由财政局统一采购信创产品，但目前信创产品和公安网络不兼容，导致电脑等办公设备不能及时替换，工作效率缓慢。</w:t>
            </w:r>
          </w:p>
          <w:p w14:paraId="3E021EC8">
            <w:pPr>
              <w:widowControl/>
              <w:jc w:val="left"/>
              <w:textAlignment w:val="center"/>
              <w:rPr>
                <w:rFonts w:ascii="微软雅黑" w:hAnsi="微软雅黑" w:eastAsia="微软雅黑" w:cs="微软雅黑"/>
                <w:i/>
                <w:iCs/>
                <w:color w:val="000000"/>
                <w:sz w:val="16"/>
                <w:szCs w:val="16"/>
              </w:rPr>
            </w:pPr>
          </w:p>
        </w:tc>
      </w:tr>
      <w:tr w14:paraId="4789096F">
        <w:tblPrEx>
          <w:tblCellMar>
            <w:top w:w="0" w:type="dxa"/>
            <w:left w:w="108" w:type="dxa"/>
            <w:bottom w:w="0" w:type="dxa"/>
            <w:right w:w="108" w:type="dxa"/>
          </w:tblCellMar>
        </w:tblPrEx>
        <w:trPr>
          <w:trHeight w:val="63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F1F1">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79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59F2A6">
            <w:pPr>
              <w:widowControl/>
              <w:wordWrap w:val="0"/>
              <w:spacing w:line="360" w:lineRule="atLeast"/>
              <w:rPr>
                <w:rFonts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rPr>
              <w:t>交警支队大部分电脑老旧，工作效率低，人民群众办事时，常常因电脑速度慢导致业务办理慢，及时优化信创产品的兼容性，能够满足公安工作的需要，进而提升民辅警办公效率，增强人民群众的满意度。</w:t>
            </w:r>
          </w:p>
          <w:p w14:paraId="4D08B7A1">
            <w:pPr>
              <w:widowControl/>
              <w:jc w:val="left"/>
              <w:textAlignment w:val="center"/>
              <w:rPr>
                <w:rFonts w:ascii="微软雅黑" w:hAnsi="微软雅黑" w:eastAsia="微软雅黑" w:cs="微软雅黑"/>
                <w:i/>
                <w:iCs/>
                <w:color w:val="000000"/>
                <w:sz w:val="16"/>
                <w:szCs w:val="16"/>
              </w:rPr>
            </w:pPr>
          </w:p>
        </w:tc>
      </w:tr>
      <w:tr w14:paraId="27591AF9">
        <w:tblPrEx>
          <w:tblCellMar>
            <w:top w:w="0" w:type="dxa"/>
            <w:left w:w="108" w:type="dxa"/>
            <w:bottom w:w="0" w:type="dxa"/>
            <w:right w:w="108" w:type="dxa"/>
          </w:tblCellMar>
        </w:tblPrEx>
        <w:trPr>
          <w:trHeight w:val="286" w:hRule="atLeast"/>
        </w:trPr>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3501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41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6AF6D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14:paraId="57488BB9">
      <w:pPr>
        <w:pStyle w:val="5"/>
        <w:spacing w:before="93"/>
        <w:rPr>
          <w:rFonts w:ascii="仿宋" w:hAnsi="仿宋" w:eastAsia="仿宋" w:cs="仿宋"/>
          <w:color w:val="000000"/>
          <w:sz w:val="32"/>
          <w:szCs w:val="32"/>
          <w:shd w:val="clear" w:color="auto" w:fill="FFFFFF"/>
          <w:lang w:val="zh-CN"/>
        </w:rPr>
      </w:pPr>
    </w:p>
    <w:p w14:paraId="0DA56EAF">
      <w:pPr>
        <w:pStyle w:val="5"/>
        <w:spacing w:before="93"/>
        <w:rPr>
          <w:rFonts w:ascii="仿宋" w:hAnsi="仿宋" w:eastAsia="仿宋" w:cs="仿宋"/>
          <w:color w:val="000000"/>
          <w:sz w:val="32"/>
          <w:szCs w:val="32"/>
          <w:shd w:val="clear" w:color="auto" w:fill="FFFFFF"/>
          <w:lang w:val="zh-CN"/>
        </w:rPr>
      </w:pPr>
    </w:p>
    <w:p w14:paraId="3C74F52E">
      <w:pPr>
        <w:pStyle w:val="5"/>
        <w:spacing w:before="93"/>
        <w:rPr>
          <w:rFonts w:ascii="仿宋" w:hAnsi="仿宋" w:eastAsia="仿宋" w:cs="仿宋"/>
          <w:color w:val="000000"/>
          <w:sz w:val="32"/>
          <w:szCs w:val="32"/>
          <w:shd w:val="clear" w:color="auto" w:fill="FFFFFF"/>
          <w:lang w:val="zh-CN"/>
        </w:rPr>
      </w:pPr>
    </w:p>
    <w:p w14:paraId="4406EF1C">
      <w:pPr>
        <w:pStyle w:val="5"/>
        <w:spacing w:before="93"/>
        <w:rPr>
          <w:rFonts w:hAnsi="Calibri" w:cs="仿宋"/>
          <w:sz w:val="32"/>
          <w:szCs w:val="32"/>
        </w:rPr>
      </w:pPr>
    </w:p>
    <w:p w14:paraId="20769A73">
      <w:pPr>
        <w:pStyle w:val="5"/>
        <w:spacing w:before="93"/>
        <w:rPr>
          <w:rFonts w:hAnsi="Calibri" w:cs="仿宋"/>
          <w:sz w:val="32"/>
          <w:szCs w:val="32"/>
        </w:rPr>
      </w:pPr>
    </w:p>
    <w:p w14:paraId="20A97494">
      <w:pPr>
        <w:pStyle w:val="5"/>
        <w:spacing w:before="93"/>
        <w:rPr>
          <w:rFonts w:hAnsi="Calibri" w:cs="仿宋"/>
          <w:sz w:val="32"/>
          <w:szCs w:val="32"/>
        </w:rPr>
      </w:pPr>
    </w:p>
    <w:p w14:paraId="361F99C2">
      <w:pPr>
        <w:pStyle w:val="5"/>
        <w:spacing w:before="93"/>
        <w:rPr>
          <w:rFonts w:hAnsi="Calibri" w:cs="仿宋"/>
          <w:sz w:val="32"/>
          <w:szCs w:val="32"/>
        </w:rPr>
      </w:pPr>
    </w:p>
    <w:p w14:paraId="6A4EF9A3">
      <w:pPr>
        <w:pStyle w:val="5"/>
        <w:spacing w:before="93"/>
        <w:rPr>
          <w:rFonts w:hAnsi="Calibri" w:cs="仿宋"/>
          <w:sz w:val="32"/>
          <w:szCs w:val="32"/>
        </w:rPr>
      </w:pPr>
    </w:p>
    <w:p w14:paraId="630BD8F8">
      <w:pPr>
        <w:pStyle w:val="5"/>
        <w:spacing w:before="93"/>
        <w:rPr>
          <w:rFonts w:hAnsi="Calibri" w:cs="仿宋"/>
          <w:sz w:val="32"/>
          <w:szCs w:val="32"/>
        </w:rPr>
      </w:pPr>
    </w:p>
    <w:p w14:paraId="0CD81BBF">
      <w:pPr>
        <w:pStyle w:val="5"/>
        <w:spacing w:before="93"/>
        <w:rPr>
          <w:rFonts w:hAnsi="Calibri" w:cs="仿宋"/>
          <w:sz w:val="32"/>
          <w:szCs w:val="32"/>
        </w:rPr>
      </w:pPr>
    </w:p>
    <w:p w14:paraId="3297C16F">
      <w:pPr>
        <w:pStyle w:val="5"/>
        <w:spacing w:before="93"/>
        <w:rPr>
          <w:rFonts w:hAnsi="Calibri" w:cs="仿宋"/>
          <w:sz w:val="32"/>
          <w:szCs w:val="32"/>
        </w:rPr>
      </w:pPr>
    </w:p>
    <w:p w14:paraId="769E6253">
      <w:pPr>
        <w:pStyle w:val="5"/>
        <w:spacing w:before="93"/>
        <w:rPr>
          <w:rFonts w:hAnsi="Calibri" w:cs="仿宋"/>
          <w:sz w:val="32"/>
          <w:szCs w:val="32"/>
        </w:rPr>
      </w:pPr>
    </w:p>
    <w:p w14:paraId="26EE2B4D">
      <w:pPr>
        <w:pStyle w:val="5"/>
        <w:spacing w:before="93"/>
        <w:rPr>
          <w:rFonts w:hAnsi="Calibri" w:cs="仿宋"/>
          <w:sz w:val="32"/>
          <w:szCs w:val="32"/>
        </w:rPr>
      </w:pPr>
    </w:p>
    <w:p w14:paraId="44CAEB3E">
      <w:pPr>
        <w:pStyle w:val="5"/>
        <w:spacing w:before="93"/>
        <w:rPr>
          <w:rFonts w:hAnsi="Calibri" w:cs="仿宋"/>
          <w:sz w:val="32"/>
          <w:szCs w:val="32"/>
        </w:rPr>
      </w:pPr>
    </w:p>
    <w:p w14:paraId="19EAE23D">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1"/>
      <w:bookmarkEnd w:id="53"/>
      <w:bookmarkStart w:id="54" w:name="_Toc15396619"/>
    </w:p>
    <w:p w14:paraId="50A90DC7">
      <w:pPr>
        <w:pStyle w:val="2"/>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4"/>
    </w:p>
    <w:p w14:paraId="1F923190">
      <w:pPr>
        <w:pStyle w:val="2"/>
        <w:rPr>
          <w:rFonts w:ascii="仿宋" w:hAnsi="仿宋" w:eastAsia="仿宋"/>
        </w:rPr>
      </w:pPr>
      <w:bookmarkStart w:id="55" w:name="_Toc15396620"/>
      <w:r>
        <w:rPr>
          <w:rFonts w:hint="eastAsia" w:ascii="仿宋" w:hAnsi="仿宋" w:eastAsia="仿宋"/>
          <w:b w:val="0"/>
        </w:rPr>
        <w:t>二、收</w:t>
      </w:r>
      <w:r>
        <w:rPr>
          <w:rStyle w:val="27"/>
          <w:rFonts w:hint="eastAsia" w:ascii="仿宋" w:hAnsi="仿宋" w:eastAsia="仿宋"/>
          <w:b w:val="0"/>
          <w:bCs w:val="0"/>
        </w:rPr>
        <w:t>入决算表</w:t>
      </w:r>
      <w:bookmarkEnd w:id="55"/>
    </w:p>
    <w:p w14:paraId="54CD173A">
      <w:pPr>
        <w:pStyle w:val="2"/>
        <w:rPr>
          <w:rFonts w:ascii="仿宋" w:hAnsi="仿宋" w:eastAsia="仿宋"/>
        </w:rPr>
      </w:pPr>
      <w:bookmarkStart w:id="5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6"/>
    </w:p>
    <w:p w14:paraId="3991CF37">
      <w:pPr>
        <w:pStyle w:val="2"/>
        <w:rPr>
          <w:rFonts w:ascii="仿宋" w:hAnsi="仿宋" w:eastAsia="仿宋"/>
          <w:b w:val="0"/>
        </w:rPr>
      </w:pPr>
      <w:bookmarkStart w:id="5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7"/>
    </w:p>
    <w:p w14:paraId="41A7581A">
      <w:pPr>
        <w:pStyle w:val="2"/>
        <w:rPr>
          <w:rStyle w:val="27"/>
          <w:rFonts w:ascii="仿宋" w:hAnsi="仿宋" w:eastAsia="仿宋"/>
          <w:b w:val="0"/>
          <w:bCs w:val="0"/>
        </w:rPr>
      </w:pPr>
      <w:bookmarkStart w:id="5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8"/>
      <w:bookmarkStart w:id="59" w:name="_Toc15396624"/>
    </w:p>
    <w:p w14:paraId="50183BE2">
      <w:pPr>
        <w:pStyle w:val="2"/>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9"/>
    </w:p>
    <w:p w14:paraId="67C8A477">
      <w:pPr>
        <w:pStyle w:val="2"/>
        <w:rPr>
          <w:rFonts w:ascii="仿宋" w:hAnsi="仿宋" w:eastAsia="仿宋"/>
        </w:rPr>
      </w:pPr>
      <w:bookmarkStart w:id="6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0"/>
    </w:p>
    <w:p w14:paraId="7C529D90">
      <w:pPr>
        <w:pStyle w:val="2"/>
        <w:rPr>
          <w:rFonts w:ascii="仿宋" w:hAnsi="仿宋" w:eastAsia="仿宋"/>
        </w:rPr>
      </w:pPr>
      <w:bookmarkStart w:id="6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1"/>
    </w:p>
    <w:p w14:paraId="6E2EA7F0">
      <w:pPr>
        <w:pStyle w:val="2"/>
        <w:rPr>
          <w:rFonts w:ascii="仿宋" w:hAnsi="仿宋" w:eastAsia="仿宋"/>
        </w:rPr>
      </w:pPr>
      <w:bookmarkStart w:id="6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2"/>
    </w:p>
    <w:p w14:paraId="6254FACE">
      <w:pPr>
        <w:pStyle w:val="2"/>
        <w:rPr>
          <w:rFonts w:ascii="仿宋" w:hAnsi="仿宋" w:eastAsia="仿宋"/>
        </w:rPr>
      </w:pPr>
      <w:bookmarkStart w:id="63" w:name="_Toc15396628"/>
      <w:r>
        <w:rPr>
          <w:rStyle w:val="27"/>
          <w:rFonts w:hint="eastAsia" w:ascii="仿宋" w:hAnsi="仿宋" w:eastAsia="仿宋"/>
          <w:b w:val="0"/>
          <w:bCs w:val="0"/>
        </w:rPr>
        <w:t>十、</w:t>
      </w:r>
      <w:bookmarkEnd w:id="63"/>
      <w:r>
        <w:rPr>
          <w:rFonts w:hint="eastAsia" w:ascii="仿宋" w:hAnsi="仿宋" w:eastAsia="仿宋"/>
          <w:b w:val="0"/>
        </w:rPr>
        <w:t>政</w:t>
      </w:r>
      <w:r>
        <w:rPr>
          <w:rStyle w:val="27"/>
          <w:rFonts w:hint="eastAsia" w:ascii="仿宋" w:hAnsi="仿宋" w:eastAsia="仿宋"/>
          <w:b w:val="0"/>
          <w:bCs w:val="0"/>
        </w:rPr>
        <w:t>府性基金预算财政拨款收入支出决算表</w:t>
      </w:r>
    </w:p>
    <w:p w14:paraId="1E930ACD">
      <w:pPr>
        <w:pStyle w:val="2"/>
        <w:rPr>
          <w:rFonts w:ascii="仿宋" w:hAnsi="仿宋" w:eastAsia="仿宋"/>
        </w:rPr>
      </w:pPr>
      <w:bookmarkStart w:id="64" w:name="_Toc15396629"/>
      <w:r>
        <w:rPr>
          <w:rStyle w:val="27"/>
          <w:rFonts w:hint="eastAsia" w:ascii="仿宋" w:hAnsi="仿宋" w:eastAsia="仿宋"/>
          <w:b w:val="0"/>
          <w:bCs w:val="0"/>
        </w:rPr>
        <w:t>十一、</w:t>
      </w:r>
      <w:bookmarkEnd w:id="64"/>
      <w:r>
        <w:rPr>
          <w:rFonts w:hint="eastAsia" w:ascii="仿宋" w:hAnsi="仿宋" w:eastAsia="仿宋"/>
          <w:b w:val="0"/>
        </w:rPr>
        <w:t>国</w:t>
      </w:r>
      <w:r>
        <w:rPr>
          <w:rStyle w:val="27"/>
          <w:rFonts w:hint="eastAsia" w:ascii="仿宋" w:hAnsi="仿宋" w:eastAsia="仿宋"/>
          <w:b w:val="0"/>
          <w:bCs w:val="0"/>
        </w:rPr>
        <w:t>有资本经营预算财政拨款收入支出决算表</w:t>
      </w:r>
    </w:p>
    <w:p w14:paraId="7C955F59">
      <w:pPr>
        <w:pStyle w:val="2"/>
        <w:rPr>
          <w:rFonts w:ascii="仿宋" w:hAnsi="仿宋" w:eastAsia="仿宋"/>
        </w:rPr>
      </w:pPr>
      <w:bookmarkStart w:id="65" w:name="_Toc15396630"/>
      <w:r>
        <w:rPr>
          <w:rStyle w:val="27"/>
          <w:rFonts w:hint="eastAsia" w:ascii="仿宋" w:hAnsi="仿宋" w:eastAsia="仿宋"/>
          <w:b w:val="0"/>
          <w:bCs w:val="0"/>
        </w:rPr>
        <w:t>十二、</w:t>
      </w:r>
      <w:bookmarkEnd w:id="65"/>
      <w:r>
        <w:rPr>
          <w:rStyle w:val="27"/>
          <w:rFonts w:hint="eastAsia" w:ascii="仿宋" w:hAnsi="仿宋" w:eastAsia="仿宋"/>
          <w:b w:val="0"/>
          <w:bCs w:val="0"/>
        </w:rPr>
        <w:t>国有资本经营预算财政拨款支出决算表</w:t>
      </w:r>
    </w:p>
    <w:p w14:paraId="49586488">
      <w:pPr>
        <w:pStyle w:val="2"/>
        <w:rPr>
          <w:rFonts w:eastAsia="仿宋"/>
        </w:rPr>
      </w:pPr>
      <w:bookmarkStart w:id="66" w:name="_Toc15396631"/>
      <w:r>
        <w:rPr>
          <w:rStyle w:val="27"/>
          <w:rFonts w:hint="eastAsia" w:ascii="仿宋" w:hAnsi="仿宋" w:eastAsia="仿宋"/>
          <w:b w:val="0"/>
          <w:bCs w:val="0"/>
        </w:rPr>
        <w:t>十三、</w:t>
      </w:r>
      <w:bookmarkEnd w:id="66"/>
      <w:r>
        <w:rPr>
          <w:rStyle w:val="27"/>
          <w:rFonts w:hint="eastAsia" w:ascii="仿宋" w:hAnsi="仿宋" w:eastAsia="仿宋"/>
          <w:b w:val="0"/>
          <w:bCs w:val="0"/>
        </w:rPr>
        <w:t>财政拨款“三公”经费支出决算表</w:t>
      </w:r>
    </w:p>
    <w:sectPr>
      <w:footerReference r:id="rId9" w:type="first"/>
      <w:footerReference r:id="rId8" w:type="default"/>
      <w:pgSz w:w="11906" w:h="16838"/>
      <w:pgMar w:top="1440" w:right="1800" w:bottom="1440" w:left="1800" w:header="851" w:footer="992" w:gutter="0"/>
      <w:pgNumType w:start="63"/>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219A">
    <w:pPr>
      <w:pStyle w:val="8"/>
      <w:jc w:val="center"/>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4A092E9">
                <w:pPr>
                  <w:pStyle w:val="8"/>
                  <w:jc w:val="center"/>
                </w:pPr>
                <w:r>
                  <w:fldChar w:fldCharType="begin"/>
                </w:r>
                <w:r>
                  <w:instrText xml:space="preserve">PAGE   \* MERGEFORMAT</w:instrText>
                </w:r>
                <w:r>
                  <w:fldChar w:fldCharType="separate"/>
                </w:r>
                <w:r>
                  <w:rPr>
                    <w:lang w:val="zh-CN"/>
                  </w:rPr>
                  <w:t>2</w:t>
                </w:r>
                <w:r>
                  <w:rPr>
                    <w:lang w:val="zh-CN"/>
                  </w:rPr>
                  <w:fldChar w:fldCharType="end"/>
                </w:r>
              </w:p>
              <w:p w14:paraId="50E5AFEC">
                <w:pPr>
                  <w:pStyle w:val="2"/>
                </w:pPr>
              </w:p>
            </w:txbxContent>
          </v:textbox>
        </v:shape>
      </w:pict>
    </w:r>
  </w:p>
  <w:p w14:paraId="1483429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D1B6">
    <w:pPr>
      <w:pStyle w:val="8"/>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304DB372">
                <w:pPr>
                  <w:pStyle w:val="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5D4C">
    <w:pPr>
      <w:pStyle w:val="8"/>
      <w:jc w:val="center"/>
    </w:pPr>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F67EB44">
                <w:pPr>
                  <w:pStyle w:val="8"/>
                  <w:jc w:val="center"/>
                </w:pPr>
                <w:r>
                  <w:fldChar w:fldCharType="begin"/>
                </w:r>
                <w:r>
                  <w:instrText xml:space="preserve">PAGE   \* MERGEFORMAT</w:instrText>
                </w:r>
                <w:r>
                  <w:fldChar w:fldCharType="separate"/>
                </w:r>
                <w:r>
                  <w:rPr>
                    <w:lang w:val="zh-CN"/>
                  </w:rPr>
                  <w:t>62</w:t>
                </w:r>
                <w:r>
                  <w:rPr>
                    <w:lang w:val="zh-CN"/>
                  </w:rPr>
                  <w:fldChar w:fldCharType="end"/>
                </w:r>
              </w:p>
              <w:p w14:paraId="3D92BD37">
                <w:pPr>
                  <w:pStyle w:val="2"/>
                </w:pPr>
              </w:p>
            </w:txbxContent>
          </v:textbox>
        </v:shape>
      </w:pict>
    </w:r>
  </w:p>
  <w:p w14:paraId="67D6EE29">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AEA8">
    <w:pPr>
      <w:pStyle w:val="8"/>
    </w:pPr>
    <w: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BB53522">
                <w:pPr>
                  <w:pStyle w:val="8"/>
                </w:pPr>
                <w:r>
                  <w:fldChar w:fldCharType="begin"/>
                </w:r>
                <w:r>
                  <w:instrText xml:space="preserve"> PAGE  \* MERGEFORMAT </w:instrText>
                </w:r>
                <w:r>
                  <w:fldChar w:fldCharType="separate"/>
                </w:r>
                <w:r>
                  <w:t>29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9A7D">
    <w:pPr>
      <w:pStyle w:val="8"/>
      <w:jc w:val="center"/>
    </w:pPr>
    <w: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sdt>
                <w:sdtPr>
                  <w:id w:val="-1994781956"/>
                </w:sdtPr>
                <w:sdtContent>
                  <w:p w14:paraId="1E7D909F">
                    <w:pPr>
                      <w:pStyle w:val="8"/>
                      <w:jc w:val="center"/>
                    </w:pPr>
                    <w:r>
                      <w:fldChar w:fldCharType="begin"/>
                    </w:r>
                    <w:r>
                      <w:instrText xml:space="preserve">PAGE   \* MERGEFORMAT</w:instrText>
                    </w:r>
                    <w:r>
                      <w:fldChar w:fldCharType="separate"/>
                    </w:r>
                    <w:r>
                      <w:rPr>
                        <w:lang w:val="zh-CN"/>
                      </w:rPr>
                      <w:t>74</w:t>
                    </w:r>
                    <w:r>
                      <w:rPr>
                        <w:lang w:val="zh-CN"/>
                      </w:rPr>
                      <w:fldChar w:fldCharType="end"/>
                    </w:r>
                  </w:p>
                </w:sdtContent>
              </w:sdt>
              <w:p w14:paraId="00D7F5AE">
                <w:pPr>
                  <w:pStyle w:val="2"/>
                </w:pPr>
              </w:p>
            </w:txbxContent>
          </v:textbox>
        </v:shape>
      </w:pict>
    </w:r>
  </w:p>
  <w:p w14:paraId="4AC9762B">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923A">
    <w:pPr>
      <w:pStyle w:val="8"/>
    </w:pPr>
    <w: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22C8B42E">
                <w:pPr>
                  <w:pStyle w:val="8"/>
                </w:pPr>
                <w:r>
                  <w:fldChar w:fldCharType="begin"/>
                </w:r>
                <w:r>
                  <w:instrText xml:space="preserve"> PAGE  \* MERGEFORMAT </w:instrText>
                </w:r>
                <w:r>
                  <w:fldChar w:fldCharType="separate"/>
                </w:r>
                <w:r>
                  <w:t>63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F1B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eastAsia" w:ascii="仿宋" w:hAnsi="仿宋" w:eastAsia="仿宋" w:cs="仿宋"/>
        <w:b/>
        <w:bCs/>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598FB05"/>
    <w:multiLevelType w:val="multilevel"/>
    <w:tmpl w:val="1598FB05"/>
    <w:lvl w:ilvl="0" w:tentative="0">
      <w:start w:val="1"/>
      <w:numFmt w:val="japaneseCounting"/>
      <w:lvlText w:val="（%1）"/>
      <w:lvlJc w:val="left"/>
      <w:pPr>
        <w:ind w:left="1552" w:hanging="1080"/>
      </w:pPr>
      <w:rPr>
        <w:rFonts w:hint="default" w:ascii="楷体_GB2312" w:eastAsia="楷体_GB2312" w:cs="楷体_GB2312"/>
        <w:b/>
        <w:color w:val="000000"/>
        <w:sz w:val="32"/>
        <w:szCs w:val="32"/>
      </w:rPr>
    </w:lvl>
    <w:lvl w:ilvl="1" w:tentative="0">
      <w:start w:val="1"/>
      <w:numFmt w:val="lowerLetter"/>
      <w:lvlText w:val="%2)"/>
      <w:lvlJc w:val="left"/>
      <w:pPr>
        <w:ind w:left="1312" w:hanging="420"/>
      </w:pPr>
      <w:rPr>
        <w:rFonts w:hint="default" w:ascii="Times New Roman" w:hAnsi="Times New Roman" w:cs="Times New Roman"/>
      </w:rPr>
    </w:lvl>
    <w:lvl w:ilvl="2" w:tentative="0">
      <w:start w:val="1"/>
      <w:numFmt w:val="lowerRoman"/>
      <w:lvlText w:val="%3."/>
      <w:lvlJc w:val="right"/>
      <w:pPr>
        <w:ind w:left="1732" w:hanging="420"/>
      </w:pPr>
      <w:rPr>
        <w:rFonts w:hint="default" w:ascii="Times New Roman" w:hAnsi="Times New Roman" w:cs="Times New Roman"/>
      </w:rPr>
    </w:lvl>
    <w:lvl w:ilvl="3" w:tentative="0">
      <w:start w:val="1"/>
      <w:numFmt w:val="decimal"/>
      <w:lvlText w:val="%4."/>
      <w:lvlJc w:val="left"/>
      <w:pPr>
        <w:ind w:left="2152" w:hanging="420"/>
      </w:pPr>
      <w:rPr>
        <w:rFonts w:hint="default" w:ascii="Times New Roman" w:hAnsi="Times New Roman" w:cs="Times New Roman"/>
      </w:rPr>
    </w:lvl>
    <w:lvl w:ilvl="4" w:tentative="0">
      <w:start w:val="1"/>
      <w:numFmt w:val="lowerLetter"/>
      <w:lvlText w:val="%5)"/>
      <w:lvlJc w:val="left"/>
      <w:pPr>
        <w:ind w:left="2572" w:hanging="420"/>
      </w:pPr>
      <w:rPr>
        <w:rFonts w:hint="default" w:ascii="Times New Roman" w:hAnsi="Times New Roman" w:cs="Times New Roman"/>
      </w:rPr>
    </w:lvl>
    <w:lvl w:ilvl="5" w:tentative="0">
      <w:start w:val="1"/>
      <w:numFmt w:val="lowerRoman"/>
      <w:lvlText w:val="%6."/>
      <w:lvlJc w:val="right"/>
      <w:pPr>
        <w:ind w:left="2992" w:hanging="420"/>
      </w:pPr>
      <w:rPr>
        <w:rFonts w:hint="default" w:ascii="Times New Roman" w:hAnsi="Times New Roman" w:cs="Times New Roman"/>
      </w:rPr>
    </w:lvl>
    <w:lvl w:ilvl="6" w:tentative="0">
      <w:start w:val="1"/>
      <w:numFmt w:val="decimal"/>
      <w:lvlText w:val="%7."/>
      <w:lvlJc w:val="left"/>
      <w:pPr>
        <w:ind w:left="3412" w:hanging="420"/>
      </w:pPr>
      <w:rPr>
        <w:rFonts w:hint="default" w:ascii="Times New Roman" w:hAnsi="Times New Roman" w:cs="Times New Roman"/>
      </w:rPr>
    </w:lvl>
    <w:lvl w:ilvl="7" w:tentative="0">
      <w:start w:val="1"/>
      <w:numFmt w:val="lowerLetter"/>
      <w:lvlText w:val="%8)"/>
      <w:lvlJc w:val="left"/>
      <w:pPr>
        <w:ind w:left="3832" w:hanging="420"/>
      </w:pPr>
      <w:rPr>
        <w:rFonts w:hint="default" w:ascii="Times New Roman" w:hAnsi="Times New Roman" w:cs="Times New Roman"/>
      </w:rPr>
    </w:lvl>
    <w:lvl w:ilvl="8" w:tentative="0">
      <w:start w:val="1"/>
      <w:numFmt w:val="lowerRoman"/>
      <w:lvlText w:val="%9."/>
      <w:lvlJc w:val="right"/>
      <w:pPr>
        <w:ind w:left="4252" w:hanging="420"/>
      </w:pPr>
      <w:rPr>
        <w:rFonts w:hint="default" w:ascii="Times New Roman" w:hAnsi="Times New Roman" w:cs="Times New Roman"/>
      </w:rPr>
    </w:lvl>
  </w:abstractNum>
  <w:abstractNum w:abstractNumId="4">
    <w:nsid w:val="30FC40FE"/>
    <w:multiLevelType w:val="multilevel"/>
    <w:tmpl w:val="30FC40FE"/>
    <w:lvl w:ilvl="0" w:tentative="0">
      <w:start w:val="1"/>
      <w:numFmt w:val="japaneseCounting"/>
      <w:lvlText w:val="（%1）"/>
      <w:lvlJc w:val="left"/>
      <w:pPr>
        <w:ind w:left="1552" w:hanging="1080"/>
      </w:pPr>
      <w:rPr>
        <w:rFonts w:hint="default" w:ascii="楷体_GB2312" w:eastAsia="楷体_GB2312" w:cs="楷体_GB2312"/>
        <w:b/>
        <w:color w:val="000000"/>
        <w:sz w:val="32"/>
        <w:szCs w:val="32"/>
      </w:rPr>
    </w:lvl>
    <w:lvl w:ilvl="1" w:tentative="0">
      <w:start w:val="1"/>
      <w:numFmt w:val="lowerLetter"/>
      <w:lvlText w:val="%2)"/>
      <w:lvlJc w:val="left"/>
      <w:pPr>
        <w:ind w:left="1312" w:hanging="420"/>
      </w:pPr>
      <w:rPr>
        <w:rFonts w:hint="default" w:ascii="Times New Roman" w:hAnsi="Times New Roman" w:cs="Times New Roman"/>
      </w:rPr>
    </w:lvl>
    <w:lvl w:ilvl="2" w:tentative="0">
      <w:start w:val="1"/>
      <w:numFmt w:val="lowerRoman"/>
      <w:lvlText w:val="%3."/>
      <w:lvlJc w:val="right"/>
      <w:pPr>
        <w:ind w:left="1732" w:hanging="420"/>
      </w:pPr>
      <w:rPr>
        <w:rFonts w:hint="default" w:ascii="Times New Roman" w:hAnsi="Times New Roman" w:cs="Times New Roman"/>
      </w:rPr>
    </w:lvl>
    <w:lvl w:ilvl="3" w:tentative="0">
      <w:start w:val="1"/>
      <w:numFmt w:val="decimal"/>
      <w:lvlText w:val="%4."/>
      <w:lvlJc w:val="left"/>
      <w:pPr>
        <w:ind w:left="2152" w:hanging="420"/>
      </w:pPr>
      <w:rPr>
        <w:rFonts w:hint="default" w:ascii="Times New Roman" w:hAnsi="Times New Roman" w:cs="Times New Roman"/>
      </w:rPr>
    </w:lvl>
    <w:lvl w:ilvl="4" w:tentative="0">
      <w:start w:val="1"/>
      <w:numFmt w:val="lowerLetter"/>
      <w:lvlText w:val="%5)"/>
      <w:lvlJc w:val="left"/>
      <w:pPr>
        <w:ind w:left="2572" w:hanging="420"/>
      </w:pPr>
      <w:rPr>
        <w:rFonts w:hint="default" w:ascii="Times New Roman" w:hAnsi="Times New Roman" w:cs="Times New Roman"/>
      </w:rPr>
    </w:lvl>
    <w:lvl w:ilvl="5" w:tentative="0">
      <w:start w:val="1"/>
      <w:numFmt w:val="lowerRoman"/>
      <w:lvlText w:val="%6."/>
      <w:lvlJc w:val="right"/>
      <w:pPr>
        <w:ind w:left="2992" w:hanging="420"/>
      </w:pPr>
      <w:rPr>
        <w:rFonts w:hint="default" w:ascii="Times New Roman" w:hAnsi="Times New Roman" w:cs="Times New Roman"/>
      </w:rPr>
    </w:lvl>
    <w:lvl w:ilvl="6" w:tentative="0">
      <w:start w:val="1"/>
      <w:numFmt w:val="decimal"/>
      <w:lvlText w:val="%7."/>
      <w:lvlJc w:val="left"/>
      <w:pPr>
        <w:ind w:left="3412" w:hanging="420"/>
      </w:pPr>
      <w:rPr>
        <w:rFonts w:hint="default" w:ascii="Times New Roman" w:hAnsi="Times New Roman" w:cs="Times New Roman"/>
      </w:rPr>
    </w:lvl>
    <w:lvl w:ilvl="7" w:tentative="0">
      <w:start w:val="1"/>
      <w:numFmt w:val="lowerLetter"/>
      <w:lvlText w:val="%8)"/>
      <w:lvlJc w:val="left"/>
      <w:pPr>
        <w:ind w:left="3832" w:hanging="420"/>
      </w:pPr>
      <w:rPr>
        <w:rFonts w:hint="default" w:ascii="Times New Roman" w:hAnsi="Times New Roman" w:cs="Times New Roman"/>
      </w:rPr>
    </w:lvl>
    <w:lvl w:ilvl="8" w:tentative="0">
      <w:start w:val="1"/>
      <w:numFmt w:val="lowerRoman"/>
      <w:lvlText w:val="%9."/>
      <w:lvlJc w:val="right"/>
      <w:pPr>
        <w:ind w:left="4252" w:hanging="420"/>
      </w:pPr>
      <w:rPr>
        <w:rFonts w:hint="default" w:ascii="Times New Roman" w:hAnsi="Times New Roman" w:cs="Times New Roman"/>
      </w:r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hmMmI5NTg4ZGE2N2QzOTEyMzRlYzExYjNmZjdiNGY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2A27"/>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8DA"/>
    <w:rsid w:val="00380C92"/>
    <w:rsid w:val="00397887"/>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4541"/>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7E45"/>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7375"/>
    <w:rsid w:val="009B2C43"/>
    <w:rsid w:val="009B4EAE"/>
    <w:rsid w:val="009B7573"/>
    <w:rsid w:val="009C22F4"/>
    <w:rsid w:val="009C2A4B"/>
    <w:rsid w:val="009C2E98"/>
    <w:rsid w:val="009D3447"/>
    <w:rsid w:val="009D4711"/>
    <w:rsid w:val="009F1185"/>
    <w:rsid w:val="009F18CD"/>
    <w:rsid w:val="009F2A13"/>
    <w:rsid w:val="009F7527"/>
    <w:rsid w:val="00A04EB0"/>
    <w:rsid w:val="00A12A0D"/>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55D"/>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7CF0"/>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3CFE"/>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937190"/>
    <w:rsid w:val="053A62B5"/>
    <w:rsid w:val="05F1262C"/>
    <w:rsid w:val="0A2032A3"/>
    <w:rsid w:val="0A2A7134"/>
    <w:rsid w:val="0B8A37D8"/>
    <w:rsid w:val="0CA7417C"/>
    <w:rsid w:val="10C055FF"/>
    <w:rsid w:val="112C6E5D"/>
    <w:rsid w:val="118107EC"/>
    <w:rsid w:val="119C4978"/>
    <w:rsid w:val="11DD6519"/>
    <w:rsid w:val="1212015E"/>
    <w:rsid w:val="12C12B70"/>
    <w:rsid w:val="16BB723D"/>
    <w:rsid w:val="18015F3F"/>
    <w:rsid w:val="1BE8440E"/>
    <w:rsid w:val="1D155CEE"/>
    <w:rsid w:val="20F57F95"/>
    <w:rsid w:val="221C6C41"/>
    <w:rsid w:val="23F00B39"/>
    <w:rsid w:val="240371BF"/>
    <w:rsid w:val="25711CC6"/>
    <w:rsid w:val="25C741E6"/>
    <w:rsid w:val="27842671"/>
    <w:rsid w:val="29FD04D3"/>
    <w:rsid w:val="2ABE7A3E"/>
    <w:rsid w:val="2CA234A8"/>
    <w:rsid w:val="2CB425C7"/>
    <w:rsid w:val="2EFA178C"/>
    <w:rsid w:val="30B46D73"/>
    <w:rsid w:val="319F7F4E"/>
    <w:rsid w:val="383D272C"/>
    <w:rsid w:val="39AE70AB"/>
    <w:rsid w:val="3B426966"/>
    <w:rsid w:val="3C0C0783"/>
    <w:rsid w:val="3CA317BD"/>
    <w:rsid w:val="3D27FE28"/>
    <w:rsid w:val="3F520BBB"/>
    <w:rsid w:val="3F9F3A96"/>
    <w:rsid w:val="40204D19"/>
    <w:rsid w:val="48BF60AB"/>
    <w:rsid w:val="493C27E9"/>
    <w:rsid w:val="496F39ED"/>
    <w:rsid w:val="49FF41D3"/>
    <w:rsid w:val="4BE068DB"/>
    <w:rsid w:val="4BF6002B"/>
    <w:rsid w:val="4C1B6294"/>
    <w:rsid w:val="4ECE2238"/>
    <w:rsid w:val="4F988005"/>
    <w:rsid w:val="4F9D49FA"/>
    <w:rsid w:val="4FEE0A9E"/>
    <w:rsid w:val="51DB4B86"/>
    <w:rsid w:val="51EFB4A0"/>
    <w:rsid w:val="53FA4569"/>
    <w:rsid w:val="55333C3E"/>
    <w:rsid w:val="61D904BF"/>
    <w:rsid w:val="64CA39A1"/>
    <w:rsid w:val="69630ADE"/>
    <w:rsid w:val="6C4A05C8"/>
    <w:rsid w:val="6D3B1A89"/>
    <w:rsid w:val="6F7D46E5"/>
    <w:rsid w:val="6FB7E37C"/>
    <w:rsid w:val="6FBFA4C8"/>
    <w:rsid w:val="71BF4EC2"/>
    <w:rsid w:val="72734D90"/>
    <w:rsid w:val="7412278C"/>
    <w:rsid w:val="77366553"/>
    <w:rsid w:val="79E7B28D"/>
    <w:rsid w:val="7D9674A7"/>
    <w:rsid w:val="7F9F20EE"/>
    <w:rsid w:val="9E3A10E2"/>
    <w:rsid w:val="D7FE0D24"/>
    <w:rsid w:val="F2E1F9D4"/>
    <w:rsid w:val="F7880819"/>
    <w:rsid w:val="FFFB452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0"/>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paragraph" w:customStyle="1" w:styleId="17">
    <w:name w:val="常用样式（方正仿宋简）"/>
    <w:basedOn w:val="1"/>
    <w:next w:val="1"/>
    <w:qFormat/>
    <w:uiPriority w:val="0"/>
    <w:pPr>
      <w:spacing w:line="560" w:lineRule="exact"/>
      <w:ind w:firstLine="640" w:firstLineChars="200"/>
    </w:pPr>
    <w:rPr>
      <w:rFonts w:eastAsia="方正仿宋简体"/>
      <w:sz w:val="32"/>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2"/>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4"/>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font41"/>
    <w:basedOn w:val="14"/>
    <w:qFormat/>
    <w:uiPriority w:val="0"/>
    <w:rPr>
      <w:rFonts w:hint="eastAsia" w:ascii="宋体" w:hAnsi="宋体" w:eastAsia="宋体" w:cs="宋体"/>
      <w:color w:val="000000"/>
      <w:sz w:val="24"/>
      <w:szCs w:val="24"/>
      <w:u w:val="none"/>
    </w:rPr>
  </w:style>
  <w:style w:type="paragraph" w:customStyle="1" w:styleId="33">
    <w:name w:val="汇政正文-最终版"/>
    <w:basedOn w:val="1"/>
    <w:unhideWhenUsed/>
    <w:qFormat/>
    <w:uiPriority w:val="3"/>
    <w:pPr>
      <w:spacing w:line="600" w:lineRule="exact"/>
      <w:ind w:firstLine="200" w:firstLineChars="200"/>
    </w:pPr>
    <w:rPr>
      <w:kern w:val="0"/>
      <w:sz w:val="32"/>
      <w:lang w:val="zh-CN"/>
    </w:rPr>
  </w:style>
  <w:style w:type="paragraph" w:customStyle="1" w:styleId="34">
    <w:name w:val="报告正文"/>
    <w:basedOn w:val="1"/>
    <w:unhideWhenUsed/>
    <w:qFormat/>
    <w:uiPriority w:val="0"/>
    <w:pPr>
      <w:spacing w:line="600" w:lineRule="exact"/>
      <w:ind w:firstLine="200" w:firstLineChars="200"/>
    </w:pPr>
    <w:rPr>
      <w:rFonts w:eastAsia="仿宋"/>
      <w:kern w:val="0"/>
      <w:sz w:val="32"/>
      <w:lang w:val="zh-CN"/>
    </w:rPr>
  </w:style>
  <w:style w:type="paragraph" w:customStyle="1" w:styleId="35">
    <w:name w:val="图表名"/>
    <w:basedOn w:val="1"/>
    <w:unhideWhenUsed/>
    <w:qFormat/>
    <w:uiPriority w:val="4"/>
    <w:pPr>
      <w:jc w:val="center"/>
    </w:pPr>
    <w:rPr>
      <w:b/>
      <w:kern w:val="0"/>
      <w:sz w:val="24"/>
    </w:rPr>
  </w:style>
  <w:style w:type="paragraph" w:customStyle="1" w:styleId="36">
    <w:name w:val="表文字"/>
    <w:basedOn w:val="34"/>
    <w:unhideWhenUsed/>
    <w:qFormat/>
    <w:uiPriority w:val="5"/>
    <w:pPr>
      <w:widowControl/>
      <w:pBdr>
        <w:between w:val="single" w:color="auto" w:sz="4" w:space="1"/>
      </w:pBdr>
      <w:spacing w:line="320" w:lineRule="exact"/>
      <w:ind w:firstLine="0" w:firstLineChars="0"/>
      <w:jc w:val="center"/>
    </w:pPr>
    <w:rPr>
      <w:rFonts w:cs="宋体"/>
      <w:color w:val="000000"/>
      <w:sz w:val="22"/>
      <w:szCs w:val="28"/>
    </w:rPr>
  </w:style>
  <w:style w:type="paragraph" w:customStyle="1" w:styleId="37">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Pt>
            <c:idx val="1"/>
            <c:invertIfNegative val="0"/>
            <c:bubble3D val="0"/>
            <c:spPr>
              <a:solidFill>
                <a:schemeClr val="accent2">
                  <a:lumMod val="75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7181.15</c:v>
                </c:pt>
                <c:pt idx="1">
                  <c:v>7229.55</c:v>
                </c:pt>
              </c:numCache>
            </c:numRef>
          </c:val>
        </c:ser>
        <c:dLbls>
          <c:showLegendKey val="0"/>
          <c:showVal val="1"/>
          <c:showCatName val="0"/>
          <c:showSerName val="0"/>
          <c:showPercent val="0"/>
          <c:showBubbleSize val="0"/>
        </c:dLbls>
        <c:gapWidth val="219"/>
        <c:overlap val="-27"/>
        <c:axId val="59437056"/>
        <c:axId val="59438592"/>
      </c:barChart>
      <c:catAx>
        <c:axId val="594370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438592"/>
        <c:crosses val="autoZero"/>
        <c:auto val="1"/>
        <c:lblAlgn val="ctr"/>
        <c:lblOffset val="100"/>
        <c:noMultiLvlLbl val="0"/>
      </c:catAx>
      <c:valAx>
        <c:axId val="594385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4370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4020f44-f24f-489c-910c-cf750ca044e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
                </c:pt>
              </c:strCache>
            </c:strRef>
          </c:tx>
          <c:spPr>
            <a:effectLst/>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财政拨款收入</c:v>
                </c:pt>
                <c:pt idx="1">
                  <c:v>政府性基金拨款</c:v>
                </c:pt>
                <c:pt idx="2">
                  <c:v>国营收入</c:v>
                </c:pt>
                <c:pt idx="3">
                  <c:v>上级补助</c:v>
                </c:pt>
                <c:pt idx="4">
                  <c:v>事业收入</c:v>
                </c:pt>
                <c:pt idx="5">
                  <c:v>其他收入</c:v>
                </c:pt>
              </c:strCache>
            </c:strRef>
          </c:cat>
          <c:val>
            <c:numRef>
              <c:f>Sheet1!$B$2:$B$7</c:f>
              <c:numCache>
                <c:formatCode>General</c:formatCode>
                <c:ptCount val="6"/>
                <c:pt idx="0">
                  <c:v>5536.83</c:v>
                </c:pt>
                <c:pt idx="1">
                  <c:v>0</c:v>
                </c:pt>
                <c:pt idx="2">
                  <c:v>0</c:v>
                </c:pt>
                <c:pt idx="3">
                  <c:v>0</c:v>
                </c:pt>
                <c:pt idx="4">
                  <c:v>0</c:v>
                </c:pt>
                <c:pt idx="5">
                  <c:v>1588.4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017064f-eab6-4fd7-8ba7-24123488bec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3877.99</c:v>
                </c:pt>
                <c:pt idx="1">
                  <c:v>3260.68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8ab4367-15d6-4e17-886c-810f3c2b30e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财拨收支</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5961.28</c:v>
                </c:pt>
                <c:pt idx="1">
                  <c:v>5536.83</c:v>
                </c:pt>
              </c:numCache>
            </c:numRef>
          </c:val>
        </c:ser>
        <c:dLbls>
          <c:showLegendKey val="0"/>
          <c:showVal val="0"/>
          <c:showCatName val="0"/>
          <c:showSerName val="0"/>
          <c:showPercent val="0"/>
          <c:showBubbleSize val="0"/>
        </c:dLbls>
        <c:gapWidth val="219"/>
        <c:overlap val="-27"/>
        <c:axId val="64149760"/>
        <c:axId val="64159744"/>
      </c:barChart>
      <c:catAx>
        <c:axId val="6414976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59744"/>
        <c:crosses val="autoZero"/>
        <c:auto val="1"/>
        <c:lblAlgn val="ctr"/>
        <c:lblOffset val="100"/>
        <c:noMultiLvlLbl val="0"/>
      </c:catAx>
      <c:valAx>
        <c:axId val="641597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497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f992fb-53fe-4748-8f1e-5e00d8839e0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Pt>
            <c:idx val="1"/>
            <c:invertIfNegative val="0"/>
            <c:bubble3D val="0"/>
            <c:spPr>
              <a:solidFill>
                <a:schemeClr val="accent2">
                  <a:lumMod val="75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5961.28</c:v>
                </c:pt>
                <c:pt idx="1">
                  <c:v>5536.83</c:v>
                </c:pt>
              </c:numCache>
            </c:numRef>
          </c:val>
        </c:ser>
        <c:dLbls>
          <c:showLegendKey val="0"/>
          <c:showVal val="1"/>
          <c:showCatName val="0"/>
          <c:showSerName val="0"/>
          <c:showPercent val="0"/>
          <c:showBubbleSize val="0"/>
        </c:dLbls>
        <c:gapWidth val="219"/>
        <c:overlap val="-27"/>
        <c:axId val="64188800"/>
        <c:axId val="64190336"/>
      </c:barChart>
      <c:catAx>
        <c:axId val="641888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90336"/>
        <c:crosses val="autoZero"/>
        <c:auto val="1"/>
        <c:lblAlgn val="ctr"/>
        <c:lblOffset val="100"/>
        <c:noMultiLvlLbl val="0"/>
      </c:catAx>
      <c:valAx>
        <c:axId val="641903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888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ae857a4-f8e8-4857-a09a-59fff909535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a:effectLst/>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5045.41</c:v>
                </c:pt>
                <c:pt idx="1">
                  <c:v>185.98</c:v>
                </c:pt>
                <c:pt idx="2">
                  <c:v>102.58</c:v>
                </c:pt>
                <c:pt idx="3">
                  <c:v>202.86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7476fc5-0af2-437e-abfd-302544d1b6b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公务接待费</c:v>
                </c:pt>
                <c:pt idx="1">
                  <c:v>公务用车购置及运行维护费</c:v>
                </c:pt>
                <c:pt idx="2">
                  <c:v>公出国（境）费</c:v>
                </c:pt>
              </c:strCache>
            </c:strRef>
          </c:cat>
          <c:val>
            <c:numRef>
              <c:f>Sheet1!$B$2:$B$4</c:f>
              <c:numCache>
                <c:formatCode>General</c:formatCode>
                <c:ptCount val="3"/>
                <c:pt idx="0">
                  <c:v>0.14</c:v>
                </c:pt>
                <c:pt idx="1">
                  <c:v>178.23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6597af8-de88-49bb-9bc1-61f480b72de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100"/>
    <customShpInfo spid="_x0000_s4099"/>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74</Pages>
  <Words>496</Words>
  <Characters>527</Characters>
  <Lines>34</Lines>
  <Paragraphs>63</Paragraphs>
  <TotalTime>28</TotalTime>
  <ScaleCrop>false</ScaleCrop>
  <LinksUpToDate>false</LinksUpToDate>
  <CharactersWithSpaces>619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HUAWEI</cp:lastModifiedBy>
  <cp:lastPrinted>2023-08-25T03:15:00Z</cp:lastPrinted>
  <dcterms:modified xsi:type="dcterms:W3CDTF">2025-06-30T08:58:52Z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7624E2A48A0C4C7CB0349C308C72438F_12</vt:lpwstr>
  </property>
  <property fmtid="{D5CDD505-2E9C-101B-9397-08002B2CF9AE}" pid="4" name="KSOTemplateDocerSaveRecord">
    <vt:lpwstr>eyJoZGlkIjoiNDg0NzAyNWJkYjYwYmJlZGU2YTRiY2ZkMmY2YjAxZGYifQ==</vt:lpwstr>
  </property>
</Properties>
</file>