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52198">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bookmarkStart w:id="278" w:name="_GoBack"/>
      <w:bookmarkEnd w:id="278"/>
    </w:p>
    <w:p w14:paraId="7562FE0D">
      <w:pPr>
        <w:spacing w:line="600" w:lineRule="exact"/>
        <w:jc w:val="center"/>
        <w:outlineLvl w:val="0"/>
        <w:rPr>
          <w:rFonts w:ascii="方正小标宋简体" w:hAnsi="宋体" w:eastAsia="方正小标宋简体"/>
          <w:color w:val="auto"/>
          <w:sz w:val="72"/>
          <w:szCs w:val="72"/>
          <w:highlight w:val="none"/>
        </w:rPr>
      </w:pPr>
    </w:p>
    <w:p w14:paraId="0D8444BE">
      <w:pPr>
        <w:spacing w:line="600" w:lineRule="exact"/>
        <w:jc w:val="center"/>
        <w:outlineLvl w:val="0"/>
        <w:rPr>
          <w:rFonts w:ascii="方正小标宋简体" w:hAnsi="宋体" w:eastAsia="方正小标宋简体"/>
          <w:color w:val="auto"/>
          <w:sz w:val="72"/>
          <w:szCs w:val="72"/>
          <w:highlight w:val="none"/>
        </w:rPr>
      </w:pPr>
    </w:p>
    <w:p w14:paraId="39830630">
      <w:pPr>
        <w:spacing w:line="600" w:lineRule="exact"/>
        <w:jc w:val="center"/>
        <w:outlineLvl w:val="0"/>
        <w:rPr>
          <w:rFonts w:ascii="方正小标宋简体" w:hAnsi="宋体" w:eastAsia="方正小标宋简体"/>
          <w:color w:val="auto"/>
          <w:sz w:val="72"/>
          <w:szCs w:val="72"/>
          <w:highlight w:val="none"/>
        </w:rPr>
      </w:pPr>
    </w:p>
    <w:p w14:paraId="2D0113E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3455"/>
      <w:bookmarkStart w:id="2" w:name="_Toc15396597"/>
      <w:bookmarkStart w:id="3" w:name="_Toc31933"/>
      <w:bookmarkStart w:id="4" w:name="_Toc15377193"/>
      <w:bookmarkStart w:id="5" w:name="_Toc17451"/>
      <w:bookmarkStart w:id="6" w:name="_Toc2060"/>
      <w:bookmarkStart w:id="7" w:name="_Toc15377425"/>
      <w:bookmarkStart w:id="8" w:name="_Toc15378441"/>
      <w:bookmarkStart w:id="9" w:name="_Toc17848"/>
      <w:bookmarkStart w:id="10" w:name="_Toc15396475"/>
      <w:bookmarkStart w:id="11" w:name="_Toc1710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bookmarkEnd w:id="9"/>
      <w:bookmarkEnd w:id="10"/>
      <w:bookmarkEnd w:id="11"/>
    </w:p>
    <w:p w14:paraId="73357B5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2" w:name="_Toc29459"/>
      <w:bookmarkStart w:id="13" w:name="_Toc15396476"/>
      <w:bookmarkStart w:id="14" w:name="_Toc15396598"/>
      <w:bookmarkStart w:id="15" w:name="_Toc6645"/>
      <w:bookmarkStart w:id="16" w:name="_Toc15378442"/>
      <w:bookmarkStart w:id="17" w:name="_Toc17884"/>
      <w:bookmarkStart w:id="18" w:name="_Toc27328"/>
      <w:bookmarkStart w:id="19" w:name="_Toc6151"/>
      <w:bookmarkStart w:id="20" w:name="_Toc15377194"/>
      <w:bookmarkStart w:id="21" w:name="_Toc12455"/>
      <w:bookmarkStart w:id="22" w:name="_Toc15377426"/>
      <w:r>
        <w:rPr>
          <w:rFonts w:hint="eastAsia" w:ascii="方正小标宋简体" w:hAnsi="方正小标宋简体" w:eastAsia="方正小标宋简体" w:cs="方正小标宋简体"/>
          <w:color w:val="auto"/>
          <w:sz w:val="72"/>
          <w:szCs w:val="72"/>
          <w:highlight w:val="none"/>
        </w:rPr>
        <w:t>四川省</w:t>
      </w:r>
      <w:bookmarkEnd w:id="0"/>
      <w:bookmarkStart w:id="23" w:name="_Toc15306268"/>
      <w:r>
        <w:rPr>
          <w:rFonts w:hint="eastAsia" w:ascii="方正小标宋简体" w:hAnsi="方正小标宋简体" w:eastAsia="方正小标宋简体" w:cs="方正小标宋简体"/>
          <w:color w:val="auto"/>
          <w:sz w:val="72"/>
          <w:szCs w:val="72"/>
          <w:highlight w:val="none"/>
        </w:rPr>
        <w:t>遂宁市公安局河东新区分局</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2"/>
      <w:bookmarkEnd w:id="13"/>
      <w:bookmarkEnd w:id="14"/>
      <w:bookmarkEnd w:id="15"/>
      <w:bookmarkEnd w:id="16"/>
      <w:bookmarkEnd w:id="17"/>
      <w:bookmarkEnd w:id="18"/>
      <w:bookmarkEnd w:id="19"/>
      <w:bookmarkEnd w:id="20"/>
      <w:bookmarkEnd w:id="21"/>
      <w:bookmarkEnd w:id="22"/>
      <w:bookmarkEnd w:id="23"/>
    </w:p>
    <w:p w14:paraId="061936BF">
      <w:pPr>
        <w:adjustRightInd w:val="0"/>
        <w:snapToGrid w:val="0"/>
        <w:spacing w:line="360" w:lineRule="auto"/>
        <w:jc w:val="center"/>
        <w:outlineLvl w:val="0"/>
        <w:rPr>
          <w:rFonts w:ascii="方正小标宋简体" w:hAnsi="宋体" w:eastAsia="方正小标宋简体"/>
          <w:color w:val="auto"/>
          <w:sz w:val="52"/>
          <w:szCs w:val="52"/>
          <w:highlight w:val="none"/>
        </w:rPr>
      </w:pPr>
    </w:p>
    <w:p w14:paraId="5EC857F6">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0BC8CFE8">
      <w:pPr>
        <w:widowControl/>
        <w:jc w:val="center"/>
        <w:rPr>
          <w:rFonts w:ascii="黑体" w:hAnsi="黑体" w:eastAsia="黑体" w:cstheme="minorBidi"/>
          <w:color w:val="auto"/>
          <w:sz w:val="36"/>
          <w:szCs w:val="36"/>
          <w:highlight w:val="none"/>
        </w:rPr>
      </w:pPr>
      <w:bookmarkStart w:id="24" w:name="_Toc15377196"/>
      <w:bookmarkStart w:id="25" w:name="_Toc15396599"/>
      <w:r>
        <w:rPr>
          <w:rFonts w:hint="eastAsia" w:ascii="黑体" w:hAnsi="黑体" w:eastAsia="黑体"/>
          <w:color w:val="auto"/>
          <w:sz w:val="56"/>
          <w:szCs w:val="56"/>
          <w:highlight w:val="none"/>
        </w:rPr>
        <w:t>目</w:t>
      </w:r>
      <w:r>
        <w:rPr>
          <w:rFonts w:hint="eastAsia" w:ascii="黑体" w:hAnsi="黑体" w:eastAsia="黑体"/>
          <w:color w:val="auto"/>
          <w:sz w:val="56"/>
          <w:szCs w:val="56"/>
          <w:highlight w:val="none"/>
          <w:lang w:val="en-US" w:eastAsia="zh-CN"/>
        </w:rPr>
        <w:t xml:space="preserve"> </w:t>
      </w:r>
      <w:r>
        <w:rPr>
          <w:rFonts w:hint="eastAsia" w:ascii="黑体" w:hAnsi="黑体" w:eastAsia="黑体"/>
          <w:color w:val="auto"/>
          <w:sz w:val="56"/>
          <w:szCs w:val="56"/>
          <w:highlight w:val="none"/>
        </w:rPr>
        <w:t>录</w:t>
      </w:r>
    </w:p>
    <w:p w14:paraId="1F649D61">
      <w:pPr>
        <w:tabs>
          <w:tab w:val="right" w:leader="dot" w:pos="8296"/>
        </w:tabs>
        <w:jc w:val="center"/>
        <w:rPr>
          <w:rFonts w:ascii="Times New Roman" w:hAnsi="Times New Roman" w:eastAsia="宋体" w:cs="Times New Roman"/>
          <w:kern w:val="2"/>
          <w:sz w:val="21"/>
          <w:szCs w:val="24"/>
          <w:lang w:val="en-US" w:eastAsia="zh-CN" w:bidi="ar-SA"/>
        </w:rPr>
      </w:pPr>
      <w:r>
        <w:rPr>
          <w:rFonts w:hint="eastAsia"/>
          <w:color w:val="auto"/>
          <w:sz w:val="22"/>
          <w:szCs w:val="28"/>
          <w:highlight w:val="none"/>
        </w:rPr>
        <w:t>公开时间：20</w:t>
      </w:r>
      <w:r>
        <w:rPr>
          <w:rFonts w:hint="eastAsia"/>
          <w:color w:val="auto"/>
          <w:sz w:val="22"/>
          <w:szCs w:val="28"/>
          <w:highlight w:val="none"/>
          <w:lang w:val="en-US" w:eastAsia="zh-CN"/>
        </w:rPr>
        <w:t>22</w:t>
      </w:r>
      <w:r>
        <w:rPr>
          <w:rFonts w:hint="eastAsia"/>
          <w:color w:val="auto"/>
          <w:sz w:val="22"/>
          <w:szCs w:val="28"/>
          <w:highlight w:val="none"/>
        </w:rPr>
        <w:t>年</w:t>
      </w:r>
      <w:r>
        <w:rPr>
          <w:rFonts w:hint="eastAsia"/>
          <w:color w:val="auto"/>
          <w:sz w:val="22"/>
          <w:szCs w:val="28"/>
          <w:highlight w:val="none"/>
          <w:lang w:val="en-US" w:eastAsia="zh-CN"/>
        </w:rPr>
        <w:t>9</w:t>
      </w:r>
      <w:r>
        <w:rPr>
          <w:rFonts w:hint="eastAsia"/>
          <w:color w:val="auto"/>
          <w:sz w:val="22"/>
          <w:szCs w:val="28"/>
          <w:highlight w:val="none"/>
        </w:rPr>
        <w:t>月</w:t>
      </w:r>
      <w:r>
        <w:rPr>
          <w:rFonts w:hint="eastAsia"/>
          <w:color w:val="auto"/>
          <w:sz w:val="22"/>
          <w:szCs w:val="28"/>
          <w:highlight w:val="none"/>
          <w:lang w:val="en-US" w:eastAsia="zh-CN"/>
        </w:rPr>
        <w:t>2</w:t>
      </w:r>
      <w:r>
        <w:rPr>
          <w:rFonts w:hint="eastAsia"/>
          <w:color w:val="auto"/>
          <w:sz w:val="22"/>
          <w:szCs w:val="28"/>
          <w:highlight w:val="none"/>
        </w:rPr>
        <w:t>日</w:t>
      </w:r>
      <w:r>
        <w:fldChar w:fldCharType="begin"/>
      </w:r>
      <w:r>
        <w:instrText xml:space="preserve">TOC \o "1-2" \u </w:instrText>
      </w:r>
      <w:r>
        <w:fldChar w:fldCharType="separate"/>
      </w:r>
    </w:p>
    <w:p w14:paraId="71635A3C">
      <w:pPr>
        <w:pStyle w:val="11"/>
        <w:tabs>
          <w:tab w:val="right" w:leader="dot" w:pos="8306"/>
          <w:tab w:val="clear" w:pos="8296"/>
        </w:tabs>
        <w:rPr>
          <w:rFonts w:hint="eastAsia" w:asciiTheme="minorEastAsia" w:hAnsiTheme="minorEastAsia" w:eastAsiaTheme="minorEastAsia" w:cstheme="minorEastAsia"/>
          <w:b/>
          <w:bCs/>
          <w:sz w:val="30"/>
          <w:szCs w:val="30"/>
          <w:lang w:val="en-US" w:eastAsia="zh-CN" w:bidi="ar-SA"/>
        </w:rPr>
      </w:pPr>
      <w:r>
        <w:rPr>
          <w:rFonts w:hint="eastAsia" w:asciiTheme="minorEastAsia" w:hAnsiTheme="minorEastAsia" w:eastAsiaTheme="minorEastAsia" w:cstheme="minorEastAsia"/>
          <w:b/>
          <w:bCs/>
          <w:sz w:val="30"/>
          <w:szCs w:val="30"/>
          <w:lang w:val="en-US" w:eastAsia="zh-CN" w:bidi="ar-SA"/>
        </w:rPr>
        <w:t>第一部分 单位概况</w:t>
      </w:r>
      <w:r>
        <w:rPr>
          <w:rFonts w:hint="eastAsia" w:asciiTheme="minorEastAsia" w:hAnsiTheme="minorEastAsia" w:eastAsiaTheme="minorEastAsia" w:cstheme="minorEastAsia"/>
          <w:b/>
          <w:bCs/>
          <w:sz w:val="30"/>
          <w:szCs w:val="30"/>
          <w:lang w:val="en-US" w:eastAsia="zh-CN" w:bidi="ar-SA"/>
        </w:rPr>
        <w:tab/>
      </w:r>
      <w:r>
        <w:rPr>
          <w:rFonts w:hint="eastAsia" w:asciiTheme="minorEastAsia" w:hAnsiTheme="minorEastAsia" w:eastAsiaTheme="minorEastAsia" w:cstheme="minorEastAsia"/>
          <w:b/>
          <w:bCs/>
          <w:sz w:val="30"/>
          <w:szCs w:val="30"/>
          <w:lang w:val="en-US" w:eastAsia="zh-CN" w:bidi="ar-SA"/>
        </w:rPr>
        <w:fldChar w:fldCharType="begin"/>
      </w:r>
      <w:r>
        <w:rPr>
          <w:rFonts w:hint="eastAsia" w:asciiTheme="minorEastAsia" w:hAnsiTheme="minorEastAsia" w:eastAsiaTheme="minorEastAsia" w:cstheme="minorEastAsia"/>
          <w:b/>
          <w:bCs/>
          <w:sz w:val="30"/>
          <w:szCs w:val="30"/>
          <w:lang w:val="en-US" w:eastAsia="zh-CN" w:bidi="ar-SA"/>
        </w:rPr>
        <w:instrText xml:space="preserve"> PAGEREF _Toc2995 \h </w:instrText>
      </w:r>
      <w:r>
        <w:rPr>
          <w:rFonts w:hint="eastAsia" w:asciiTheme="minorEastAsia" w:hAnsiTheme="minorEastAsia" w:eastAsiaTheme="minorEastAsia" w:cstheme="minorEastAsia"/>
          <w:b/>
          <w:bCs/>
          <w:sz w:val="30"/>
          <w:szCs w:val="30"/>
          <w:lang w:val="en-US" w:eastAsia="zh-CN" w:bidi="ar-SA"/>
        </w:rPr>
        <w:fldChar w:fldCharType="separate"/>
      </w:r>
      <w:r>
        <w:rPr>
          <w:rFonts w:hint="eastAsia" w:asciiTheme="minorEastAsia" w:hAnsiTheme="minorEastAsia" w:eastAsiaTheme="minorEastAsia" w:cstheme="minorEastAsia"/>
          <w:b/>
          <w:bCs/>
          <w:sz w:val="30"/>
          <w:szCs w:val="30"/>
          <w:lang w:val="en-US" w:eastAsia="zh-CN" w:bidi="ar-SA"/>
        </w:rPr>
        <w:t>1</w:t>
      </w:r>
      <w:r>
        <w:rPr>
          <w:rFonts w:hint="eastAsia" w:asciiTheme="minorEastAsia" w:hAnsiTheme="minorEastAsia" w:eastAsiaTheme="minorEastAsia" w:cstheme="minorEastAsia"/>
          <w:b/>
          <w:bCs/>
          <w:sz w:val="30"/>
          <w:szCs w:val="30"/>
          <w:lang w:val="en-US" w:eastAsia="zh-CN" w:bidi="ar-SA"/>
        </w:rPr>
        <w:fldChar w:fldCharType="end"/>
      </w:r>
    </w:p>
    <w:p w14:paraId="20462A53">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一、职能简介</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_Toc19927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1</w:t>
      </w:r>
      <w:r>
        <w:rPr>
          <w:rFonts w:hint="eastAsia" w:eastAsia="仿宋" w:asciiTheme="minorEastAsia" w:hAnsiTheme="minorEastAsia" w:cstheme="minorEastAsia"/>
          <w:kern w:val="2"/>
          <w:sz w:val="30"/>
          <w:szCs w:val="30"/>
          <w:lang w:val="en-US" w:eastAsia="zh-CN" w:bidi="ar-SA"/>
        </w:rPr>
        <w:fldChar w:fldCharType="end"/>
      </w:r>
    </w:p>
    <w:p w14:paraId="04708302">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二、2021年重点工作完成情况</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_Toc2769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w:t>
      </w:r>
      <w:r>
        <w:rPr>
          <w:rFonts w:hint="eastAsia" w:eastAsia="仿宋" w:asciiTheme="minorEastAsia" w:hAnsiTheme="minorEastAsia" w:cstheme="minorEastAsia"/>
          <w:kern w:val="2"/>
          <w:sz w:val="30"/>
          <w:szCs w:val="30"/>
          <w:lang w:val="en-US" w:eastAsia="zh-CN" w:bidi="ar-SA"/>
        </w:rPr>
        <w:fldChar w:fldCharType="end"/>
      </w:r>
    </w:p>
    <w:p w14:paraId="68FB73FD">
      <w:pPr>
        <w:pStyle w:val="11"/>
        <w:tabs>
          <w:tab w:val="right" w:leader="dot" w:pos="8306"/>
          <w:tab w:val="clear" w:pos="8296"/>
        </w:tabs>
        <w:rPr>
          <w:rFonts w:hint="eastAsia" w:asciiTheme="minorEastAsia" w:hAnsiTheme="minorEastAsia" w:eastAsiaTheme="minorEastAsia" w:cstheme="minorEastAsia"/>
          <w:b/>
          <w:bCs/>
          <w:sz w:val="30"/>
          <w:szCs w:val="30"/>
          <w:lang w:val="en-US" w:eastAsia="zh-CN" w:bidi="ar-SA"/>
        </w:rPr>
      </w:pPr>
      <w:r>
        <w:rPr>
          <w:rFonts w:hint="eastAsia" w:asciiTheme="minorEastAsia" w:hAnsiTheme="minorEastAsia" w:eastAsiaTheme="minorEastAsia" w:cstheme="minorEastAsia"/>
          <w:b/>
          <w:bCs/>
          <w:sz w:val="30"/>
          <w:szCs w:val="30"/>
          <w:lang w:val="en-US" w:eastAsia="zh-CN" w:bidi="ar-SA"/>
        </w:rPr>
        <w:t>第二部分 2021年度单位决算情况说明</w:t>
      </w:r>
      <w:r>
        <w:rPr>
          <w:rFonts w:hint="eastAsia" w:asciiTheme="minorEastAsia" w:hAnsiTheme="minorEastAsia" w:eastAsiaTheme="minorEastAsia" w:cstheme="minorEastAsia"/>
          <w:b/>
          <w:bCs/>
          <w:sz w:val="30"/>
          <w:szCs w:val="30"/>
          <w:lang w:val="en-US" w:eastAsia="zh-CN" w:bidi="ar-SA"/>
        </w:rPr>
        <w:tab/>
      </w:r>
      <w:r>
        <w:rPr>
          <w:rFonts w:hint="eastAsia" w:asciiTheme="minorEastAsia" w:hAnsiTheme="minorEastAsia" w:eastAsiaTheme="minorEastAsia" w:cstheme="minorEastAsia"/>
          <w:b/>
          <w:bCs/>
          <w:sz w:val="30"/>
          <w:szCs w:val="30"/>
          <w:lang w:val="en-US" w:eastAsia="zh-CN" w:bidi="ar-SA"/>
        </w:rPr>
        <w:fldChar w:fldCharType="begin"/>
      </w:r>
      <w:r>
        <w:rPr>
          <w:rFonts w:hint="eastAsia" w:asciiTheme="minorEastAsia" w:hAnsiTheme="minorEastAsia" w:eastAsiaTheme="minorEastAsia" w:cstheme="minorEastAsia"/>
          <w:b/>
          <w:bCs/>
          <w:sz w:val="30"/>
          <w:szCs w:val="30"/>
          <w:lang w:val="en-US" w:eastAsia="zh-CN" w:bidi="ar-SA"/>
        </w:rPr>
        <w:instrText xml:space="preserve"> PAGEREF _Toc4961 \h </w:instrText>
      </w:r>
      <w:r>
        <w:rPr>
          <w:rFonts w:hint="eastAsia" w:asciiTheme="minorEastAsia" w:hAnsiTheme="minorEastAsia" w:eastAsiaTheme="minorEastAsia" w:cstheme="minorEastAsia"/>
          <w:b/>
          <w:bCs/>
          <w:sz w:val="30"/>
          <w:szCs w:val="30"/>
          <w:lang w:val="en-US" w:eastAsia="zh-CN" w:bidi="ar-SA"/>
        </w:rPr>
        <w:fldChar w:fldCharType="separate"/>
      </w:r>
      <w:r>
        <w:rPr>
          <w:rFonts w:hint="eastAsia" w:asciiTheme="minorEastAsia" w:hAnsiTheme="minorEastAsia" w:eastAsiaTheme="minorEastAsia" w:cstheme="minorEastAsia"/>
          <w:b/>
          <w:bCs/>
          <w:sz w:val="30"/>
          <w:szCs w:val="30"/>
          <w:lang w:val="en-US" w:eastAsia="zh-CN" w:bidi="ar-SA"/>
        </w:rPr>
        <w:t>6</w:t>
      </w:r>
      <w:r>
        <w:rPr>
          <w:rFonts w:hint="eastAsia" w:asciiTheme="minorEastAsia" w:hAnsiTheme="minorEastAsia" w:eastAsiaTheme="minorEastAsia" w:cstheme="minorEastAsia"/>
          <w:b/>
          <w:bCs/>
          <w:sz w:val="30"/>
          <w:szCs w:val="30"/>
          <w:lang w:val="en-US" w:eastAsia="zh-CN" w:bidi="ar-SA"/>
        </w:rPr>
        <w:fldChar w:fldCharType="end"/>
      </w:r>
    </w:p>
    <w:p w14:paraId="57C3B7A8">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default" w:asciiTheme="minorEastAsia" w:hAnsiTheme="minorEastAsia" w:eastAsiaTheme="minorEastAsia" w:cstheme="minorEastAsia"/>
          <w:sz w:val="30"/>
          <w:szCs w:val="30"/>
          <w:lang w:val="en-US" w:eastAsia="zh-CN" w:bidi="ar-SA"/>
        </w:rPr>
        <w:t xml:space="preserve">一、 </w:t>
      </w:r>
      <w:r>
        <w:rPr>
          <w:rFonts w:hint="eastAsia" w:asciiTheme="minorEastAsia" w:hAnsiTheme="minorEastAsia" w:eastAsiaTheme="minorEastAsia" w:cstheme="minorEastAsia"/>
          <w:sz w:val="30"/>
          <w:szCs w:val="30"/>
          <w:lang w:val="en-US" w:eastAsia="zh-CN" w:bidi="ar-SA"/>
        </w:rPr>
        <w:t>收入支出决算总体情况说明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_Toc7725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6</w:t>
      </w:r>
      <w:r>
        <w:rPr>
          <w:rFonts w:hint="eastAsia" w:asciiTheme="minorEastAsia" w:hAnsiTheme="minorEastAsia" w:eastAsiaTheme="minorEastAsia" w:cstheme="minorEastAsia"/>
          <w:sz w:val="30"/>
          <w:szCs w:val="30"/>
          <w:lang w:val="en-US" w:eastAsia="zh-CN" w:bidi="ar-SA"/>
        </w:rPr>
        <w:fldChar w:fldCharType="end"/>
      </w:r>
    </w:p>
    <w:p w14:paraId="4A3F697E">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default" w:asciiTheme="minorEastAsia" w:hAnsiTheme="minorEastAsia" w:eastAsiaTheme="minorEastAsia" w:cstheme="minorEastAsia"/>
          <w:sz w:val="30"/>
          <w:szCs w:val="30"/>
          <w:lang w:val="en-US" w:eastAsia="zh-CN" w:bidi="ar-SA"/>
        </w:rPr>
        <w:t xml:space="preserve">二、 </w:t>
      </w:r>
      <w:r>
        <w:rPr>
          <w:rFonts w:hint="eastAsia" w:asciiTheme="minorEastAsia" w:hAnsiTheme="minorEastAsia" w:eastAsiaTheme="minorEastAsia" w:cstheme="minorEastAsia"/>
          <w:sz w:val="30"/>
          <w:szCs w:val="30"/>
          <w:lang w:val="en-US" w:eastAsia="zh-CN" w:bidi="ar-SA"/>
        </w:rPr>
        <w:t>收入决算情况说明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_Toc10116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6</w:t>
      </w:r>
      <w:r>
        <w:rPr>
          <w:rFonts w:hint="eastAsia" w:asciiTheme="minorEastAsia" w:hAnsiTheme="minorEastAsia" w:eastAsiaTheme="minorEastAsia" w:cstheme="minorEastAsia"/>
          <w:sz w:val="30"/>
          <w:szCs w:val="30"/>
          <w:lang w:val="en-US" w:eastAsia="zh-CN" w:bidi="ar-SA"/>
        </w:rPr>
        <w:fldChar w:fldCharType="end"/>
      </w:r>
    </w:p>
    <w:p w14:paraId="70CF4B82">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default" w:asciiTheme="minorEastAsia" w:hAnsiTheme="minorEastAsia" w:eastAsiaTheme="minorEastAsia" w:cstheme="minorEastAsia"/>
          <w:sz w:val="30"/>
          <w:szCs w:val="30"/>
          <w:lang w:val="en-US" w:eastAsia="zh-CN" w:bidi="ar-SA"/>
        </w:rPr>
        <w:t xml:space="preserve">三、 </w:t>
      </w:r>
      <w:r>
        <w:rPr>
          <w:rFonts w:hint="eastAsia" w:asciiTheme="minorEastAsia" w:hAnsiTheme="minorEastAsia" w:eastAsiaTheme="minorEastAsia" w:cstheme="minorEastAsia"/>
          <w:sz w:val="30"/>
          <w:szCs w:val="30"/>
          <w:lang w:val="en-US" w:eastAsia="zh-CN" w:bidi="ar-SA"/>
        </w:rPr>
        <w:t>支出决算情况说明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_Toc15891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7</w:t>
      </w:r>
      <w:r>
        <w:rPr>
          <w:rFonts w:hint="eastAsia" w:asciiTheme="minorEastAsia" w:hAnsiTheme="minorEastAsia" w:eastAsiaTheme="minorEastAsia" w:cstheme="minorEastAsia"/>
          <w:sz w:val="30"/>
          <w:szCs w:val="30"/>
          <w:lang w:val="en-US" w:eastAsia="zh-CN" w:bidi="ar-SA"/>
        </w:rPr>
        <w:fldChar w:fldCharType="end"/>
      </w:r>
    </w:p>
    <w:p w14:paraId="6DCE8252">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eastAsia" w:asciiTheme="minorEastAsia" w:hAnsiTheme="minorEastAsia" w:eastAsiaTheme="minorEastAsia" w:cstheme="minorEastAsia"/>
          <w:sz w:val="30"/>
          <w:szCs w:val="30"/>
          <w:lang w:val="en-US" w:eastAsia="zh-CN" w:bidi="ar-SA"/>
        </w:rPr>
        <w:t>四、财政拨款收入支出决算总体情况说明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_Toc1365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7</w:t>
      </w:r>
      <w:r>
        <w:rPr>
          <w:rFonts w:hint="eastAsia" w:asciiTheme="minorEastAsia" w:hAnsiTheme="minorEastAsia" w:eastAsiaTheme="minorEastAsia" w:cstheme="minorEastAsia"/>
          <w:sz w:val="30"/>
          <w:szCs w:val="30"/>
          <w:lang w:val="en-US" w:eastAsia="zh-CN" w:bidi="ar-SA"/>
        </w:rPr>
        <w:fldChar w:fldCharType="end"/>
      </w:r>
    </w:p>
    <w:p w14:paraId="1191AE53">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eastAsia" w:asciiTheme="minorEastAsia" w:hAnsiTheme="minorEastAsia" w:eastAsiaTheme="minorEastAsia" w:cstheme="minorEastAsia"/>
          <w:sz w:val="30"/>
          <w:szCs w:val="30"/>
          <w:lang w:val="en-US" w:eastAsia="zh-CN" w:bidi="ar-SA"/>
        </w:rPr>
        <w:t>五、一般公共预算财政拨款支出决算情况说明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_Toc11857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8</w:t>
      </w:r>
      <w:r>
        <w:rPr>
          <w:rFonts w:hint="eastAsia" w:asciiTheme="minorEastAsia" w:hAnsiTheme="minorEastAsia" w:eastAsiaTheme="minorEastAsia" w:cstheme="minorEastAsia"/>
          <w:sz w:val="30"/>
          <w:szCs w:val="30"/>
          <w:lang w:val="en-US" w:eastAsia="zh-CN" w:bidi="ar-SA"/>
        </w:rPr>
        <w:fldChar w:fldCharType="end"/>
      </w:r>
    </w:p>
    <w:p w14:paraId="4834883C">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eastAsia" w:asciiTheme="minorEastAsia" w:hAnsiTheme="minorEastAsia" w:eastAsiaTheme="minorEastAsia" w:cstheme="minorEastAsia"/>
          <w:sz w:val="30"/>
          <w:szCs w:val="30"/>
          <w:lang w:val="en-US" w:eastAsia="zh-CN" w:bidi="ar-SA"/>
        </w:rPr>
        <w:t>六、一般公共预算财政拨款基本支出决算情况说明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_Toc31092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10</w:t>
      </w:r>
      <w:r>
        <w:rPr>
          <w:rFonts w:hint="eastAsia" w:asciiTheme="minorEastAsia" w:hAnsiTheme="minorEastAsia" w:eastAsiaTheme="minorEastAsia" w:cstheme="minorEastAsia"/>
          <w:sz w:val="30"/>
          <w:szCs w:val="30"/>
          <w:lang w:val="en-US" w:eastAsia="zh-CN" w:bidi="ar-SA"/>
        </w:rPr>
        <w:fldChar w:fldCharType="end"/>
      </w:r>
    </w:p>
    <w:p w14:paraId="0BCE8E22">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eastAsia" w:asciiTheme="minorEastAsia" w:hAnsiTheme="minorEastAsia" w:eastAsiaTheme="minorEastAsia" w:cstheme="minorEastAsia"/>
          <w:sz w:val="30"/>
          <w:szCs w:val="30"/>
          <w:lang w:val="en-US" w:eastAsia="zh-CN" w:bidi="ar-SA"/>
        </w:rPr>
        <w:t>七、“三公”经费财政拨款支出决算情况说明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_Toc28344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11</w:t>
      </w:r>
      <w:r>
        <w:rPr>
          <w:rFonts w:hint="eastAsia" w:asciiTheme="minorEastAsia" w:hAnsiTheme="minorEastAsia" w:eastAsiaTheme="minorEastAsia" w:cstheme="minorEastAsia"/>
          <w:sz w:val="30"/>
          <w:szCs w:val="30"/>
          <w:lang w:val="en-US" w:eastAsia="zh-CN" w:bidi="ar-SA"/>
        </w:rPr>
        <w:fldChar w:fldCharType="end"/>
      </w:r>
    </w:p>
    <w:p w14:paraId="1CA4D120">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eastAsia" w:asciiTheme="minorEastAsia" w:hAnsiTheme="minorEastAsia" w:eastAsiaTheme="minorEastAsia" w:cstheme="minorEastAsia"/>
          <w:sz w:val="30"/>
          <w:szCs w:val="30"/>
          <w:lang w:val="en-US" w:eastAsia="zh-CN" w:bidi="ar-SA"/>
        </w:rPr>
        <w:t>九、 国有资本经营预算支出决算情况说明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_Toc20494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12</w:t>
      </w:r>
      <w:r>
        <w:rPr>
          <w:rFonts w:hint="eastAsia" w:asciiTheme="minorEastAsia" w:hAnsiTheme="minorEastAsia" w:eastAsiaTheme="minorEastAsia" w:cstheme="minorEastAsia"/>
          <w:sz w:val="30"/>
          <w:szCs w:val="30"/>
          <w:lang w:val="en-US" w:eastAsia="zh-CN" w:bidi="ar-SA"/>
        </w:rPr>
        <w:fldChar w:fldCharType="end"/>
      </w:r>
    </w:p>
    <w:p w14:paraId="2F19B6A8">
      <w:pPr>
        <w:pStyle w:val="12"/>
        <w:tabs>
          <w:tab w:val="right" w:leader="dot" w:pos="8306"/>
          <w:tab w:val="clear" w:pos="8296"/>
        </w:tabs>
        <w:rPr>
          <w:rFonts w:hint="eastAsia" w:asciiTheme="minorEastAsia" w:hAnsiTheme="minorEastAsia" w:eastAsiaTheme="minorEastAsia" w:cstheme="minorEastAsia"/>
          <w:sz w:val="30"/>
          <w:szCs w:val="30"/>
          <w:lang w:val="en-US" w:eastAsia="zh-CN" w:bidi="ar-SA"/>
        </w:rPr>
      </w:pPr>
      <w:r>
        <w:rPr>
          <w:rFonts w:hint="eastAsia" w:asciiTheme="minorEastAsia" w:hAnsiTheme="minorEastAsia" w:eastAsiaTheme="minorEastAsia" w:cstheme="minorEastAsia"/>
          <w:sz w:val="30"/>
          <w:szCs w:val="30"/>
          <w:lang w:val="en-US" w:eastAsia="zh-CN" w:bidi="ar-SA"/>
        </w:rPr>
        <w:t>十、 其他重要事项的情况说明</w:t>
      </w:r>
      <w:r>
        <w:rPr>
          <w:rFonts w:hint="eastAsia" w:asciiTheme="minorEastAsia" w:hAnsiTheme="minorEastAsia" w:eastAsiaTheme="minorEastAsia" w:cstheme="minorEastAsia"/>
          <w:sz w:val="30"/>
          <w:szCs w:val="30"/>
          <w:lang w:val="en-US" w:eastAsia="zh-CN" w:bidi="ar-SA"/>
        </w:rPr>
        <w:tab/>
      </w:r>
      <w:r>
        <w:rPr>
          <w:rFonts w:hint="eastAsia" w:asciiTheme="minorEastAsia" w:hAnsiTheme="minorEastAsia" w:eastAsiaTheme="minorEastAsia" w:cstheme="minorEastAsia"/>
          <w:sz w:val="30"/>
          <w:szCs w:val="30"/>
          <w:lang w:val="en-US" w:eastAsia="zh-CN" w:bidi="ar-SA"/>
        </w:rPr>
        <w:fldChar w:fldCharType="begin"/>
      </w:r>
      <w:r>
        <w:rPr>
          <w:rFonts w:hint="eastAsia" w:asciiTheme="minorEastAsia" w:hAnsiTheme="minorEastAsia" w:eastAsiaTheme="minorEastAsia" w:cstheme="minorEastAsia"/>
          <w:sz w:val="30"/>
          <w:szCs w:val="30"/>
          <w:lang w:val="en-US" w:eastAsia="zh-CN" w:bidi="ar-SA"/>
        </w:rPr>
        <w:instrText xml:space="preserve"> PAGEREF _Toc22808 \h </w:instrText>
      </w:r>
      <w:r>
        <w:rPr>
          <w:rFonts w:hint="eastAsia" w:asciiTheme="minorEastAsia" w:hAnsiTheme="minorEastAsia" w:eastAsiaTheme="minorEastAsia" w:cstheme="minorEastAsia"/>
          <w:sz w:val="30"/>
          <w:szCs w:val="30"/>
          <w:lang w:val="en-US" w:eastAsia="zh-CN" w:bidi="ar-SA"/>
        </w:rPr>
        <w:fldChar w:fldCharType="separate"/>
      </w:r>
      <w:r>
        <w:rPr>
          <w:rFonts w:hint="eastAsia" w:asciiTheme="minorEastAsia" w:hAnsiTheme="minorEastAsia" w:eastAsiaTheme="minorEastAsia" w:cstheme="minorEastAsia"/>
          <w:sz w:val="30"/>
          <w:szCs w:val="30"/>
          <w:lang w:val="en-US" w:eastAsia="zh-CN" w:bidi="ar-SA"/>
        </w:rPr>
        <w:t>12</w:t>
      </w:r>
      <w:r>
        <w:rPr>
          <w:rFonts w:hint="eastAsia" w:asciiTheme="minorEastAsia" w:hAnsiTheme="minorEastAsia" w:eastAsiaTheme="minorEastAsia" w:cstheme="minorEastAsia"/>
          <w:sz w:val="30"/>
          <w:szCs w:val="30"/>
          <w:lang w:val="en-US" w:eastAsia="zh-CN" w:bidi="ar-SA"/>
        </w:rPr>
        <w:fldChar w:fldCharType="end"/>
      </w:r>
    </w:p>
    <w:p w14:paraId="0A07094A">
      <w:pPr>
        <w:pStyle w:val="11"/>
        <w:tabs>
          <w:tab w:val="right" w:leader="dot" w:pos="8306"/>
          <w:tab w:val="clear" w:pos="8296"/>
        </w:tabs>
        <w:rPr>
          <w:rFonts w:hint="eastAsia" w:asciiTheme="minorEastAsia" w:hAnsiTheme="minorEastAsia" w:eastAsiaTheme="minorEastAsia" w:cstheme="minorEastAsia"/>
          <w:b/>
          <w:bCs/>
          <w:sz w:val="30"/>
          <w:szCs w:val="30"/>
          <w:lang w:val="en-US" w:eastAsia="zh-CN" w:bidi="ar-SA"/>
        </w:rPr>
      </w:pPr>
      <w:r>
        <w:rPr>
          <w:rFonts w:hint="eastAsia" w:asciiTheme="minorEastAsia" w:hAnsiTheme="minorEastAsia" w:eastAsiaTheme="minorEastAsia" w:cstheme="minorEastAsia"/>
          <w:b/>
          <w:bCs/>
          <w:sz w:val="30"/>
          <w:szCs w:val="30"/>
          <w:lang w:val="en-US" w:eastAsia="zh-CN" w:bidi="ar-SA"/>
        </w:rPr>
        <w:t>第三部分 名词解释</w:t>
      </w:r>
      <w:r>
        <w:rPr>
          <w:rFonts w:hint="eastAsia" w:asciiTheme="minorEastAsia" w:hAnsiTheme="minorEastAsia" w:eastAsiaTheme="minorEastAsia" w:cstheme="minorEastAsia"/>
          <w:b/>
          <w:bCs/>
          <w:sz w:val="30"/>
          <w:szCs w:val="30"/>
          <w:lang w:val="en-US" w:eastAsia="zh-CN" w:bidi="ar-SA"/>
        </w:rPr>
        <w:tab/>
      </w:r>
      <w:r>
        <w:rPr>
          <w:rFonts w:hint="eastAsia" w:asciiTheme="minorEastAsia" w:hAnsiTheme="minorEastAsia" w:eastAsiaTheme="minorEastAsia" w:cstheme="minorEastAsia"/>
          <w:b/>
          <w:bCs/>
          <w:sz w:val="30"/>
          <w:szCs w:val="30"/>
          <w:lang w:val="en-US" w:eastAsia="zh-CN" w:bidi="ar-SA"/>
        </w:rPr>
        <w:fldChar w:fldCharType="begin"/>
      </w:r>
      <w:r>
        <w:rPr>
          <w:rFonts w:hint="eastAsia" w:asciiTheme="minorEastAsia" w:hAnsiTheme="minorEastAsia" w:eastAsiaTheme="minorEastAsia" w:cstheme="minorEastAsia"/>
          <w:b/>
          <w:bCs/>
          <w:sz w:val="30"/>
          <w:szCs w:val="30"/>
          <w:lang w:val="en-US" w:eastAsia="zh-CN" w:bidi="ar-SA"/>
        </w:rPr>
        <w:instrText xml:space="preserve"> PAGEREF _Toc9607 \h </w:instrText>
      </w:r>
      <w:r>
        <w:rPr>
          <w:rFonts w:hint="eastAsia" w:asciiTheme="minorEastAsia" w:hAnsiTheme="minorEastAsia" w:eastAsiaTheme="minorEastAsia" w:cstheme="minorEastAsia"/>
          <w:b/>
          <w:bCs/>
          <w:sz w:val="30"/>
          <w:szCs w:val="30"/>
          <w:lang w:val="en-US" w:eastAsia="zh-CN" w:bidi="ar-SA"/>
        </w:rPr>
        <w:fldChar w:fldCharType="separate"/>
      </w:r>
      <w:r>
        <w:rPr>
          <w:rFonts w:hint="eastAsia" w:asciiTheme="minorEastAsia" w:hAnsiTheme="minorEastAsia" w:eastAsiaTheme="minorEastAsia" w:cstheme="minorEastAsia"/>
          <w:b/>
          <w:bCs/>
          <w:sz w:val="30"/>
          <w:szCs w:val="30"/>
          <w:lang w:val="en-US" w:eastAsia="zh-CN" w:bidi="ar-SA"/>
        </w:rPr>
        <w:t>14</w:t>
      </w:r>
      <w:r>
        <w:rPr>
          <w:rFonts w:hint="eastAsia" w:asciiTheme="minorEastAsia" w:hAnsiTheme="minorEastAsia" w:eastAsiaTheme="minorEastAsia" w:cstheme="minorEastAsia"/>
          <w:b/>
          <w:bCs/>
          <w:sz w:val="30"/>
          <w:szCs w:val="30"/>
          <w:lang w:val="en-US" w:eastAsia="zh-CN" w:bidi="ar-SA"/>
        </w:rPr>
        <w:fldChar w:fldCharType="end"/>
      </w:r>
    </w:p>
    <w:p w14:paraId="110D74D0">
      <w:pPr>
        <w:pStyle w:val="11"/>
        <w:tabs>
          <w:tab w:val="right" w:leader="dot" w:pos="8306"/>
          <w:tab w:val="clear" w:pos="8296"/>
        </w:tabs>
        <w:rPr>
          <w:rFonts w:hint="eastAsia" w:asciiTheme="minorEastAsia" w:hAnsiTheme="minorEastAsia" w:eastAsiaTheme="minorEastAsia" w:cstheme="minorEastAsia"/>
          <w:b/>
          <w:bCs/>
          <w:sz w:val="30"/>
          <w:szCs w:val="30"/>
          <w:lang w:val="en-US" w:eastAsia="zh-CN" w:bidi="ar-SA"/>
        </w:rPr>
      </w:pPr>
      <w:r>
        <w:rPr>
          <w:rFonts w:hint="eastAsia" w:asciiTheme="minorEastAsia" w:hAnsiTheme="minorEastAsia" w:eastAsiaTheme="minorEastAsia" w:cstheme="minorEastAsia"/>
          <w:b/>
          <w:bCs/>
          <w:sz w:val="30"/>
          <w:szCs w:val="30"/>
          <w:lang w:val="en-US" w:eastAsia="zh-CN" w:bidi="ar-SA"/>
        </w:rPr>
        <w:t>第四部分 附件</w:t>
      </w:r>
      <w:r>
        <w:rPr>
          <w:rFonts w:hint="eastAsia" w:asciiTheme="minorEastAsia" w:hAnsiTheme="minorEastAsia" w:eastAsiaTheme="minorEastAsia" w:cstheme="minorEastAsia"/>
          <w:b/>
          <w:bCs/>
          <w:sz w:val="30"/>
          <w:szCs w:val="30"/>
          <w:lang w:val="en-US" w:eastAsia="zh-CN" w:bidi="ar-SA"/>
        </w:rPr>
        <w:tab/>
      </w:r>
      <w:r>
        <w:rPr>
          <w:rFonts w:hint="eastAsia" w:asciiTheme="minorEastAsia" w:hAnsiTheme="minorEastAsia" w:eastAsiaTheme="minorEastAsia" w:cstheme="minorEastAsia"/>
          <w:b/>
          <w:bCs/>
          <w:sz w:val="30"/>
          <w:szCs w:val="30"/>
          <w:lang w:val="en-US" w:eastAsia="zh-CN" w:bidi="ar-SA"/>
        </w:rPr>
        <w:fldChar w:fldCharType="begin"/>
      </w:r>
      <w:r>
        <w:rPr>
          <w:rFonts w:hint="eastAsia" w:asciiTheme="minorEastAsia" w:hAnsiTheme="minorEastAsia" w:eastAsiaTheme="minorEastAsia" w:cstheme="minorEastAsia"/>
          <w:b/>
          <w:bCs/>
          <w:sz w:val="30"/>
          <w:szCs w:val="30"/>
          <w:lang w:val="en-US" w:eastAsia="zh-CN" w:bidi="ar-SA"/>
        </w:rPr>
        <w:instrText xml:space="preserve"> PAGEREF _Toc32132 \h </w:instrText>
      </w:r>
      <w:r>
        <w:rPr>
          <w:rFonts w:hint="eastAsia" w:asciiTheme="minorEastAsia" w:hAnsiTheme="minorEastAsia" w:eastAsiaTheme="minorEastAsia" w:cstheme="minorEastAsia"/>
          <w:b/>
          <w:bCs/>
          <w:sz w:val="30"/>
          <w:szCs w:val="30"/>
          <w:lang w:val="en-US" w:eastAsia="zh-CN" w:bidi="ar-SA"/>
        </w:rPr>
        <w:fldChar w:fldCharType="separate"/>
      </w:r>
      <w:r>
        <w:rPr>
          <w:rFonts w:hint="eastAsia" w:asciiTheme="minorEastAsia" w:hAnsiTheme="minorEastAsia" w:eastAsiaTheme="minorEastAsia" w:cstheme="minorEastAsia"/>
          <w:b/>
          <w:bCs/>
          <w:sz w:val="30"/>
          <w:szCs w:val="30"/>
          <w:lang w:val="en-US" w:eastAsia="zh-CN" w:bidi="ar-SA"/>
        </w:rPr>
        <w:t>17</w:t>
      </w:r>
      <w:r>
        <w:rPr>
          <w:rFonts w:hint="eastAsia" w:asciiTheme="minorEastAsia" w:hAnsiTheme="minorEastAsia" w:eastAsiaTheme="minorEastAsia" w:cstheme="minorEastAsia"/>
          <w:b/>
          <w:bCs/>
          <w:sz w:val="30"/>
          <w:szCs w:val="30"/>
          <w:lang w:val="en-US" w:eastAsia="zh-CN" w:bidi="ar-SA"/>
        </w:rPr>
        <w:fldChar w:fldCharType="end"/>
      </w:r>
    </w:p>
    <w:p w14:paraId="6A607329">
      <w:pPr>
        <w:pStyle w:val="11"/>
        <w:tabs>
          <w:tab w:val="right" w:leader="dot" w:pos="8306"/>
          <w:tab w:val="clear" w:pos="8296"/>
        </w:tabs>
      </w:pPr>
      <w:r>
        <w:rPr>
          <w:rFonts w:hint="eastAsia" w:asciiTheme="minorEastAsia" w:hAnsiTheme="minorEastAsia" w:cstheme="minorEastAsia"/>
          <w:sz w:val="30"/>
          <w:szCs w:val="30"/>
        </w:rPr>
        <w:t>2021年遂宁市公安局河东新区分局整体支出绩效报告</w:t>
      </w:r>
      <w:r>
        <w:tab/>
      </w:r>
      <w:r>
        <w:fldChar w:fldCharType="begin"/>
      </w:r>
      <w:r>
        <w:instrText xml:space="preserve"> PAGEREF _Toc8667 \h </w:instrText>
      </w:r>
      <w:r>
        <w:fldChar w:fldCharType="separate"/>
      </w:r>
      <w:r>
        <w:t>17</w:t>
      </w:r>
      <w:r>
        <w:fldChar w:fldCharType="end"/>
      </w:r>
    </w:p>
    <w:p w14:paraId="3827FA4A">
      <w:pPr>
        <w:pStyle w:val="11"/>
        <w:tabs>
          <w:tab w:val="right" w:leader="dot" w:pos="8306"/>
          <w:tab w:val="clear" w:pos="8296"/>
        </w:tabs>
        <w:rPr>
          <w:rFonts w:hint="eastAsia" w:asciiTheme="minorEastAsia" w:hAnsiTheme="minorEastAsia" w:eastAsiaTheme="minorEastAsia" w:cstheme="minorEastAsia"/>
          <w:b/>
          <w:bCs/>
          <w:sz w:val="30"/>
          <w:szCs w:val="30"/>
          <w:lang w:val="en-US" w:eastAsia="zh-CN" w:bidi="ar-SA"/>
        </w:rPr>
      </w:pPr>
      <w:r>
        <w:rPr>
          <w:rFonts w:hint="eastAsia" w:asciiTheme="minorEastAsia" w:hAnsiTheme="minorEastAsia" w:eastAsiaTheme="minorEastAsia" w:cstheme="minorEastAsia"/>
          <w:b/>
          <w:bCs/>
          <w:sz w:val="30"/>
          <w:szCs w:val="30"/>
          <w:lang w:val="en-US" w:eastAsia="zh-CN" w:bidi="ar-SA"/>
        </w:rPr>
        <w:t>第五部分 附表</w:t>
      </w:r>
      <w:r>
        <w:rPr>
          <w:rFonts w:hint="eastAsia" w:asciiTheme="minorEastAsia" w:hAnsiTheme="minorEastAsia" w:eastAsiaTheme="minorEastAsia" w:cstheme="minorEastAsia"/>
          <w:b/>
          <w:bCs/>
          <w:sz w:val="30"/>
          <w:szCs w:val="30"/>
          <w:lang w:val="en-US" w:eastAsia="zh-CN" w:bidi="ar-SA"/>
        </w:rPr>
        <w:tab/>
      </w:r>
      <w:r>
        <w:rPr>
          <w:rFonts w:hint="eastAsia" w:asciiTheme="minorEastAsia" w:hAnsiTheme="minorEastAsia" w:eastAsiaTheme="minorEastAsia" w:cstheme="minorEastAsia"/>
          <w:b/>
          <w:bCs/>
          <w:sz w:val="30"/>
          <w:szCs w:val="30"/>
          <w:lang w:val="en-US" w:eastAsia="zh-CN" w:bidi="ar-SA"/>
        </w:rPr>
        <w:fldChar w:fldCharType="begin"/>
      </w:r>
      <w:r>
        <w:rPr>
          <w:rFonts w:hint="eastAsia" w:asciiTheme="minorEastAsia" w:hAnsiTheme="minorEastAsia" w:eastAsiaTheme="minorEastAsia" w:cstheme="minorEastAsia"/>
          <w:b/>
          <w:bCs/>
          <w:sz w:val="30"/>
          <w:szCs w:val="30"/>
          <w:lang w:val="en-US" w:eastAsia="zh-CN" w:bidi="ar-SA"/>
        </w:rPr>
        <w:instrText xml:space="preserve"> PAGEREF _Toc17245 \h </w:instrText>
      </w:r>
      <w:r>
        <w:rPr>
          <w:rFonts w:hint="eastAsia" w:asciiTheme="minorEastAsia" w:hAnsiTheme="minorEastAsia" w:eastAsiaTheme="minorEastAsia" w:cstheme="minorEastAsia"/>
          <w:b/>
          <w:bCs/>
          <w:sz w:val="30"/>
          <w:szCs w:val="30"/>
          <w:lang w:val="en-US" w:eastAsia="zh-CN" w:bidi="ar-SA"/>
        </w:rPr>
        <w:fldChar w:fldCharType="separate"/>
      </w:r>
      <w:r>
        <w:rPr>
          <w:rFonts w:hint="eastAsia" w:asciiTheme="minorEastAsia" w:hAnsiTheme="minorEastAsia" w:eastAsiaTheme="minorEastAsia" w:cstheme="minorEastAsia"/>
          <w:b/>
          <w:bCs/>
          <w:sz w:val="30"/>
          <w:szCs w:val="30"/>
          <w:lang w:val="en-US" w:eastAsia="zh-CN" w:bidi="ar-SA"/>
        </w:rPr>
        <w:t>24</w:t>
      </w:r>
      <w:r>
        <w:rPr>
          <w:rFonts w:hint="eastAsia" w:asciiTheme="minorEastAsia" w:hAnsiTheme="minorEastAsia" w:eastAsiaTheme="minorEastAsia" w:cstheme="minorEastAsia"/>
          <w:b/>
          <w:bCs/>
          <w:sz w:val="30"/>
          <w:szCs w:val="30"/>
          <w:lang w:val="en-US" w:eastAsia="zh-CN" w:bidi="ar-SA"/>
        </w:rPr>
        <w:fldChar w:fldCharType="end"/>
      </w:r>
    </w:p>
    <w:p w14:paraId="3D248305">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一、收入支出决算总表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_Toc14583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46CDC0DD">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二、收入决算表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_Toc30908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1C2A503A">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三、支出决算表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_Toc2788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52E4C5F8">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四、财政拨款收入支出决算总表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_Toc1654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2E2C766B">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五、财政拨款支出决算明细表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_Toc19021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28C5BC2B">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六、一般公共预算财政拨款支出决算表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_Toc13584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19A408C5">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七、一般公共预算财政拨款支出决算明细表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_Toc1057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7D002228">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八、一般公共预算财政拨款基本支出决算表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_Toc4684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4F0AA15B">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九、一般公共预算财政拨款项目支出决算表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_Toc14693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0B473F2D">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十、一般公共预算财政拨款“三公”经费支出决算表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_Toc17470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545511BE">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十一、政府性基金预算财政拨款收入支出决算表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_Toc1136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02064C96">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十二、政府性基金预算财政拨款“三公”经费支出决算表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_Toc15894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0DDF6680">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十三、国有资本经营预算财政拨款收入支出决算表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_Toc3363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6A6296D4">
      <w:pPr>
        <w:pStyle w:val="12"/>
        <w:tabs>
          <w:tab w:val="right" w:leader="dot" w:pos="8306"/>
          <w:tab w:val="clear" w:pos="8296"/>
        </w:tabs>
        <w:rPr>
          <w:rFonts w:hint="eastAsia" w:eastAsia="仿宋" w:asciiTheme="minorEastAsia" w:hAnsiTheme="minorEastAsia" w:cstheme="minorEastAsia"/>
          <w:kern w:val="2"/>
          <w:sz w:val="30"/>
          <w:szCs w:val="30"/>
          <w:lang w:val="en-US" w:eastAsia="zh-CN" w:bidi="ar-SA"/>
        </w:rPr>
      </w:pPr>
      <w:r>
        <w:rPr>
          <w:rFonts w:hint="eastAsia" w:eastAsia="仿宋" w:asciiTheme="minorEastAsia" w:hAnsiTheme="minorEastAsia" w:cstheme="minorEastAsia"/>
          <w:kern w:val="2"/>
          <w:sz w:val="30"/>
          <w:szCs w:val="30"/>
          <w:lang w:val="en-US" w:eastAsia="zh-CN" w:bidi="ar-SA"/>
        </w:rPr>
        <w:t>十四、国有资本经营预算财政拨款支出决算表</w:t>
      </w:r>
      <w:r>
        <w:rPr>
          <w:rFonts w:hint="eastAsia" w:eastAsia="仿宋" w:asciiTheme="minorEastAsia" w:hAnsiTheme="minorEastAsia" w:cstheme="minorEastAsia"/>
          <w:kern w:val="2"/>
          <w:sz w:val="30"/>
          <w:szCs w:val="30"/>
          <w:lang w:val="en-US" w:eastAsia="zh-CN" w:bidi="ar-SA"/>
        </w:rPr>
        <w:tab/>
      </w:r>
      <w:r>
        <w:rPr>
          <w:rFonts w:hint="eastAsia" w:eastAsia="仿宋" w:asciiTheme="minorEastAsia" w:hAnsiTheme="minorEastAsia" w:cstheme="minorEastAsia"/>
          <w:kern w:val="2"/>
          <w:sz w:val="30"/>
          <w:szCs w:val="30"/>
          <w:lang w:val="en-US" w:eastAsia="zh-CN" w:bidi="ar-SA"/>
        </w:rPr>
        <w:fldChar w:fldCharType="begin"/>
      </w:r>
      <w:r>
        <w:rPr>
          <w:rFonts w:hint="eastAsia" w:eastAsia="仿宋" w:asciiTheme="minorEastAsia" w:hAnsiTheme="minorEastAsia" w:cstheme="minorEastAsia"/>
          <w:kern w:val="2"/>
          <w:sz w:val="30"/>
          <w:szCs w:val="30"/>
          <w:lang w:val="en-US" w:eastAsia="zh-CN" w:bidi="ar-SA"/>
        </w:rPr>
        <w:instrText xml:space="preserve"> PAGEREF _Toc11247 \h </w:instrText>
      </w:r>
      <w:r>
        <w:rPr>
          <w:rFonts w:hint="eastAsia" w:eastAsia="仿宋" w:asciiTheme="minorEastAsia" w:hAnsiTheme="minorEastAsia" w:cstheme="minorEastAsia"/>
          <w:kern w:val="2"/>
          <w:sz w:val="30"/>
          <w:szCs w:val="30"/>
          <w:lang w:val="en-US" w:eastAsia="zh-CN" w:bidi="ar-SA"/>
        </w:rPr>
        <w:fldChar w:fldCharType="separate"/>
      </w:r>
      <w:r>
        <w:rPr>
          <w:rFonts w:hint="eastAsia" w:eastAsia="仿宋" w:asciiTheme="minorEastAsia" w:hAnsiTheme="minorEastAsia" w:cstheme="minorEastAsia"/>
          <w:kern w:val="2"/>
          <w:sz w:val="30"/>
          <w:szCs w:val="30"/>
          <w:lang w:val="en-US" w:eastAsia="zh-CN" w:bidi="ar-SA"/>
        </w:rPr>
        <w:t>24</w:t>
      </w:r>
      <w:r>
        <w:rPr>
          <w:rFonts w:hint="eastAsia" w:eastAsia="仿宋" w:asciiTheme="minorEastAsia" w:hAnsiTheme="minorEastAsia" w:cstheme="minorEastAsia"/>
          <w:kern w:val="2"/>
          <w:sz w:val="30"/>
          <w:szCs w:val="30"/>
          <w:lang w:val="en-US" w:eastAsia="zh-CN" w:bidi="ar-SA"/>
        </w:rPr>
        <w:fldChar w:fldCharType="end"/>
      </w:r>
    </w:p>
    <w:p w14:paraId="718F5183">
      <w:pPr>
        <w:pStyle w:val="11"/>
        <w:jc w:val="center"/>
      </w:pPr>
      <w:r>
        <w:fldChar w:fldCharType="end"/>
      </w:r>
    </w:p>
    <w:p w14:paraId="72182731">
      <w:pPr>
        <w:pStyle w:val="3"/>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bookmarkEnd w:id="24"/>
    <w:bookmarkEnd w:id="25"/>
    <w:p w14:paraId="4EA727E8">
      <w:pPr>
        <w:pStyle w:val="3"/>
        <w:jc w:val="center"/>
        <w:rPr>
          <w:rFonts w:ascii="黑体" w:eastAsia="黑体"/>
          <w:color w:val="auto"/>
          <w:sz w:val="32"/>
          <w:szCs w:val="32"/>
          <w:highlight w:val="none"/>
        </w:rPr>
      </w:pPr>
      <w:bookmarkStart w:id="26" w:name="_Toc2995"/>
      <w:bookmarkStart w:id="27" w:name="_Toc19524"/>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26"/>
      <w:bookmarkEnd w:id="27"/>
    </w:p>
    <w:p w14:paraId="5AA4D7F0">
      <w:pPr>
        <w:pStyle w:val="4"/>
        <w:rPr>
          <w:rFonts w:hint="eastAsia" w:ascii="黑体" w:eastAsia="黑体"/>
          <w:b w:val="0"/>
          <w:color w:val="auto"/>
          <w:highlight w:val="none"/>
          <w:lang w:eastAsia="zh-CN"/>
        </w:rPr>
      </w:pPr>
      <w:bookmarkStart w:id="28" w:name="_Toc15377197"/>
      <w:bookmarkStart w:id="29" w:name="_Toc17048"/>
      <w:bookmarkStart w:id="30" w:name="_Toc15396600"/>
      <w:bookmarkStart w:id="31" w:name="_Toc24463"/>
      <w:bookmarkStart w:id="32" w:name="_Toc14862"/>
      <w:bookmarkStart w:id="33" w:name="_Toc5632_WPSOffice_Level2"/>
      <w:bookmarkStart w:id="34" w:name="_Toc19927"/>
      <w:bookmarkStart w:id="35" w:name="_Toc10497"/>
      <w:r>
        <w:rPr>
          <w:rFonts w:hint="eastAsia" w:ascii="黑体" w:eastAsia="黑体"/>
          <w:b w:val="0"/>
          <w:color w:val="auto"/>
          <w:highlight w:val="none"/>
        </w:rPr>
        <w:t>一、职能</w:t>
      </w:r>
      <w:bookmarkEnd w:id="28"/>
      <w:bookmarkEnd w:id="29"/>
      <w:bookmarkEnd w:id="30"/>
      <w:bookmarkEnd w:id="31"/>
      <w:bookmarkEnd w:id="32"/>
      <w:bookmarkStart w:id="36" w:name="_Toc15377198"/>
      <w:bookmarkStart w:id="37" w:name="_Toc15378445"/>
      <w:r>
        <w:rPr>
          <w:rFonts w:hint="eastAsia" w:ascii="黑体" w:eastAsia="黑体"/>
          <w:b w:val="0"/>
          <w:color w:val="auto"/>
          <w:highlight w:val="none"/>
          <w:lang w:eastAsia="zh-CN"/>
        </w:rPr>
        <w:t>简介</w:t>
      </w:r>
      <w:bookmarkEnd w:id="33"/>
      <w:bookmarkEnd w:id="34"/>
      <w:bookmarkEnd w:id="35"/>
    </w:p>
    <w:p w14:paraId="522544B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（一）主要职能</w:t>
      </w:r>
      <w:bookmarkEnd w:id="36"/>
      <w:bookmarkEnd w:id="37"/>
    </w:p>
    <w:p w14:paraId="55824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1.贯彻执行公安工作的方针、政策、法律、法规、规章。</w:t>
      </w:r>
    </w:p>
    <w:p w14:paraId="56FDEF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2.受理公安行政诉讼、行政复议、国家赔偿等案件的报批工作。做好法制建设工作。</w:t>
      </w:r>
    </w:p>
    <w:p w14:paraId="59A403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3.侦破经济犯罪、毒品犯罪、集团犯罪、有组织犯罪和各类刑事案件。</w:t>
      </w:r>
    </w:p>
    <w:p w14:paraId="2FFE8DB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4.协调处置各类治安灾害事故、骚乱和群体性突发事件；负责辖区治安巡逻；担负在河东新区举办的大型活动等方面的安全保卫工作。</w:t>
      </w:r>
    </w:p>
    <w:p w14:paraId="7C96AB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5.查处危害社会治安秩序的行为；依法管理户口、居民身份证、枪支弹药、管制刀具、危险物品、特种行业等工作；依法管理集会、游行、示威活动。</w:t>
      </w:r>
    </w:p>
    <w:p w14:paraId="5AC425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6.按职能实施河东新区消防监督、火灾预防和扑救工作，对易燃物品的消防安全工作实施监督指导。</w:t>
      </w:r>
    </w:p>
    <w:p w14:paraId="54ED4B6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7.指导、参与河东新区公安警卫工作，组织实施对党和国家领导人和重要外宾来河东新区的安全警卫工作。</w:t>
      </w:r>
    </w:p>
    <w:p w14:paraId="6D757B6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8.依法管理外国人、华侨、港澳台同胞在河东新区的居留、旅行的有关工作。</w:t>
      </w:r>
    </w:p>
    <w:p w14:paraId="1A523A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9.对被判处剥夺政治权利的罪犯执行刑罚。</w:t>
      </w:r>
    </w:p>
    <w:p w14:paraId="0D932AF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10.负责禁毒、缉毒和戒毒工作，承办禁毒委员会日常工作。</w:t>
      </w:r>
    </w:p>
    <w:p w14:paraId="2311C1F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11.指导、监督机关、社会团体、企事业单位和建设工程的治安保卫工作以及群防群治组织的治安防范工作。</w:t>
      </w:r>
    </w:p>
    <w:p w14:paraId="6F69F33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12.规划、实施公安通信和网络技术等建设。</w:t>
      </w:r>
    </w:p>
    <w:p w14:paraId="177F1FA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13.分析公安队伍状况，组织、指导、监督公安队伍建设措施的落实；负责民警教育训练和公安宣传工作；按规定权限管理干部，呈报警衔。</w:t>
      </w:r>
    </w:p>
    <w:p w14:paraId="16984B7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14.开展公安纪检监察和警务督察工作；对河东新区公安机关及其人民警察的执法情况进行监督。</w:t>
      </w:r>
    </w:p>
    <w:p w14:paraId="7A9536F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15.负责河东公安分局党委的组织建设、党员教育、管理和监督，做好党员发展，指导基层党建工作；负责综合治理、精神文明、双拥、民族、工会、共青团、妇委会等工作。</w:t>
      </w:r>
    </w:p>
    <w:p w14:paraId="3C69DF3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16.协助河东新区其他行政执法部门的执法活动顺利实施。</w:t>
      </w:r>
    </w:p>
    <w:p w14:paraId="6564662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sz w:val="32"/>
          <w:szCs w:val="32"/>
        </w:rPr>
        <w:t>17.承办河东新区党委、管委会和市公安局交办的其他事项。</w:t>
      </w:r>
    </w:p>
    <w:p w14:paraId="1BD869D6">
      <w:pPr>
        <w:pStyle w:val="4"/>
        <w:rPr>
          <w:rFonts w:hint="eastAsia" w:ascii="黑体" w:eastAsia="黑体"/>
          <w:b w:val="0"/>
          <w:color w:val="auto"/>
          <w:highlight w:val="none"/>
        </w:rPr>
      </w:pPr>
      <w:bookmarkStart w:id="38" w:name="_Toc15377199"/>
      <w:bookmarkStart w:id="39" w:name="_Toc2769"/>
      <w:bookmarkStart w:id="40" w:name="_Toc15378446"/>
      <w:r>
        <w:rPr>
          <w:rFonts w:hint="eastAsia" w:ascii="黑体" w:eastAsia="黑体"/>
          <w:b w:val="0"/>
          <w:color w:val="auto"/>
          <w:highlight w:val="none"/>
          <w:lang w:eastAsia="zh-CN"/>
        </w:rPr>
        <w:t>二、</w:t>
      </w:r>
      <w:r>
        <w:rPr>
          <w:rFonts w:hint="eastAsia" w:ascii="黑体" w:eastAsia="黑体"/>
          <w:b w:val="0"/>
          <w:color w:val="auto"/>
          <w:highlight w:val="none"/>
        </w:rPr>
        <w:t>20</w:t>
      </w:r>
      <w:r>
        <w:rPr>
          <w:rFonts w:hint="eastAsia" w:ascii="黑体" w:eastAsia="黑体"/>
          <w:b w:val="0"/>
          <w:color w:val="auto"/>
          <w:highlight w:val="none"/>
          <w:lang w:val="en-US" w:eastAsia="zh-CN"/>
        </w:rPr>
        <w:t>21</w:t>
      </w:r>
      <w:r>
        <w:rPr>
          <w:rFonts w:hint="eastAsia" w:ascii="黑体" w:eastAsia="黑体"/>
          <w:b w:val="0"/>
          <w:color w:val="auto"/>
          <w:highlight w:val="none"/>
        </w:rPr>
        <w:t>年重点工作完成情况</w:t>
      </w:r>
      <w:bookmarkEnd w:id="38"/>
      <w:bookmarkEnd w:id="39"/>
      <w:bookmarkEnd w:id="40"/>
    </w:p>
    <w:p w14:paraId="53D8A897">
      <w:pPr>
        <w:pStyle w:val="31"/>
        <w:spacing w:line="580" w:lineRule="exact"/>
        <w:ind w:firstLine="723" w:firstLineChars="200"/>
        <w:rPr>
          <w:rFonts w:hint="eastAsia" w:ascii="仿宋_GB2312" w:eastAsia="仿宋_GB2312" w:hAnsiTheme="majorHAnsi" w:cstheme="majorBidi"/>
          <w:b/>
          <w:bCs/>
          <w:kern w:val="2"/>
          <w:sz w:val="36"/>
          <w:szCs w:val="36"/>
          <w:lang w:val="en-US" w:eastAsia="zh-CN" w:bidi="ar-SA"/>
        </w:rPr>
      </w:pPr>
      <w:r>
        <w:rPr>
          <w:rFonts w:hint="eastAsia" w:ascii="仿宋_GB2312" w:eastAsia="仿宋_GB2312" w:hAnsiTheme="majorHAnsi" w:cstheme="majorBidi"/>
          <w:b/>
          <w:bCs/>
          <w:kern w:val="2"/>
          <w:sz w:val="36"/>
          <w:szCs w:val="36"/>
          <w:lang w:val="en-US" w:eastAsia="zh-CN" w:bidi="ar-SA"/>
        </w:rPr>
        <w:t>1.基础提升情况</w:t>
      </w:r>
    </w:p>
    <w:p w14:paraId="4191D85F">
      <w:pPr>
        <w:pStyle w:val="31"/>
        <w:pageBreakBefore w:val="0"/>
        <w:widowControl w:val="0"/>
        <w:kinsoku/>
        <w:wordWrap/>
        <w:overflowPunct/>
        <w:topLinePunct w:val="0"/>
        <w:autoSpaceDE/>
        <w:autoSpaceDN/>
        <w:bidi w:val="0"/>
        <w:adjustRightInd/>
        <w:snapToGrid/>
        <w:spacing w:line="120" w:lineRule="auto"/>
        <w:ind w:firstLine="643" w:firstLineChars="200"/>
        <w:textAlignment w:val="auto"/>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1</w:t>
      </w:r>
      <w:r>
        <w:rPr>
          <w:rFonts w:hint="eastAsia" w:ascii="仿宋_GB2312" w:eastAsia="仿宋_GB2312"/>
          <w:b/>
          <w:sz w:val="32"/>
          <w:szCs w:val="32"/>
          <w:lang w:eastAsia="zh-CN"/>
        </w:rPr>
        <w:t>）</w:t>
      </w:r>
      <w:r>
        <w:rPr>
          <w:rFonts w:hint="eastAsia" w:ascii="仿宋_GB2312" w:eastAsia="仿宋_GB2312"/>
          <w:b/>
          <w:sz w:val="32"/>
          <w:szCs w:val="32"/>
        </w:rPr>
        <w:t>建成并运行杨渡派出所</w:t>
      </w:r>
      <w:r>
        <w:rPr>
          <w:rFonts w:hint="eastAsia" w:ascii="仿宋_GB2312" w:eastAsia="仿宋_GB2312"/>
          <w:sz w:val="32"/>
          <w:szCs w:val="32"/>
        </w:rPr>
        <w:t>。分局积极争取新区管委会支持，投入资金400余万元、建筑面积1200余平方米，高标准建成杨度派出所，设施设备达到全市一流，并于10月21日正式挂牌运行，实现了河东全域的有效布防。</w:t>
      </w:r>
    </w:p>
    <w:p w14:paraId="413D46D6">
      <w:pPr>
        <w:pStyle w:val="31"/>
        <w:spacing w:line="58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2</w:t>
      </w:r>
      <w:r>
        <w:rPr>
          <w:rFonts w:hint="eastAsia" w:ascii="仿宋_GB2312" w:eastAsia="仿宋_GB2312"/>
          <w:b/>
          <w:sz w:val="32"/>
          <w:szCs w:val="32"/>
          <w:lang w:eastAsia="zh-CN"/>
        </w:rPr>
        <w:t>）</w:t>
      </w:r>
      <w:r>
        <w:rPr>
          <w:rFonts w:hint="eastAsia" w:ascii="仿宋_GB2312" w:eastAsia="仿宋_GB2312"/>
          <w:b/>
          <w:sz w:val="32"/>
          <w:szCs w:val="32"/>
        </w:rPr>
        <w:t>大力推进“智慧平安小区”建设。</w:t>
      </w:r>
      <w:r>
        <w:rPr>
          <w:rFonts w:hint="eastAsia" w:ascii="仿宋_GB2312" w:eastAsia="仿宋_GB2312"/>
          <w:sz w:val="32"/>
          <w:szCs w:val="32"/>
        </w:rPr>
        <w:t>全年累计建设智慧平安小区36个，覆盖人口37019人，城镇实有人口覆盖率31.87%。建成数和覆盖率均居全市前列。</w:t>
      </w:r>
    </w:p>
    <w:p w14:paraId="3E2F8F31">
      <w:pPr>
        <w:pStyle w:val="31"/>
        <w:spacing w:line="58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3</w:t>
      </w:r>
      <w:r>
        <w:rPr>
          <w:rFonts w:hint="eastAsia" w:ascii="仿宋_GB2312" w:eastAsia="仿宋_GB2312"/>
          <w:b/>
          <w:sz w:val="32"/>
          <w:szCs w:val="32"/>
          <w:lang w:eastAsia="zh-CN"/>
        </w:rPr>
        <w:t>）</w:t>
      </w:r>
      <w:r>
        <w:rPr>
          <w:rFonts w:hint="eastAsia" w:ascii="仿宋_GB2312" w:eastAsia="仿宋_GB2312"/>
          <w:b/>
          <w:sz w:val="32"/>
          <w:szCs w:val="32"/>
        </w:rPr>
        <w:t>全力推动天网系统工程建设</w:t>
      </w:r>
      <w:r>
        <w:rPr>
          <w:rFonts w:hint="eastAsia" w:ascii="仿宋_GB2312" w:eastAsia="仿宋_GB2312"/>
          <w:sz w:val="32"/>
          <w:szCs w:val="32"/>
        </w:rPr>
        <w:t>。分局争取资金2000余万元，新建天网点位580个（天网球机426个、人脸识别探头154个），现建成天网点位565个、在建15个。加上原有点位492个，全区目前共有天网点位1057个，建成区天网覆盖密度为每平方千米50个以上，覆盖密度达到全市领先，初步形成了覆盖河东全域的1个大封控圈和10个小封控圈。</w:t>
      </w:r>
    </w:p>
    <w:p w14:paraId="162E4CCD">
      <w:pPr>
        <w:pStyle w:val="31"/>
        <w:spacing w:line="580" w:lineRule="exact"/>
        <w:ind w:firstLine="723" w:firstLineChars="200"/>
        <w:rPr>
          <w:rFonts w:hint="eastAsia" w:ascii="仿宋_GB2312" w:eastAsia="仿宋_GB2312" w:hAnsiTheme="majorHAnsi" w:cstheme="majorBidi"/>
          <w:b/>
          <w:bCs/>
          <w:kern w:val="2"/>
          <w:sz w:val="36"/>
          <w:szCs w:val="36"/>
          <w:lang w:val="en-US" w:eastAsia="zh-CN" w:bidi="ar-SA"/>
        </w:rPr>
      </w:pPr>
      <w:r>
        <w:rPr>
          <w:rFonts w:hint="eastAsia" w:ascii="仿宋_GB2312" w:eastAsia="仿宋_GB2312" w:hAnsiTheme="majorHAnsi" w:cstheme="majorBidi"/>
          <w:b/>
          <w:bCs/>
          <w:kern w:val="2"/>
          <w:sz w:val="36"/>
          <w:szCs w:val="36"/>
          <w:lang w:val="en-US" w:eastAsia="zh-CN" w:bidi="ar-SA"/>
        </w:rPr>
        <w:t>2、特色亮点工作</w:t>
      </w:r>
    </w:p>
    <w:p w14:paraId="36B1DEB5">
      <w:pPr>
        <w:pStyle w:val="31"/>
        <w:spacing w:line="58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1</w:t>
      </w:r>
      <w:r>
        <w:rPr>
          <w:rFonts w:hint="eastAsia" w:ascii="仿宋_GB2312" w:eastAsia="仿宋_GB2312"/>
          <w:b/>
          <w:sz w:val="32"/>
          <w:szCs w:val="32"/>
          <w:lang w:eastAsia="zh-CN"/>
        </w:rPr>
        <w:t>）</w:t>
      </w:r>
      <w:r>
        <w:rPr>
          <w:rFonts w:hint="eastAsia" w:ascii="仿宋_GB2312" w:eastAsia="仿宋_GB2312"/>
          <w:b/>
          <w:sz w:val="32"/>
          <w:szCs w:val="32"/>
        </w:rPr>
        <w:t>智慧警务建设走在全市前列。</w:t>
      </w:r>
      <w:r>
        <w:rPr>
          <w:rFonts w:hint="eastAsia" w:ascii="仿宋_GB2312" w:eastAsia="仿宋_GB2312"/>
          <w:sz w:val="32"/>
          <w:szCs w:val="32"/>
        </w:rPr>
        <w:t>分局将智慧警务建设列为“一把手”工程，由局长挂帅主抓，政委牵头负责。推动“智慧公安”建设列入新区最新发展战略“智能城市”建设的重点支撑项目。大力开展感知源建设，按照“四专”要求建立智慧警务中心，中心设备配置达到全市最高水平。注重建用结合，突出系统深度运用，聚焦服务赋能实战。因建设和应用走在全市前列，分局在全市智慧警务推进会作经验交流发言。</w:t>
      </w:r>
    </w:p>
    <w:p w14:paraId="2CB39926">
      <w:pPr>
        <w:pStyle w:val="31"/>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lang w:eastAsia="zh-CN"/>
        </w:rPr>
        <w:t>（</w:t>
      </w:r>
      <w:r>
        <w:rPr>
          <w:rFonts w:hint="eastAsia" w:ascii="仿宋_GB2312" w:eastAsia="仿宋_GB2312"/>
          <w:b/>
          <w:sz w:val="32"/>
          <w:szCs w:val="32"/>
          <w:lang w:val="en-US" w:eastAsia="zh-CN"/>
        </w:rPr>
        <w:t>2</w:t>
      </w:r>
      <w:r>
        <w:rPr>
          <w:rFonts w:hint="eastAsia" w:ascii="仿宋_GB2312" w:eastAsia="仿宋_GB2312"/>
          <w:b/>
          <w:sz w:val="32"/>
          <w:szCs w:val="32"/>
          <w:lang w:eastAsia="zh-CN"/>
        </w:rPr>
        <w:t>）</w:t>
      </w:r>
      <w:r>
        <w:rPr>
          <w:rFonts w:hint="eastAsia" w:ascii="仿宋_GB2312" w:eastAsia="仿宋_GB2312"/>
          <w:b/>
          <w:sz w:val="32"/>
          <w:szCs w:val="32"/>
        </w:rPr>
        <w:t>开展“高峰护学”反响良好。</w:t>
      </w:r>
      <w:r>
        <w:rPr>
          <w:rFonts w:hint="eastAsia" w:ascii="仿宋_GB2312" w:eastAsia="仿宋_GB2312"/>
          <w:sz w:val="32"/>
          <w:szCs w:val="32"/>
        </w:rPr>
        <w:t>分局立足辖区学校数量多、分布密度高、在校师生体量大的实际，投入资金18万元，购置全新单警装备75套，配发全局民警，确保执勤民警装备统一规范。在学校新增人脸识别设备13套、校园周边新增“天网”探头60余个，提升科技护学、智慧护学能力。分局全警动员、全员参战，社会各界反响良好，已受赠校方赠送锦旗5面，并在全市作经验交流发言。</w:t>
      </w:r>
    </w:p>
    <w:p w14:paraId="19EF83E0">
      <w:pPr>
        <w:pStyle w:val="31"/>
        <w:spacing w:line="58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3</w:t>
      </w:r>
      <w:r>
        <w:rPr>
          <w:rFonts w:hint="eastAsia" w:ascii="仿宋_GB2312" w:eastAsia="仿宋_GB2312"/>
          <w:b/>
          <w:sz w:val="32"/>
          <w:szCs w:val="32"/>
          <w:lang w:eastAsia="zh-CN"/>
        </w:rPr>
        <w:t>）</w:t>
      </w:r>
      <w:r>
        <w:rPr>
          <w:rFonts w:hint="eastAsia" w:ascii="仿宋_GB2312" w:eastAsia="仿宋_GB2312"/>
          <w:b/>
          <w:sz w:val="32"/>
          <w:szCs w:val="32"/>
        </w:rPr>
        <w:t>“清风净土”行动成效显著。</w:t>
      </w:r>
      <w:r>
        <w:rPr>
          <w:rFonts w:hint="eastAsia" w:ascii="仿宋_GB2312" w:eastAsia="仿宋_GB2312"/>
          <w:sz w:val="32"/>
          <w:szCs w:val="32"/>
        </w:rPr>
        <w:t>分局结合“护旗”系列行动，自主开展“清风净土”行动，并将其纳入新区“十大民生实事”。对黄赌毒丑恶现象露头就打，全年办理涉黄涉赌24件（其中刑事案件3件、行政案件21件），停业整顿娱乐场所3家。 成功侦办“3.23” 非法利用网络信息开设赌场案，移送起诉26人、刑事拘留1人、行政拘留13人，该案为近年来全市最大的一起该类案件。</w:t>
      </w:r>
    </w:p>
    <w:p w14:paraId="595F1CA6">
      <w:pPr>
        <w:pStyle w:val="31"/>
        <w:spacing w:line="580" w:lineRule="exact"/>
        <w:ind w:firstLine="723" w:firstLineChars="200"/>
        <w:rPr>
          <w:rFonts w:hint="eastAsia" w:ascii="仿宋_GB2312" w:eastAsia="仿宋_GB2312" w:hAnsiTheme="majorHAnsi" w:cstheme="majorBidi"/>
          <w:b/>
          <w:bCs/>
          <w:kern w:val="2"/>
          <w:sz w:val="36"/>
          <w:szCs w:val="36"/>
          <w:lang w:val="en-US" w:eastAsia="zh-CN" w:bidi="ar-SA"/>
        </w:rPr>
      </w:pPr>
      <w:r>
        <w:rPr>
          <w:rFonts w:hint="eastAsia" w:ascii="仿宋_GB2312" w:eastAsia="仿宋_GB2312" w:hAnsiTheme="majorHAnsi" w:cstheme="majorBidi"/>
          <w:b/>
          <w:bCs/>
          <w:kern w:val="2"/>
          <w:sz w:val="36"/>
          <w:szCs w:val="36"/>
          <w:lang w:val="en-US" w:eastAsia="zh-CN" w:bidi="ar-SA"/>
        </w:rPr>
        <w:t>3、整体工作情况</w:t>
      </w:r>
    </w:p>
    <w:p w14:paraId="1B2C5DF8">
      <w:pPr>
        <w:pStyle w:val="31"/>
        <w:spacing w:line="58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1</w:t>
      </w:r>
      <w:r>
        <w:rPr>
          <w:rFonts w:hint="eastAsia" w:ascii="仿宋_GB2312" w:eastAsia="仿宋_GB2312"/>
          <w:b/>
          <w:sz w:val="32"/>
          <w:szCs w:val="32"/>
          <w:lang w:eastAsia="zh-CN"/>
        </w:rPr>
        <w:t>）</w:t>
      </w:r>
      <w:r>
        <w:rPr>
          <w:rFonts w:hint="eastAsia" w:ascii="仿宋_GB2312" w:eastAsia="仿宋_GB2312"/>
          <w:b/>
          <w:sz w:val="32"/>
          <w:szCs w:val="32"/>
        </w:rPr>
        <w:t>担好首责，全力守护一方平安。</w:t>
      </w:r>
      <w:r>
        <w:rPr>
          <w:rFonts w:hint="eastAsia" w:ascii="仿宋_GB2312" w:eastAsia="仿宋_GB2312"/>
          <w:sz w:val="32"/>
          <w:szCs w:val="32"/>
        </w:rPr>
        <w:t>坚守政治安全底线。深入开展反颠覆反分裂斗争，强化阵地控制，严密重点人员管控，在建党100周年敏感节点对刘某的管控得到了杨林副市长的高度肯定。圆满完成“省01”“省02”等警卫任务10起，圆满完成建党100周年等重大安保任务66起，分局共出动警力3260余人次，妥善处置市政府非访事件50起，涉及2200人次，行政拘留2人，收缴横幅标语9幅，有效维护了</w:t>
      </w:r>
      <w:r>
        <w:rPr>
          <w:rFonts w:hint="eastAsia" w:ascii="仿宋_GB2312" w:eastAsia="仿宋_GB2312"/>
          <w:sz w:val="32"/>
          <w:szCs w:val="32"/>
          <w:lang w:eastAsia="zh-CN"/>
        </w:rPr>
        <w:t>市委市政府</w:t>
      </w:r>
      <w:r>
        <w:rPr>
          <w:rFonts w:hint="eastAsia" w:ascii="仿宋_GB2312" w:eastAsia="仿宋_GB2312"/>
          <w:sz w:val="32"/>
          <w:szCs w:val="32"/>
        </w:rPr>
        <w:t>首脑机关正常秩序。</w:t>
      </w:r>
    </w:p>
    <w:p w14:paraId="3EC77349">
      <w:pPr>
        <w:pStyle w:val="31"/>
        <w:spacing w:line="58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2</w:t>
      </w:r>
      <w:r>
        <w:rPr>
          <w:rFonts w:hint="eastAsia" w:ascii="仿宋_GB2312" w:eastAsia="仿宋_GB2312"/>
          <w:b/>
          <w:sz w:val="32"/>
          <w:szCs w:val="32"/>
          <w:lang w:eastAsia="zh-CN"/>
        </w:rPr>
        <w:t>）</w:t>
      </w:r>
      <w:r>
        <w:rPr>
          <w:rFonts w:hint="eastAsia" w:ascii="仿宋_GB2312" w:eastAsia="仿宋_GB2312"/>
          <w:b/>
          <w:sz w:val="32"/>
          <w:szCs w:val="32"/>
        </w:rPr>
        <w:t>做实主业，强力打击违法犯罪。</w:t>
      </w:r>
      <w:r>
        <w:rPr>
          <w:rFonts w:hint="eastAsia" w:ascii="仿宋_GB2312" w:eastAsia="仿宋_GB2312"/>
          <w:sz w:val="32"/>
          <w:szCs w:val="32"/>
        </w:rPr>
        <w:t>分局坚决有力打击各类违法犯罪活动，打击质效大幅提升。深入开展扫黑除恶</w:t>
      </w:r>
      <w:r>
        <w:rPr>
          <w:rFonts w:hint="eastAsia" w:ascii="仿宋_GB2312" w:eastAsia="仿宋_GB2312"/>
          <w:sz w:val="32"/>
          <w:szCs w:val="32"/>
          <w:lang w:eastAsia="zh-CN"/>
        </w:rPr>
        <w:t>、</w:t>
      </w:r>
      <w:r>
        <w:rPr>
          <w:rFonts w:hint="eastAsia" w:ascii="仿宋_GB2312" w:eastAsia="仿宋_GB2312"/>
          <w:sz w:val="32"/>
          <w:szCs w:val="32"/>
        </w:rPr>
        <w:t>“命案积案”“缉枪防暴”“斗城肃毒害、忠诚护党旗”等专项行动，取得显著成效。共受理各类刑事案件644件，同比下降8.52%；立刑事案件686件，同比上升4.7%；侦破各类刑事案件212件，破案率30.9%；刑事拘留130人，同比上升23.8%；取保候审100人，同比上升212.5%；移送起诉135人，同比上升55.17%；抓获网上逃犯27人，查获吸毒人员67人，同比上升19.64%；强制隔离戒毒12人。精准预警9782人，成功劝阻9782人。受理行政案件1243件，同比上升5.3%，办结行政案件173件，行政处罚229人，同比上升9.1%，</w:t>
      </w:r>
    </w:p>
    <w:p w14:paraId="2ED1877E">
      <w:pPr>
        <w:pStyle w:val="31"/>
        <w:spacing w:line="580" w:lineRule="exact"/>
        <w:ind w:firstLine="643" w:firstLineChars="200"/>
        <w:rPr>
          <w:rFonts w:hint="eastAsia" w:ascii="仿宋" w:hAnsi="仿宋" w:eastAsia="仿宋"/>
          <w:bCs/>
          <w:color w:val="auto"/>
          <w:sz w:val="32"/>
          <w:szCs w:val="32"/>
          <w:highlight w:val="none"/>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3</w:t>
      </w:r>
      <w:r>
        <w:rPr>
          <w:rFonts w:hint="eastAsia" w:ascii="仿宋_GB2312" w:eastAsia="仿宋_GB2312"/>
          <w:b/>
          <w:sz w:val="32"/>
          <w:szCs w:val="32"/>
          <w:lang w:eastAsia="zh-CN"/>
        </w:rPr>
        <w:t>）</w:t>
      </w:r>
      <w:r>
        <w:rPr>
          <w:rFonts w:hint="eastAsia" w:ascii="仿宋_GB2312" w:eastAsia="仿宋_GB2312"/>
          <w:b/>
          <w:sz w:val="32"/>
          <w:szCs w:val="32"/>
        </w:rPr>
        <w:t>固本强基，切实抓好队伍建设。</w:t>
      </w:r>
      <w:r>
        <w:rPr>
          <w:rFonts w:hint="eastAsia" w:ascii="仿宋_GB2312" w:eastAsia="仿宋_GB2312"/>
          <w:sz w:val="32"/>
          <w:szCs w:val="32"/>
        </w:rPr>
        <w:t>严格按照上级要</w:t>
      </w:r>
      <w:r>
        <w:rPr>
          <w:rFonts w:hint="eastAsia" w:ascii="仿宋" w:hAnsi="仿宋" w:eastAsia="仿宋" w:cs="Times New Roman"/>
          <w:color w:val="auto"/>
          <w:kern w:val="2"/>
          <w:sz w:val="32"/>
          <w:szCs w:val="32"/>
          <w:highlight w:val="none"/>
          <w:lang w:val="en-US" w:eastAsia="zh-CN" w:bidi="ar-SA"/>
        </w:rPr>
        <w:t>求，深入推进队伍教育整顿和党史学习教育等专题活动，扎实开展“我为群众办实事”活动，着力整治队伍顽瘴痼疾，自查“六大顽瘴痼疾”问题281个，自查“三类重点问题”问题140个，其他问题141个，其中运用“第一种形态”处理人数21人。加强常态监督执纪，强化日常教育培训，做到严管与厚爱结合、激励与约束并重，队伍面貌明显改善，工作作风大有转变，全年未发生民辅警违纪违法事件。今年以来，分局共有2个集体、3名个人获省厅表彰，4个集体、11名个人获市局表彰。</w:t>
      </w:r>
    </w:p>
    <w:p w14:paraId="2305C76A">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76029E94">
      <w:pPr>
        <w:pStyle w:val="3"/>
        <w:ind w:right="440"/>
        <w:jc w:val="center"/>
        <w:rPr>
          <w:rStyle w:val="25"/>
          <w:rFonts w:ascii="黑体" w:hAnsi="黑体" w:eastAsia="黑体"/>
          <w:b w:val="0"/>
          <w:bCs/>
          <w:color w:val="auto"/>
          <w:highlight w:val="none"/>
        </w:rPr>
      </w:pPr>
      <w:bookmarkStart w:id="41" w:name="_Toc15396602"/>
      <w:bookmarkStart w:id="42" w:name="_Toc5632_WPSOffice_Level1"/>
      <w:bookmarkStart w:id="43" w:name="_Toc29638"/>
      <w:bookmarkStart w:id="44" w:name="_Toc4961"/>
      <w:bookmarkStart w:id="45" w:name="_Toc4251"/>
      <w:bookmarkStart w:id="46" w:name="_Toc15377204"/>
      <w:bookmarkStart w:id="47" w:name="_Toc1720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41"/>
      <w:bookmarkEnd w:id="42"/>
      <w:bookmarkEnd w:id="43"/>
      <w:bookmarkEnd w:id="44"/>
      <w:bookmarkEnd w:id="45"/>
      <w:bookmarkEnd w:id="46"/>
      <w:bookmarkEnd w:id="47"/>
    </w:p>
    <w:p w14:paraId="50DC3E80">
      <w:pPr>
        <w:rPr>
          <w:color w:val="auto"/>
          <w:highlight w:val="none"/>
        </w:rPr>
      </w:pPr>
    </w:p>
    <w:p w14:paraId="416DB0E8">
      <w:pPr>
        <w:pStyle w:val="24"/>
        <w:numPr>
          <w:ilvl w:val="0"/>
          <w:numId w:val="1"/>
        </w:numPr>
        <w:spacing w:line="600" w:lineRule="exact"/>
        <w:ind w:firstLineChars="0"/>
        <w:outlineLvl w:val="1"/>
        <w:rPr>
          <w:rStyle w:val="26"/>
          <w:rFonts w:ascii="黑体" w:hAnsi="黑体" w:eastAsia="黑体"/>
          <w:b w:val="0"/>
          <w:color w:val="auto"/>
          <w:highlight w:val="none"/>
        </w:rPr>
      </w:pPr>
      <w:bookmarkStart w:id="48" w:name="_Toc8903"/>
      <w:bookmarkStart w:id="49" w:name="_Toc11548"/>
      <w:bookmarkStart w:id="50" w:name="_Toc7725"/>
      <w:bookmarkStart w:id="51" w:name="_Toc15396603"/>
      <w:bookmarkStart w:id="52" w:name="_Toc6250"/>
      <w:bookmarkStart w:id="53" w:name="_Toc15377205"/>
      <w:bookmarkStart w:id="54" w:name="_Toc30587_WPSOffice_Level2"/>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48"/>
      <w:bookmarkEnd w:id="49"/>
      <w:bookmarkEnd w:id="50"/>
      <w:bookmarkEnd w:id="51"/>
      <w:bookmarkEnd w:id="52"/>
      <w:bookmarkEnd w:id="53"/>
      <w:bookmarkEnd w:id="54"/>
    </w:p>
    <w:p w14:paraId="51874DEF">
      <w:pPr>
        <w:snapToGrid w:val="0"/>
        <w:spacing w:line="520" w:lineRule="exact"/>
        <w:ind w:firstLine="640" w:firstLineChars="200"/>
        <w:rPr>
          <w:rFonts w:ascii="仿宋_GB2312" w:hAnsi="仿宋" w:eastAsia="仿宋_GB2312"/>
          <w:sz w:val="32"/>
          <w:szCs w:val="32"/>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、支总计3172.61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、支总计</w:t>
      </w:r>
      <w:r>
        <w:rPr>
          <w:rFonts w:hint="eastAsia" w:ascii="仿宋" w:hAnsi="仿宋" w:eastAsia="仿宋"/>
          <w:color w:val="auto"/>
          <w:sz w:val="32"/>
          <w:szCs w:val="32"/>
          <w:highlight w:val="none"/>
        </w:rPr>
        <w:t>各增加</w:t>
      </w:r>
      <w:r>
        <w:rPr>
          <w:rFonts w:hint="eastAsia" w:ascii="仿宋" w:hAnsi="仿宋" w:eastAsia="仿宋"/>
          <w:color w:val="auto"/>
          <w:sz w:val="32"/>
          <w:szCs w:val="32"/>
          <w:highlight w:val="none"/>
          <w:lang w:val="en-US" w:eastAsia="zh-CN"/>
        </w:rPr>
        <w:t>560.88万元,，增长21.48%</w:t>
      </w:r>
      <w:r>
        <w:rPr>
          <w:rFonts w:hint="eastAsia" w:ascii="仿宋" w:hAnsi="仿宋" w:eastAsia="仿宋"/>
          <w:color w:val="auto"/>
          <w:sz w:val="32"/>
          <w:szCs w:val="32"/>
          <w:highlight w:val="none"/>
        </w:rPr>
        <w:t>。</w:t>
      </w:r>
      <w:r>
        <w:rPr>
          <w:rFonts w:hint="eastAsia" w:ascii="仿宋_GB2312" w:hAnsi="黑体" w:eastAsia="仿宋_GB2312"/>
          <w:sz w:val="32"/>
          <w:szCs w:val="32"/>
        </w:rPr>
        <w:t>主要原因是2021年度河东管委会项目经费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14:paraId="281A499B">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6E6692F2">
      <w:pPr>
        <w:pStyle w:val="6"/>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937760" cy="3620770"/>
            <wp:effectExtent l="0" t="0" r="15240" b="17780"/>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10"/>
                    <a:stretch>
                      <a:fillRect/>
                    </a:stretch>
                  </pic:blipFill>
                  <pic:spPr>
                    <a:xfrm>
                      <a:off x="0" y="0"/>
                      <a:ext cx="4937760" cy="3620770"/>
                    </a:xfrm>
                    <a:prstGeom prst="rect">
                      <a:avLst/>
                    </a:prstGeom>
                  </pic:spPr>
                </pic:pic>
              </a:graphicData>
            </a:graphic>
          </wp:inline>
        </w:drawing>
      </w:r>
    </w:p>
    <w:p w14:paraId="50518041">
      <w:pPr>
        <w:pStyle w:val="24"/>
        <w:numPr>
          <w:ilvl w:val="0"/>
          <w:numId w:val="1"/>
        </w:numPr>
        <w:spacing w:line="600" w:lineRule="exact"/>
        <w:ind w:firstLineChars="0"/>
        <w:outlineLvl w:val="1"/>
        <w:rPr>
          <w:rStyle w:val="26"/>
          <w:rFonts w:ascii="黑体" w:hAnsi="黑体" w:eastAsia="黑体"/>
          <w:b w:val="0"/>
          <w:color w:val="auto"/>
          <w:highlight w:val="none"/>
        </w:rPr>
      </w:pPr>
      <w:bookmarkStart w:id="55" w:name="_Toc10116"/>
      <w:bookmarkStart w:id="56" w:name="_Toc15396604"/>
      <w:bookmarkStart w:id="57" w:name="_Toc20236"/>
      <w:bookmarkStart w:id="58" w:name="_Toc26969_WPSOffice_Level2"/>
      <w:bookmarkStart w:id="59" w:name="_Toc15582"/>
      <w:bookmarkStart w:id="60" w:name="_Toc555"/>
      <w:bookmarkStart w:id="61"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55"/>
      <w:bookmarkEnd w:id="56"/>
      <w:bookmarkEnd w:id="57"/>
      <w:bookmarkEnd w:id="58"/>
      <w:bookmarkEnd w:id="59"/>
      <w:bookmarkEnd w:id="60"/>
      <w:bookmarkEnd w:id="61"/>
    </w:p>
    <w:p w14:paraId="5DADDEBE">
      <w:pPr>
        <w:spacing w:line="600" w:lineRule="exact"/>
        <w:ind w:firstLine="640" w:firstLineChars="200"/>
        <w:outlineLvl w:val="1"/>
      </w:pPr>
      <w:bookmarkStart w:id="62" w:name="_Toc8652"/>
      <w:bookmarkStart w:id="63" w:name="_Toc9985"/>
      <w:bookmarkStart w:id="64" w:name="_Toc27695"/>
      <w:bookmarkStart w:id="65" w:name="_Toc1830"/>
      <w:bookmarkStart w:id="66" w:name="_Toc11259"/>
      <w:bookmarkStart w:id="67" w:name="_Toc20681"/>
      <w:bookmarkStart w:id="68" w:name="_Toc2234"/>
      <w:bookmarkStart w:id="69" w:name="_Toc16737"/>
      <w:bookmarkStart w:id="70" w:name="_Toc5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_GB2312" w:hAnsi="黑体" w:eastAsia="仿宋_GB2312"/>
          <w:sz w:val="32"/>
          <w:szCs w:val="32"/>
        </w:rPr>
        <w:t>2619.65</w:t>
      </w:r>
      <w:r>
        <w:rPr>
          <w:rFonts w:hint="eastAsia" w:ascii="仿宋" w:hAnsi="仿宋" w:eastAsia="仿宋"/>
          <w:color w:val="auto"/>
          <w:sz w:val="32"/>
          <w:szCs w:val="32"/>
          <w:highlight w:val="none"/>
        </w:rPr>
        <w:t>万元，其中：一般公共预算财政拨款收入</w:t>
      </w:r>
      <w:r>
        <w:rPr>
          <w:rFonts w:hint="eastAsia" w:ascii="仿宋_GB2312" w:hAnsi="黑体" w:eastAsia="仿宋_GB2312"/>
          <w:sz w:val="32"/>
          <w:szCs w:val="32"/>
        </w:rPr>
        <w:t>1726.7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65.91</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其他收入892.95万元，占</w:t>
      </w:r>
      <w:r>
        <w:rPr>
          <w:rFonts w:hint="eastAsia" w:ascii="仿宋" w:hAnsi="仿宋" w:eastAsia="仿宋"/>
          <w:color w:val="auto"/>
          <w:sz w:val="32"/>
          <w:szCs w:val="32"/>
          <w:highlight w:val="none"/>
          <w:lang w:val="en-US" w:eastAsia="zh-CN"/>
        </w:rPr>
        <w:t>34.09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62"/>
      <w:bookmarkEnd w:id="63"/>
      <w:bookmarkEnd w:id="64"/>
      <w:bookmarkEnd w:id="65"/>
      <w:bookmarkEnd w:id="66"/>
      <w:bookmarkEnd w:id="67"/>
      <w:bookmarkEnd w:id="68"/>
      <w:bookmarkEnd w:id="69"/>
      <w:bookmarkEnd w:id="70"/>
    </w:p>
    <w:p w14:paraId="40A778DA">
      <w:pPr>
        <w:spacing w:line="600" w:lineRule="exact"/>
        <w:rPr>
          <w:rFonts w:hint="eastAsia" w:ascii="仿宋" w:hAnsi="仿宋" w:eastAsia="仿宋"/>
          <w:color w:val="auto"/>
          <w:sz w:val="32"/>
          <w:szCs w:val="32"/>
          <w:highlight w:val="none"/>
        </w:rPr>
      </w:pPr>
    </w:p>
    <w:p w14:paraId="354FE335">
      <w:pPr>
        <w:spacing w:line="600" w:lineRule="exact"/>
        <w:rPr>
          <w:rFonts w:hint="eastAsia" w:ascii="仿宋" w:hAnsi="仿宋" w:eastAsia="仿宋"/>
          <w:color w:val="auto"/>
          <w:sz w:val="32"/>
          <w:szCs w:val="32"/>
          <w:highlight w:val="none"/>
        </w:rPr>
      </w:pPr>
    </w:p>
    <w:p w14:paraId="39243680">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14:paraId="42FB28EC">
      <w:pPr>
        <w:pStyle w:val="6"/>
        <w:jc w:val="center"/>
        <w:rPr>
          <w:rFonts w:ascii="仿宋_GB2312" w:eastAsia="仿宋_GB2312"/>
          <w:color w:val="auto"/>
          <w:sz w:val="32"/>
          <w:szCs w:val="32"/>
          <w:highlight w:val="none"/>
        </w:rPr>
      </w:pPr>
      <w:r>
        <w:rPr>
          <w:rFonts w:hint="eastAsia" w:eastAsia="仿宋"/>
          <w:lang w:eastAsia="zh-CN"/>
        </w:rPr>
        <w:drawing>
          <wp:inline distT="0" distB="0" distL="114300" distR="114300">
            <wp:extent cx="4431665" cy="2901950"/>
            <wp:effectExtent l="0" t="0" r="6985" b="1270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1"/>
                    <a:stretch>
                      <a:fillRect/>
                    </a:stretch>
                  </pic:blipFill>
                  <pic:spPr>
                    <a:xfrm>
                      <a:off x="0" y="0"/>
                      <a:ext cx="4431665" cy="2901950"/>
                    </a:xfrm>
                    <a:prstGeom prst="rect">
                      <a:avLst/>
                    </a:prstGeom>
                  </pic:spPr>
                </pic:pic>
              </a:graphicData>
            </a:graphic>
          </wp:inline>
        </w:drawing>
      </w:r>
    </w:p>
    <w:p w14:paraId="63ED869E">
      <w:pPr>
        <w:pStyle w:val="24"/>
        <w:numPr>
          <w:ilvl w:val="0"/>
          <w:numId w:val="1"/>
        </w:numPr>
        <w:spacing w:line="600" w:lineRule="exact"/>
        <w:ind w:firstLineChars="0"/>
        <w:outlineLvl w:val="1"/>
        <w:rPr>
          <w:rStyle w:val="26"/>
          <w:rFonts w:ascii="黑体" w:hAnsi="黑体" w:eastAsia="黑体"/>
          <w:b w:val="0"/>
          <w:color w:val="auto"/>
          <w:highlight w:val="none"/>
        </w:rPr>
      </w:pPr>
      <w:bookmarkStart w:id="71" w:name="_Toc15396605"/>
      <w:bookmarkStart w:id="72" w:name="_Toc10691"/>
      <w:bookmarkStart w:id="73" w:name="_Toc1602_WPSOffice_Level2"/>
      <w:bookmarkStart w:id="74" w:name="_Toc15891"/>
      <w:bookmarkStart w:id="75" w:name="_Toc14078"/>
      <w:bookmarkStart w:id="76" w:name="_Toc15377207"/>
      <w:bookmarkStart w:id="77" w:name="_Toc28446"/>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71"/>
      <w:bookmarkEnd w:id="72"/>
      <w:bookmarkEnd w:id="73"/>
      <w:bookmarkEnd w:id="74"/>
      <w:bookmarkEnd w:id="75"/>
      <w:bookmarkEnd w:id="76"/>
      <w:bookmarkEnd w:id="77"/>
    </w:p>
    <w:p w14:paraId="505171AB">
      <w:pPr>
        <w:spacing w:line="600" w:lineRule="exact"/>
        <w:ind w:firstLine="640" w:firstLineChars="200"/>
        <w:outlineLvl w:val="1"/>
        <w:rPr>
          <w:rFonts w:ascii="仿宋" w:hAnsi="仿宋" w:eastAsia="仿宋"/>
          <w:color w:val="auto"/>
          <w:sz w:val="32"/>
          <w:szCs w:val="32"/>
          <w:highlight w:val="none"/>
          <w:shd w:val="pct10" w:color="auto" w:fill="FFFFFF"/>
        </w:rPr>
      </w:pPr>
      <w:bookmarkStart w:id="78" w:name="_Toc16126"/>
      <w:bookmarkStart w:id="79" w:name="_Toc28357"/>
      <w:bookmarkStart w:id="80" w:name="_Toc15485"/>
      <w:bookmarkStart w:id="81" w:name="_Toc617"/>
      <w:bookmarkStart w:id="82" w:name="_Toc24842"/>
      <w:bookmarkStart w:id="83" w:name="_Toc19515"/>
      <w:bookmarkStart w:id="84" w:name="_Toc16076"/>
      <w:bookmarkStart w:id="85" w:name="_Toc17950"/>
      <w:bookmarkStart w:id="86" w:name="_Toc1765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年本年支出合计2636.61万元，其中：基本支出1610.04万元，占</w:t>
      </w:r>
      <w:r>
        <w:rPr>
          <w:rFonts w:hint="eastAsia" w:ascii="仿宋" w:hAnsi="仿宋" w:eastAsia="仿宋"/>
          <w:color w:val="auto"/>
          <w:sz w:val="32"/>
          <w:szCs w:val="32"/>
          <w:highlight w:val="none"/>
          <w:lang w:val="en-US" w:eastAsia="zh-CN"/>
        </w:rPr>
        <w:t>61.06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；项目支出1026.57万元，占</w:t>
      </w:r>
      <w:r>
        <w:rPr>
          <w:rFonts w:hint="eastAsia" w:ascii="仿宋" w:hAnsi="仿宋" w:eastAsia="仿宋"/>
          <w:color w:val="auto"/>
          <w:sz w:val="32"/>
          <w:szCs w:val="32"/>
          <w:highlight w:val="none"/>
          <w:lang w:val="en-US" w:eastAsia="zh-CN"/>
        </w:rPr>
        <w:t>38.94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78"/>
      <w:bookmarkEnd w:id="79"/>
      <w:bookmarkEnd w:id="80"/>
      <w:bookmarkEnd w:id="81"/>
      <w:bookmarkEnd w:id="82"/>
      <w:bookmarkEnd w:id="83"/>
      <w:bookmarkEnd w:id="84"/>
      <w:bookmarkEnd w:id="85"/>
      <w:bookmarkEnd w:id="86"/>
    </w:p>
    <w:p w14:paraId="298C3EA8">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14:paraId="163EA89B">
      <w:pPr>
        <w:pStyle w:val="6"/>
        <w:jc w:val="center"/>
        <w:rPr>
          <w:rFonts w:ascii="仿宋_GB2312" w:eastAsia="仿宋_GB2312"/>
          <w:color w:val="auto"/>
          <w:sz w:val="32"/>
          <w:szCs w:val="32"/>
          <w:highlight w:val="none"/>
        </w:rPr>
      </w:pPr>
      <w:r>
        <w:rPr>
          <w:rFonts w:hint="eastAsia" w:eastAsia="仿宋"/>
          <w:lang w:eastAsia="zh-CN"/>
        </w:rPr>
        <w:drawing>
          <wp:inline distT="0" distB="0" distL="114300" distR="114300">
            <wp:extent cx="4431665" cy="2901950"/>
            <wp:effectExtent l="0" t="0" r="6985" b="1270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2"/>
                    <a:stretch>
                      <a:fillRect/>
                    </a:stretch>
                  </pic:blipFill>
                  <pic:spPr>
                    <a:xfrm>
                      <a:off x="0" y="0"/>
                      <a:ext cx="4431665" cy="2901950"/>
                    </a:xfrm>
                    <a:prstGeom prst="rect">
                      <a:avLst/>
                    </a:prstGeom>
                  </pic:spPr>
                </pic:pic>
              </a:graphicData>
            </a:graphic>
          </wp:inline>
        </w:drawing>
      </w:r>
    </w:p>
    <w:p w14:paraId="41C2137B">
      <w:pPr>
        <w:spacing w:line="600" w:lineRule="exact"/>
        <w:ind w:firstLine="640" w:firstLineChars="200"/>
        <w:outlineLvl w:val="1"/>
        <w:rPr>
          <w:rStyle w:val="26"/>
          <w:rFonts w:ascii="黑体" w:hAnsi="黑体" w:eastAsia="黑体"/>
          <w:b w:val="0"/>
          <w:color w:val="auto"/>
          <w:highlight w:val="none"/>
        </w:rPr>
      </w:pPr>
      <w:bookmarkStart w:id="87" w:name="_Toc30636_WPSOffice_Level2"/>
      <w:bookmarkStart w:id="88" w:name="_Toc15396606"/>
      <w:bookmarkStart w:id="89" w:name="_Toc20036"/>
      <w:bookmarkStart w:id="90" w:name="_Toc7319"/>
      <w:bookmarkStart w:id="91" w:name="_Toc5276"/>
      <w:bookmarkStart w:id="92" w:name="_Toc1365"/>
      <w:bookmarkStart w:id="93"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87"/>
      <w:bookmarkEnd w:id="88"/>
      <w:bookmarkEnd w:id="89"/>
      <w:bookmarkEnd w:id="90"/>
      <w:bookmarkEnd w:id="91"/>
      <w:bookmarkEnd w:id="92"/>
      <w:bookmarkEnd w:id="93"/>
    </w:p>
    <w:p w14:paraId="1AE54F2A">
      <w:pPr>
        <w:spacing w:line="600" w:lineRule="exact"/>
        <w:ind w:firstLine="640"/>
        <w:rPr>
          <w:rFonts w:hint="eastAsia" w:ascii="仿宋" w:hAnsi="仿宋" w:eastAsia="仿宋_GB2312"/>
          <w:color w:val="000000"/>
          <w:sz w:val="32"/>
          <w:szCs w:val="32"/>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、支总计</w:t>
      </w:r>
      <w:r>
        <w:rPr>
          <w:rFonts w:hint="eastAsia" w:ascii="仿宋" w:hAnsi="仿宋" w:eastAsia="仿宋"/>
          <w:color w:val="auto"/>
          <w:sz w:val="32"/>
          <w:szCs w:val="32"/>
          <w:highlight w:val="none"/>
        </w:rPr>
        <w:t>1781.4万元。与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rPr>
        <w:t>财政拨款收、支总计增加</w:t>
      </w:r>
      <w:r>
        <w:rPr>
          <w:rFonts w:hint="eastAsia" w:ascii="仿宋" w:hAnsi="仿宋" w:eastAsia="仿宋"/>
          <w:color w:val="auto"/>
          <w:sz w:val="32"/>
          <w:szCs w:val="32"/>
          <w:lang w:val="en-US" w:eastAsia="zh-CN"/>
        </w:rPr>
        <w:t>226.24万元</w:t>
      </w:r>
      <w:r>
        <w:rPr>
          <w:rFonts w:hint="eastAsia" w:ascii="仿宋" w:hAnsi="仿宋" w:eastAsia="仿宋"/>
          <w:color w:val="auto"/>
          <w:sz w:val="32"/>
          <w:szCs w:val="32"/>
        </w:rPr>
        <w:t>，增长</w:t>
      </w:r>
      <w:r>
        <w:rPr>
          <w:rFonts w:hint="eastAsia" w:ascii="仿宋" w:hAnsi="仿宋" w:eastAsia="仿宋"/>
          <w:color w:val="auto"/>
          <w:sz w:val="32"/>
          <w:szCs w:val="32"/>
          <w:lang w:val="en-US" w:eastAsia="zh-CN"/>
        </w:rPr>
        <w:t>14.55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rPr>
        <w:t>增加了</w:t>
      </w:r>
      <w:r>
        <w:rPr>
          <w:rFonts w:hint="eastAsia" w:ascii="仿宋_GB2312" w:hAnsi="仿宋" w:eastAsia="仿宋_GB2312"/>
          <w:sz w:val="32"/>
          <w:szCs w:val="32"/>
          <w:lang w:val="en-US" w:eastAsia="zh-CN"/>
        </w:rPr>
        <w:t>人员经费和项目经费</w:t>
      </w:r>
      <w:r>
        <w:rPr>
          <w:rFonts w:hint="eastAsia" w:ascii="仿宋_GB2312" w:hAnsi="仿宋" w:eastAsia="仿宋_GB2312"/>
          <w:sz w:val="32"/>
          <w:szCs w:val="32"/>
          <w:lang w:eastAsia="zh-CN"/>
        </w:rPr>
        <w:t>。</w:t>
      </w:r>
    </w:p>
    <w:p w14:paraId="325054D9">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495EB214">
      <w:pPr>
        <w:pStyle w:val="2"/>
        <w:jc w:val="cente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4937760" cy="3620770"/>
            <wp:effectExtent l="0" t="0" r="15240" b="1778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3"/>
                    <a:stretch>
                      <a:fillRect/>
                    </a:stretch>
                  </pic:blipFill>
                  <pic:spPr>
                    <a:xfrm>
                      <a:off x="0" y="0"/>
                      <a:ext cx="4937760" cy="3620770"/>
                    </a:xfrm>
                    <a:prstGeom prst="rect">
                      <a:avLst/>
                    </a:prstGeom>
                  </pic:spPr>
                </pic:pic>
              </a:graphicData>
            </a:graphic>
          </wp:inline>
        </w:drawing>
      </w:r>
    </w:p>
    <w:p w14:paraId="196D5C68">
      <w:pPr>
        <w:spacing w:line="600" w:lineRule="exact"/>
        <w:ind w:firstLine="640" w:firstLineChars="200"/>
        <w:outlineLvl w:val="1"/>
        <w:rPr>
          <w:rStyle w:val="26"/>
          <w:rFonts w:ascii="黑体" w:hAnsi="黑体" w:eastAsia="黑体"/>
          <w:b w:val="0"/>
          <w:color w:val="auto"/>
          <w:highlight w:val="none"/>
        </w:rPr>
      </w:pPr>
      <w:bookmarkStart w:id="94" w:name="_Toc22132"/>
      <w:bookmarkStart w:id="95" w:name="_Toc11857"/>
      <w:bookmarkStart w:id="96" w:name="_Toc29453"/>
      <w:bookmarkStart w:id="97" w:name="_Toc11250_WPSOffice_Level2"/>
      <w:bookmarkStart w:id="98" w:name="_Toc15396607"/>
      <w:bookmarkStart w:id="99" w:name="_Toc18668"/>
      <w:bookmarkStart w:id="10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94"/>
      <w:bookmarkEnd w:id="95"/>
      <w:bookmarkEnd w:id="96"/>
      <w:bookmarkEnd w:id="97"/>
      <w:bookmarkEnd w:id="98"/>
      <w:bookmarkEnd w:id="99"/>
      <w:bookmarkEnd w:id="100"/>
    </w:p>
    <w:p w14:paraId="062E871F">
      <w:pPr>
        <w:spacing w:line="600" w:lineRule="exact"/>
        <w:ind w:firstLine="643" w:firstLineChars="200"/>
        <w:outlineLvl w:val="2"/>
        <w:rPr>
          <w:rFonts w:ascii="仿宋" w:hAnsi="仿宋" w:eastAsia="仿宋"/>
          <w:b/>
          <w:color w:val="auto"/>
          <w:sz w:val="32"/>
          <w:szCs w:val="32"/>
          <w:highlight w:val="none"/>
        </w:rPr>
      </w:pPr>
      <w:bookmarkStart w:id="101" w:name="_Toc15377210"/>
      <w:bookmarkStart w:id="102" w:name="_Toc29115"/>
      <w:r>
        <w:rPr>
          <w:rFonts w:hint="eastAsia" w:ascii="仿宋" w:hAnsi="仿宋" w:eastAsia="仿宋"/>
          <w:b/>
          <w:color w:val="auto"/>
          <w:sz w:val="32"/>
          <w:szCs w:val="32"/>
          <w:highlight w:val="none"/>
        </w:rPr>
        <w:t>（一）一般公共预算财政拨款支出决算总体情况</w:t>
      </w:r>
      <w:bookmarkEnd w:id="101"/>
      <w:bookmarkEnd w:id="102"/>
    </w:p>
    <w:p w14:paraId="02BB778F">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年一般公共预算财政拨款支出1781.4万元，占本年支出合计的</w:t>
      </w:r>
      <w:r>
        <w:rPr>
          <w:rFonts w:hint="eastAsia" w:ascii="仿宋" w:hAnsi="仿宋" w:eastAsia="仿宋"/>
          <w:color w:val="auto"/>
          <w:sz w:val="32"/>
          <w:szCs w:val="32"/>
          <w:highlight w:val="none"/>
          <w:lang w:val="en-US" w:eastAsia="zh-CN"/>
        </w:rPr>
        <w:t>67.56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280.9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18.73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其他工资福利中支出目标奖。</w:t>
      </w:r>
    </w:p>
    <w:p w14:paraId="70EB1BF9">
      <w:pPr>
        <w:pStyle w:val="2"/>
        <w:rPr>
          <w:rFonts w:hint="eastAsia" w:ascii="仿宋" w:hAnsi="仿宋" w:eastAsia="仿宋"/>
          <w:color w:val="auto"/>
          <w:sz w:val="32"/>
          <w:szCs w:val="32"/>
          <w:highlight w:val="none"/>
          <w:lang w:eastAsia="zh-CN"/>
        </w:rPr>
      </w:pPr>
    </w:p>
    <w:p w14:paraId="28EEAC41">
      <w:pPr>
        <w:pStyle w:val="2"/>
        <w:rPr>
          <w:rFonts w:hint="eastAsia" w:ascii="仿宋" w:hAnsi="仿宋" w:eastAsia="仿宋"/>
          <w:color w:val="auto"/>
          <w:sz w:val="32"/>
          <w:szCs w:val="32"/>
          <w:highlight w:val="none"/>
          <w:lang w:eastAsia="zh-CN"/>
        </w:rPr>
      </w:pPr>
    </w:p>
    <w:p w14:paraId="38530553">
      <w:pPr>
        <w:pStyle w:val="2"/>
        <w:rPr>
          <w:rFonts w:hint="eastAsia" w:ascii="仿宋" w:hAnsi="仿宋" w:eastAsia="仿宋"/>
          <w:color w:val="auto"/>
          <w:sz w:val="32"/>
          <w:szCs w:val="32"/>
          <w:highlight w:val="none"/>
          <w:lang w:eastAsia="zh-CN"/>
        </w:rPr>
      </w:pPr>
    </w:p>
    <w:p w14:paraId="39688E02">
      <w:pPr>
        <w:pStyle w:val="2"/>
        <w:rPr>
          <w:rFonts w:hint="eastAsia" w:ascii="仿宋" w:hAnsi="仿宋" w:eastAsia="仿宋"/>
          <w:color w:val="auto"/>
          <w:sz w:val="32"/>
          <w:szCs w:val="32"/>
          <w:highlight w:val="none"/>
          <w:lang w:eastAsia="zh-CN"/>
        </w:rPr>
      </w:pPr>
    </w:p>
    <w:p w14:paraId="0EA6C173">
      <w:pPr>
        <w:pStyle w:val="2"/>
        <w:rPr>
          <w:rFonts w:hint="eastAsia" w:ascii="仿宋" w:hAnsi="仿宋" w:eastAsia="仿宋"/>
          <w:color w:val="auto"/>
          <w:sz w:val="32"/>
          <w:szCs w:val="32"/>
          <w:highlight w:val="none"/>
          <w:lang w:eastAsia="zh-CN"/>
        </w:rPr>
      </w:pPr>
    </w:p>
    <w:p w14:paraId="6A50A09A">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72D684F4">
      <w:pPr>
        <w:pStyle w:val="2"/>
        <w:jc w:val="center"/>
        <w:rPr>
          <w:rFonts w:hint="eastAsia" w:eastAsia="宋体"/>
          <w:lang w:eastAsia="zh-CN"/>
        </w:rPr>
      </w:pPr>
      <w:r>
        <w:rPr>
          <w:rFonts w:hint="eastAsia" w:eastAsia="宋体"/>
          <w:lang w:eastAsia="zh-CN"/>
        </w:rPr>
        <w:drawing>
          <wp:inline distT="0" distB="0" distL="114300" distR="114300">
            <wp:extent cx="4455160" cy="3138805"/>
            <wp:effectExtent l="0" t="0" r="2540" b="444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4"/>
                    <a:stretch>
                      <a:fillRect/>
                    </a:stretch>
                  </pic:blipFill>
                  <pic:spPr>
                    <a:xfrm>
                      <a:off x="0" y="0"/>
                      <a:ext cx="4455160" cy="3138805"/>
                    </a:xfrm>
                    <a:prstGeom prst="rect">
                      <a:avLst/>
                    </a:prstGeom>
                  </pic:spPr>
                </pic:pic>
              </a:graphicData>
            </a:graphic>
          </wp:inline>
        </w:drawing>
      </w:r>
    </w:p>
    <w:p w14:paraId="47AF82E4">
      <w:pPr>
        <w:spacing w:line="600" w:lineRule="exact"/>
        <w:ind w:firstLine="643" w:firstLineChars="200"/>
        <w:outlineLvl w:val="2"/>
        <w:rPr>
          <w:rFonts w:ascii="仿宋" w:hAnsi="仿宋" w:eastAsia="仿宋"/>
          <w:b/>
          <w:color w:val="auto"/>
          <w:sz w:val="32"/>
          <w:szCs w:val="32"/>
          <w:highlight w:val="none"/>
        </w:rPr>
      </w:pPr>
      <w:bookmarkStart w:id="103" w:name="_Toc115"/>
      <w:bookmarkStart w:id="104" w:name="_Toc15377211"/>
      <w:r>
        <w:rPr>
          <w:rFonts w:hint="eastAsia" w:ascii="仿宋" w:hAnsi="仿宋" w:eastAsia="仿宋"/>
          <w:b/>
          <w:color w:val="auto"/>
          <w:sz w:val="32"/>
          <w:szCs w:val="32"/>
          <w:highlight w:val="none"/>
        </w:rPr>
        <w:t>（二）一般公共预算财政拨款支出决算结构情况</w:t>
      </w:r>
      <w:bookmarkEnd w:id="103"/>
      <w:bookmarkEnd w:id="104"/>
    </w:p>
    <w:p w14:paraId="0D85B03F">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年一般公共预算财政拨款支出1781.4万元，主要用于以下方面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公共安全（类）支出</w:t>
      </w:r>
      <w:r>
        <w:rPr>
          <w:rFonts w:hint="eastAsia" w:ascii="仿宋" w:hAnsi="仿宋" w:eastAsia="仿宋"/>
          <w:color w:val="auto"/>
          <w:sz w:val="32"/>
          <w:szCs w:val="32"/>
          <w:highlight w:val="none"/>
        </w:rPr>
        <w:t>1533.13万元，占</w:t>
      </w:r>
      <w:r>
        <w:rPr>
          <w:rFonts w:hint="eastAsia" w:ascii="仿宋" w:hAnsi="仿宋" w:eastAsia="仿宋"/>
          <w:color w:val="auto"/>
          <w:sz w:val="32"/>
          <w:szCs w:val="32"/>
          <w:highlight w:val="none"/>
          <w:lang w:val="en-US" w:eastAsia="zh-CN"/>
        </w:rPr>
        <w:t>86.06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支出90.93万元，占</w:t>
      </w:r>
      <w:r>
        <w:rPr>
          <w:rFonts w:hint="eastAsia" w:ascii="仿宋" w:hAnsi="仿宋" w:eastAsia="仿宋"/>
          <w:color w:val="auto"/>
          <w:sz w:val="32"/>
          <w:szCs w:val="32"/>
          <w:highlight w:val="none"/>
          <w:lang w:val="en-US" w:eastAsia="zh-CN"/>
        </w:rPr>
        <w:t>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51.7万元，占</w:t>
      </w:r>
      <w:r>
        <w:rPr>
          <w:rFonts w:hint="eastAsia" w:ascii="仿宋" w:hAnsi="仿宋" w:eastAsia="仿宋"/>
          <w:color w:val="auto"/>
          <w:sz w:val="32"/>
          <w:szCs w:val="32"/>
          <w:highlight w:val="none"/>
          <w:lang w:val="en-US" w:eastAsia="zh-CN"/>
        </w:rPr>
        <w:t>2.91</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；住房保障支出105.14万元，占</w:t>
      </w:r>
      <w:r>
        <w:rPr>
          <w:rFonts w:hint="eastAsia" w:ascii="仿宋" w:hAnsi="仿宋" w:eastAsia="仿宋"/>
          <w:color w:val="auto"/>
          <w:sz w:val="32"/>
          <w:szCs w:val="32"/>
          <w:highlight w:val="none"/>
          <w:lang w:val="en-US" w:eastAsia="zh-CN"/>
        </w:rPr>
        <w:t>5.9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809B626">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262FA870">
      <w:pPr>
        <w:pStyle w:val="2"/>
        <w:jc w:val="center"/>
        <w:rPr>
          <w:rFonts w:hint="eastAsia" w:ascii="仿宋" w:hAnsi="仿宋" w:eastAsia="仿宋"/>
          <w:b/>
          <w:color w:val="auto"/>
          <w:sz w:val="32"/>
          <w:szCs w:val="32"/>
          <w:highlight w:val="none"/>
        </w:rPr>
      </w:pPr>
      <w:bookmarkStart w:id="105" w:name="_Toc15377212"/>
      <w:r>
        <w:rPr>
          <w:rFonts w:hint="eastAsia" w:eastAsia="仿宋"/>
          <w:lang w:eastAsia="zh-CN"/>
        </w:rPr>
        <w:drawing>
          <wp:inline distT="0" distB="0" distL="114300" distR="114300">
            <wp:extent cx="2653030" cy="2010410"/>
            <wp:effectExtent l="0" t="0" r="13970" b="889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5"/>
                    <a:stretch>
                      <a:fillRect/>
                    </a:stretch>
                  </pic:blipFill>
                  <pic:spPr>
                    <a:xfrm>
                      <a:off x="0" y="0"/>
                      <a:ext cx="2653030" cy="2010410"/>
                    </a:xfrm>
                    <a:prstGeom prst="rect">
                      <a:avLst/>
                    </a:prstGeom>
                  </pic:spPr>
                </pic:pic>
              </a:graphicData>
            </a:graphic>
          </wp:inline>
        </w:drawing>
      </w:r>
    </w:p>
    <w:p w14:paraId="7E62C0FC">
      <w:pPr>
        <w:spacing w:line="600" w:lineRule="exact"/>
        <w:ind w:firstLine="643" w:firstLineChars="200"/>
        <w:outlineLvl w:val="2"/>
        <w:rPr>
          <w:rFonts w:ascii="仿宋" w:hAnsi="仿宋" w:eastAsia="仿宋"/>
          <w:b/>
          <w:color w:val="auto"/>
          <w:sz w:val="32"/>
          <w:szCs w:val="32"/>
          <w:highlight w:val="none"/>
        </w:rPr>
      </w:pPr>
      <w:bookmarkStart w:id="106" w:name="_Toc16694"/>
      <w:r>
        <w:rPr>
          <w:rFonts w:hint="eastAsia" w:ascii="仿宋" w:hAnsi="仿宋" w:eastAsia="仿宋"/>
          <w:b/>
          <w:color w:val="auto"/>
          <w:sz w:val="32"/>
          <w:szCs w:val="32"/>
          <w:highlight w:val="none"/>
        </w:rPr>
        <w:t>（三）一般公共预算财政拨款支出决算具体情况</w:t>
      </w:r>
      <w:bookmarkEnd w:id="105"/>
      <w:bookmarkEnd w:id="106"/>
    </w:p>
    <w:p w14:paraId="12454676">
      <w:pPr>
        <w:spacing w:line="600" w:lineRule="exact"/>
        <w:ind w:firstLine="643" w:firstLineChars="200"/>
        <w:outlineLvl w:val="2"/>
        <w:rPr>
          <w:rFonts w:ascii="仿宋" w:hAnsi="仿宋" w:eastAsia="仿宋"/>
          <w:color w:val="auto"/>
          <w:sz w:val="32"/>
          <w:szCs w:val="32"/>
          <w:highlight w:val="none"/>
        </w:rPr>
      </w:pPr>
      <w:bookmarkStart w:id="107" w:name="_Toc15377444"/>
      <w:bookmarkStart w:id="108" w:name="_Toc20635"/>
      <w:bookmarkStart w:id="109" w:name="_Toc15377213"/>
      <w:bookmarkStart w:id="110" w:name="_Toc15378460"/>
      <w:bookmarkStart w:id="111" w:name="_Toc2980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般公共预算支出决算数为1781.4</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107"/>
      <w:bookmarkEnd w:id="108"/>
      <w:bookmarkEnd w:id="109"/>
      <w:bookmarkEnd w:id="110"/>
      <w:bookmarkEnd w:id="111"/>
    </w:p>
    <w:p w14:paraId="347FB74A">
      <w:pPr>
        <w:numPr>
          <w:ilvl w:val="0"/>
          <w:numId w:val="2"/>
        </w:numPr>
        <w:spacing w:line="600" w:lineRule="exact"/>
        <w:ind w:firstLine="643"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auto"/>
          <w:sz w:val="32"/>
          <w:szCs w:val="32"/>
          <w:highlight w:val="none"/>
        </w:rPr>
        <w:t>公共安全支出（类）公安（款）行政运行（项）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支出决算为1361.7</w:t>
      </w:r>
      <w:r>
        <w:rPr>
          <w:rStyle w:val="15"/>
          <w:rFonts w:hint="eastAsia" w:ascii="仿宋" w:hAnsi="仿宋" w:eastAsia="仿宋"/>
          <w:b w:val="0"/>
          <w:bCs/>
          <w:color w:val="auto"/>
          <w:sz w:val="32"/>
          <w:szCs w:val="32"/>
          <w:highlight w:val="none"/>
          <w:lang w:val="en-US" w:eastAsia="zh-CN"/>
        </w:rPr>
        <w:t>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val="en-US" w:eastAsia="zh-CN"/>
        </w:rPr>
        <w:t xml:space="preserve"> </w:t>
      </w:r>
    </w:p>
    <w:p w14:paraId="14572913">
      <w:pPr>
        <w:numPr>
          <w:ilvl w:val="0"/>
          <w:numId w:val="2"/>
        </w:num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rPr>
        <w:t>公共安全支出（类）公安（款）一般行政管理事务（项）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支出决算为171.36万元，完成预算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val="en-US" w:eastAsia="zh-CN"/>
        </w:rPr>
        <w:t xml:space="preserve"> </w:t>
      </w:r>
    </w:p>
    <w:p w14:paraId="55BAEE34">
      <w:pPr>
        <w:numPr>
          <w:ilvl w:val="0"/>
          <w:numId w:val="2"/>
        </w:num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rPr>
        <w:t>社会保障和就业（类）行政事业单位养老支出（款）行政单位离退休（项）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支出决算为0.17万元，完成预算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14:paraId="2E1664F8">
      <w:pPr>
        <w:numPr>
          <w:ilvl w:val="0"/>
          <w:numId w:val="2"/>
        </w:numPr>
        <w:spacing w:line="600" w:lineRule="exact"/>
        <w:ind w:firstLine="643"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rPr>
        <w:t>社会保障和就业（类）行政事业单位养老支出（款）机关事业单位基本养老保险缴费支出（项）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支出决算为90.77万元，完成预算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val="en-US" w:eastAsia="zh-CN"/>
        </w:rPr>
        <w:t xml:space="preserve"> </w:t>
      </w:r>
    </w:p>
    <w:p w14:paraId="34689DDE">
      <w:pPr>
        <w:numPr>
          <w:ilvl w:val="0"/>
          <w:numId w:val="2"/>
        </w:numPr>
        <w:spacing w:line="600" w:lineRule="exact"/>
        <w:ind w:left="0" w:leftChars="0" w:firstLine="643" w:firstLineChars="200"/>
        <w:rPr>
          <w:rStyle w:val="15"/>
          <w:rFonts w:hint="eastAsia" w:ascii="仿宋" w:hAnsi="仿宋" w:eastAsia="仿宋"/>
          <w:b w:val="0"/>
          <w:bCs/>
          <w:color w:val="000000"/>
          <w:sz w:val="32"/>
          <w:szCs w:val="32"/>
        </w:rPr>
      </w:pPr>
      <w:r>
        <w:rPr>
          <w:rFonts w:hint="eastAsia" w:ascii="仿宋" w:hAnsi="仿宋" w:eastAsia="仿宋"/>
          <w:b/>
          <w:bCs/>
          <w:color w:val="auto"/>
          <w:sz w:val="32"/>
          <w:szCs w:val="32"/>
          <w:highlight w:val="none"/>
        </w:rPr>
        <w:t>卫生健康</w:t>
      </w:r>
      <w:r>
        <w:rPr>
          <w:rStyle w:val="15"/>
          <w:rFonts w:hint="eastAsia" w:ascii="仿宋" w:hAnsi="仿宋" w:eastAsia="仿宋"/>
          <w:bCs/>
          <w:color w:val="auto"/>
          <w:sz w:val="32"/>
          <w:szCs w:val="32"/>
          <w:highlight w:val="none"/>
        </w:rPr>
        <w:t>（类）行政事业单位医疗（款）行政单位医疗（项）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支出决算为51.7万元，完成预算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bookmarkStart w:id="112" w:name="_Toc27186"/>
      <w:bookmarkStart w:id="113" w:name="_Toc25567"/>
    </w:p>
    <w:p w14:paraId="5BCBC0A2">
      <w:pPr>
        <w:numPr>
          <w:ilvl w:val="0"/>
          <w:numId w:val="2"/>
        </w:numPr>
        <w:spacing w:line="600" w:lineRule="exact"/>
        <w:ind w:left="0" w:leftChars="0" w:firstLine="643" w:firstLineChars="200"/>
        <w:rPr>
          <w:rStyle w:val="15"/>
          <w:rFonts w:hint="eastAsia" w:ascii="仿宋" w:hAnsi="仿宋" w:eastAsia="仿宋"/>
          <w:b w:val="0"/>
          <w:bCs/>
          <w:color w:val="000000"/>
          <w:sz w:val="32"/>
          <w:szCs w:val="32"/>
        </w:rPr>
      </w:pPr>
      <w:r>
        <w:rPr>
          <w:rFonts w:ascii="仿宋_GB2312" w:hAnsi="仿宋_GB2312" w:eastAsia="仿宋_GB2312" w:cs="仿宋_GB2312"/>
          <w:b/>
          <w:bCs/>
          <w:sz w:val="32"/>
          <w:szCs w:val="32"/>
        </w:rPr>
        <w:t>住房保障支出（（类）住房改革支出（款）住房公积金（项）</w:t>
      </w:r>
      <w:r>
        <w:rPr>
          <w:rStyle w:val="15"/>
          <w:rFonts w:ascii="仿宋" w:hAnsi="仿宋" w:eastAsia="仿宋"/>
          <w:b/>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105.14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bookmarkEnd w:id="112"/>
      <w:bookmarkEnd w:id="113"/>
    </w:p>
    <w:p w14:paraId="437A6916">
      <w:pPr>
        <w:pStyle w:val="2"/>
        <w:numPr>
          <w:ilvl w:val="0"/>
          <w:numId w:val="2"/>
        </w:numPr>
        <w:ind w:left="0" w:leftChars="0" w:firstLine="643" w:firstLineChars="200"/>
        <w:rPr>
          <w:rStyle w:val="15"/>
          <w:rFonts w:hint="eastAsia" w:ascii="仿宋" w:hAnsi="仿宋" w:eastAsia="仿宋"/>
          <w:b w:val="0"/>
          <w:bCs/>
          <w:color w:val="000000"/>
          <w:sz w:val="32"/>
          <w:szCs w:val="32"/>
        </w:rPr>
      </w:pPr>
      <w:r>
        <w:rPr>
          <w:rFonts w:hint="eastAsia" w:ascii="仿宋_GB2312" w:hAnsi="仿宋_GB2312" w:eastAsia="仿宋_GB2312" w:cs="仿宋_GB2312"/>
          <w:b/>
          <w:bCs/>
          <w:sz w:val="32"/>
          <w:szCs w:val="32"/>
        </w:rPr>
        <w:t>其他支出</w:t>
      </w:r>
      <w:r>
        <w:rPr>
          <w:rFonts w:ascii="仿宋_GB2312" w:hAnsi="仿宋_GB2312" w:eastAsia="仿宋_GB2312" w:cs="仿宋_GB2312"/>
          <w:b/>
          <w:bCs/>
          <w:sz w:val="32"/>
          <w:szCs w:val="32"/>
        </w:rPr>
        <w:t>（（类）</w:t>
      </w:r>
      <w:r>
        <w:rPr>
          <w:rFonts w:hint="eastAsia" w:ascii="仿宋_GB2312" w:hAnsi="仿宋_GB2312" w:eastAsia="仿宋_GB2312" w:cs="仿宋_GB2312"/>
          <w:b/>
          <w:bCs/>
          <w:sz w:val="32"/>
          <w:szCs w:val="32"/>
        </w:rPr>
        <w:t>其他支出</w:t>
      </w:r>
      <w:r>
        <w:rPr>
          <w:rFonts w:ascii="仿宋_GB2312" w:hAnsi="仿宋_GB2312" w:eastAsia="仿宋_GB2312" w:cs="仿宋_GB2312"/>
          <w:b/>
          <w:bCs/>
          <w:sz w:val="32"/>
          <w:szCs w:val="32"/>
        </w:rPr>
        <w:t>（款）</w:t>
      </w:r>
      <w:r>
        <w:rPr>
          <w:rFonts w:hint="eastAsia" w:ascii="仿宋_GB2312" w:hAnsi="仿宋_GB2312" w:eastAsia="仿宋_GB2312" w:cs="仿宋_GB2312"/>
          <w:b/>
          <w:bCs/>
          <w:sz w:val="32"/>
          <w:szCs w:val="32"/>
        </w:rPr>
        <w:t>其他支出</w:t>
      </w:r>
      <w:r>
        <w:rPr>
          <w:rFonts w:ascii="仿宋_GB2312" w:hAnsi="仿宋_GB2312" w:eastAsia="仿宋_GB2312" w:cs="仿宋_GB2312"/>
          <w:b/>
          <w:bCs/>
          <w:sz w:val="32"/>
          <w:szCs w:val="32"/>
        </w:rPr>
        <w:t>（项）</w:t>
      </w:r>
      <w:r>
        <w:rPr>
          <w:rStyle w:val="15"/>
          <w:rFonts w:ascii="仿宋" w:hAnsi="仿宋" w:eastAsia="仿宋"/>
          <w:b/>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p>
    <w:p w14:paraId="50A813EE">
      <w:pPr>
        <w:tabs>
          <w:tab w:val="right" w:pos="8306"/>
        </w:tabs>
        <w:spacing w:line="600" w:lineRule="exact"/>
        <w:ind w:firstLine="640"/>
        <w:outlineLvl w:val="1"/>
        <w:rPr>
          <w:rStyle w:val="26"/>
          <w:color w:val="auto"/>
          <w:highlight w:val="none"/>
        </w:rPr>
      </w:pPr>
      <w:bookmarkStart w:id="114" w:name="_Toc31092"/>
      <w:bookmarkStart w:id="115" w:name="_Toc260"/>
      <w:bookmarkStart w:id="116" w:name="_Toc15377214"/>
      <w:bookmarkStart w:id="117" w:name="_Toc15396608"/>
      <w:bookmarkStart w:id="118" w:name="_Toc12280"/>
      <w:bookmarkStart w:id="119" w:name="_Toc9233"/>
      <w:bookmarkStart w:id="120" w:name="_Toc4799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114"/>
      <w:bookmarkEnd w:id="115"/>
      <w:bookmarkEnd w:id="116"/>
      <w:bookmarkEnd w:id="117"/>
      <w:bookmarkEnd w:id="118"/>
      <w:bookmarkEnd w:id="119"/>
      <w:bookmarkEnd w:id="120"/>
      <w:r>
        <w:rPr>
          <w:rStyle w:val="26"/>
          <w:rFonts w:ascii="黑体" w:hAnsi="黑体" w:eastAsia="黑体"/>
          <w:b w:val="0"/>
          <w:color w:val="auto"/>
          <w:highlight w:val="none"/>
        </w:rPr>
        <w:tab/>
      </w:r>
    </w:p>
    <w:p w14:paraId="3FE44081">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年一般公共预算财政拨款基本支出1610.04万元，其中：</w:t>
      </w:r>
    </w:p>
    <w:p w14:paraId="04C0596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人员经费1324.75万元，主要包括：基本工资、津贴补贴、奖金、机关事业单位基本养老保险缴费、职工基本医疗保险缴费</w:t>
      </w:r>
      <w:r>
        <w:rPr>
          <w:rFonts w:hint="eastAsia" w:ascii="仿宋" w:hAnsi="仿宋" w:eastAsia="仿宋"/>
          <w:color w:val="auto"/>
          <w:sz w:val="32"/>
          <w:szCs w:val="32"/>
          <w:highlight w:val="none"/>
          <w:lang w:eastAsia="zh-CN"/>
        </w:rPr>
        <w:t>、其他社会保障缴费、</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eastAsia="zh-CN"/>
        </w:rPr>
        <w:t>、其他工资福利支出</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282.07万元，主要包括：办公费、印刷费、水费、电费、邮电费、物业管理费、差旅费、维修（护）费、租赁费、培训费、劳务费、工会经费、福利费、公务用车运行维护费、其他交通费、其他商品和服务支出。</w:t>
      </w:r>
    </w:p>
    <w:p w14:paraId="17916066">
      <w:pPr>
        <w:spacing w:line="600" w:lineRule="exact"/>
        <w:ind w:firstLine="640"/>
        <w:outlineLvl w:val="1"/>
        <w:rPr>
          <w:rStyle w:val="26"/>
          <w:rFonts w:ascii="黑体" w:hAnsi="黑体" w:eastAsia="黑体"/>
          <w:b w:val="0"/>
          <w:color w:val="auto"/>
          <w:highlight w:val="none"/>
        </w:rPr>
      </w:pPr>
      <w:bookmarkStart w:id="121" w:name="_Toc172"/>
      <w:bookmarkStart w:id="122" w:name="_Toc21112"/>
      <w:bookmarkStart w:id="123" w:name="_Toc15396609"/>
      <w:bookmarkStart w:id="124" w:name="_Toc15339_WPSOffice_Level2"/>
      <w:bookmarkStart w:id="125" w:name="_Toc15377215"/>
      <w:bookmarkStart w:id="126" w:name="_Toc17530"/>
      <w:bookmarkStart w:id="127" w:name="_Toc28344"/>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121"/>
      <w:bookmarkEnd w:id="122"/>
      <w:bookmarkEnd w:id="123"/>
      <w:bookmarkEnd w:id="124"/>
      <w:bookmarkEnd w:id="125"/>
      <w:bookmarkEnd w:id="126"/>
      <w:bookmarkEnd w:id="127"/>
    </w:p>
    <w:p w14:paraId="20858818">
      <w:pPr>
        <w:spacing w:line="600" w:lineRule="exact"/>
        <w:ind w:firstLine="640"/>
        <w:outlineLvl w:val="2"/>
        <w:rPr>
          <w:rFonts w:ascii="仿宋" w:hAnsi="仿宋" w:eastAsia="仿宋"/>
          <w:b/>
          <w:color w:val="auto"/>
          <w:sz w:val="32"/>
          <w:szCs w:val="32"/>
          <w:highlight w:val="none"/>
        </w:rPr>
      </w:pPr>
      <w:bookmarkStart w:id="128" w:name="_Toc15377216"/>
      <w:bookmarkStart w:id="129" w:name="_Toc4628"/>
      <w:r>
        <w:rPr>
          <w:rFonts w:hint="eastAsia" w:ascii="仿宋" w:hAnsi="仿宋" w:eastAsia="仿宋"/>
          <w:b/>
          <w:color w:val="auto"/>
          <w:sz w:val="32"/>
          <w:szCs w:val="32"/>
          <w:highlight w:val="none"/>
        </w:rPr>
        <w:t>（一）“三公”经费财政拨款支出决算总体情况说明</w:t>
      </w:r>
      <w:bookmarkEnd w:id="128"/>
      <w:bookmarkEnd w:id="129"/>
    </w:p>
    <w:p w14:paraId="22AEF7F1">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年“三公”经费财政拨款支出决算为5.6万元，完成预算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FD96E46">
      <w:pPr>
        <w:spacing w:line="600" w:lineRule="exact"/>
        <w:ind w:firstLine="640"/>
        <w:outlineLvl w:val="2"/>
        <w:rPr>
          <w:rFonts w:ascii="仿宋" w:hAnsi="仿宋" w:eastAsia="仿宋"/>
          <w:b/>
          <w:color w:val="auto"/>
          <w:sz w:val="32"/>
          <w:szCs w:val="32"/>
          <w:highlight w:val="none"/>
        </w:rPr>
      </w:pPr>
      <w:bookmarkStart w:id="130" w:name="_Toc15377217"/>
      <w:bookmarkStart w:id="131" w:name="_Toc9125"/>
      <w:r>
        <w:rPr>
          <w:rFonts w:hint="eastAsia" w:ascii="仿宋" w:hAnsi="仿宋" w:eastAsia="仿宋"/>
          <w:b/>
          <w:color w:val="auto"/>
          <w:sz w:val="32"/>
          <w:szCs w:val="32"/>
          <w:highlight w:val="none"/>
        </w:rPr>
        <w:t>（二）“三公”经费财政拨款支出决算具体情况说明</w:t>
      </w:r>
      <w:bookmarkEnd w:id="130"/>
      <w:bookmarkEnd w:id="131"/>
    </w:p>
    <w:p w14:paraId="6514D71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年“三公”经费财政拨款支出决算中，公务用车购置及运行维护费支出决算5.6万元，占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D4C6C6F">
      <w:pPr>
        <w:spacing w:line="600" w:lineRule="exact"/>
        <w:ind w:firstLine="640"/>
        <w:rPr>
          <w:rFonts w:hint="eastAsia"/>
        </w:rPr>
      </w:pPr>
      <w:r>
        <w:rPr>
          <w:rFonts w:hint="eastAsia" w:ascii="仿宋" w:hAnsi="仿宋" w:eastAsia="仿宋"/>
          <w:color w:val="auto"/>
          <w:sz w:val="32"/>
          <w:szCs w:val="32"/>
          <w:highlight w:val="none"/>
        </w:rPr>
        <w:t>（图7：“三公”经费财政拨款支出结构）</w:t>
      </w:r>
    </w:p>
    <w:p w14:paraId="6292D317">
      <w:pPr>
        <w:pStyle w:val="2"/>
        <w:rPr>
          <w:rFonts w:hint="eastAsia"/>
        </w:rPr>
      </w:pPr>
      <w:r>
        <w:drawing>
          <wp:anchor distT="0" distB="0" distL="114300" distR="114300" simplePos="0" relativeHeight="251661312" behindDoc="0" locked="0" layoutInCell="1" allowOverlap="1">
            <wp:simplePos x="0" y="0"/>
            <wp:positionH relativeFrom="column">
              <wp:posOffset>434975</wp:posOffset>
            </wp:positionH>
            <wp:positionV relativeFrom="paragraph">
              <wp:posOffset>157480</wp:posOffset>
            </wp:positionV>
            <wp:extent cx="4740910" cy="2218690"/>
            <wp:effectExtent l="0" t="0" r="2540" b="1016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6"/>
                    <a:stretch>
                      <a:fillRect/>
                    </a:stretch>
                  </pic:blipFill>
                  <pic:spPr>
                    <a:xfrm>
                      <a:off x="0" y="0"/>
                      <a:ext cx="4740910" cy="2218690"/>
                    </a:xfrm>
                    <a:prstGeom prst="rect">
                      <a:avLst/>
                    </a:prstGeom>
                    <a:noFill/>
                    <a:ln>
                      <a:noFill/>
                    </a:ln>
                  </pic:spPr>
                </pic:pic>
              </a:graphicData>
            </a:graphic>
          </wp:anchor>
        </w:drawing>
      </w:r>
    </w:p>
    <w:p w14:paraId="640E8675">
      <w:pPr>
        <w:pStyle w:val="2"/>
        <w:jc w:val="center"/>
      </w:pPr>
    </w:p>
    <w:p w14:paraId="247DA977">
      <w:pPr>
        <w:spacing w:line="600" w:lineRule="exact"/>
        <w:ind w:firstLine="640"/>
        <w:rPr>
          <w:rFonts w:ascii="仿宋_GB2312" w:eastAsia="仿宋_GB2312"/>
          <w:b/>
          <w:color w:val="auto"/>
          <w:sz w:val="32"/>
          <w:szCs w:val="32"/>
          <w:highlight w:val="none"/>
        </w:rPr>
      </w:pPr>
    </w:p>
    <w:p w14:paraId="425728B8">
      <w:pPr>
        <w:spacing w:line="600" w:lineRule="exact"/>
        <w:ind w:firstLine="640"/>
        <w:rPr>
          <w:rFonts w:ascii="仿宋_GB2312" w:eastAsia="仿宋_GB2312"/>
          <w:b/>
          <w:color w:val="auto"/>
          <w:sz w:val="32"/>
          <w:szCs w:val="32"/>
          <w:highlight w:val="none"/>
        </w:rPr>
      </w:pPr>
    </w:p>
    <w:p w14:paraId="2AB94348">
      <w:pPr>
        <w:spacing w:line="600" w:lineRule="exact"/>
        <w:ind w:firstLine="640"/>
        <w:rPr>
          <w:rFonts w:ascii="仿宋_GB2312" w:eastAsia="仿宋_GB2312"/>
          <w:b/>
          <w:color w:val="auto"/>
          <w:sz w:val="32"/>
          <w:szCs w:val="32"/>
          <w:highlight w:val="none"/>
        </w:rPr>
      </w:pPr>
    </w:p>
    <w:p w14:paraId="3B664C81">
      <w:pPr>
        <w:spacing w:line="600" w:lineRule="exact"/>
        <w:ind w:firstLine="640"/>
        <w:rPr>
          <w:rFonts w:ascii="仿宋_GB2312" w:eastAsia="仿宋_GB2312"/>
          <w:b/>
          <w:color w:val="auto"/>
          <w:sz w:val="32"/>
          <w:szCs w:val="32"/>
          <w:highlight w:val="none"/>
        </w:rPr>
      </w:pPr>
    </w:p>
    <w:p w14:paraId="416D7037">
      <w:pPr>
        <w:spacing w:line="600" w:lineRule="exact"/>
        <w:ind w:firstLine="643" w:firstLineChars="20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w:t>
      </w:r>
      <w:r>
        <w:rPr>
          <w:rFonts w:hint="eastAsia" w:ascii="仿宋_GB2312" w:eastAsia="仿宋_GB2312"/>
          <w:b/>
          <w:color w:val="auto"/>
          <w:sz w:val="32"/>
          <w:szCs w:val="32"/>
          <w:highlight w:val="none"/>
          <w:lang w:eastAsia="zh-CN"/>
        </w:rPr>
        <w:t>无</w:t>
      </w:r>
      <w:r>
        <w:rPr>
          <w:rFonts w:hint="eastAsia" w:ascii="仿宋_GB2312" w:eastAsia="仿宋_GB2312"/>
          <w:b/>
          <w:color w:val="auto"/>
          <w:sz w:val="32"/>
          <w:szCs w:val="32"/>
          <w:highlight w:val="none"/>
        </w:rPr>
        <w:t>支出</w:t>
      </w:r>
      <w:r>
        <w:rPr>
          <w:rFonts w:hint="eastAsia" w:ascii="仿宋_GB2312" w:eastAsia="仿宋_GB2312"/>
          <w:b/>
          <w:color w:val="auto"/>
          <w:sz w:val="32"/>
          <w:szCs w:val="32"/>
          <w:highlight w:val="none"/>
          <w:lang w:eastAsia="zh-CN"/>
        </w:rPr>
        <w:t>。</w:t>
      </w:r>
    </w:p>
    <w:p w14:paraId="6C50A62E">
      <w:pPr>
        <w:spacing w:line="600" w:lineRule="exact"/>
        <w:ind w:firstLine="640"/>
        <w:rPr>
          <w:rFonts w:hint="eastAsia" w:ascii="仿宋" w:hAnsi="仿宋" w:eastAsia="仿宋" w:cs="仿宋"/>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s="仿宋"/>
          <w:color w:val="auto"/>
          <w:sz w:val="32"/>
          <w:szCs w:val="32"/>
          <w:highlight w:val="none"/>
        </w:rPr>
        <w:t>5.6万元,</w:t>
      </w:r>
      <w:r>
        <w:rPr>
          <w:rStyle w:val="15"/>
          <w:rFonts w:hint="eastAsia" w:ascii="仿宋" w:hAnsi="仿宋" w:eastAsia="仿宋" w:cs="仿宋"/>
          <w:b w:val="0"/>
          <w:bCs/>
          <w:color w:val="auto"/>
          <w:sz w:val="32"/>
          <w:szCs w:val="32"/>
          <w:highlight w:val="none"/>
        </w:rPr>
        <w:t>完成预算</w:t>
      </w:r>
      <w:r>
        <w:rPr>
          <w:rStyle w:val="15"/>
          <w:rFonts w:hint="eastAsia" w:ascii="仿宋" w:hAnsi="仿宋" w:eastAsia="仿宋" w:cs="仿宋"/>
          <w:b w:val="0"/>
          <w:bCs/>
          <w:color w:val="auto"/>
          <w:sz w:val="32"/>
          <w:szCs w:val="32"/>
          <w:highlight w:val="none"/>
          <w:lang w:val="en-US" w:eastAsia="zh-CN"/>
        </w:rPr>
        <w:t>100</w:t>
      </w:r>
      <w:r>
        <w:rPr>
          <w:rStyle w:val="15"/>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p>
    <w:p w14:paraId="07357E91">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w:t>
      </w:r>
      <w:r>
        <w:rPr>
          <w:rFonts w:hint="eastAsia" w:ascii="仿宋" w:hAnsi="仿宋" w:eastAsia="仿宋" w:cs="仿宋"/>
          <w:color w:val="auto"/>
          <w:sz w:val="32"/>
          <w:szCs w:val="32"/>
          <w:highlight w:val="none"/>
        </w:rPr>
        <w:t>单位共有公务用车</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w:t>
      </w:r>
    </w:p>
    <w:p w14:paraId="2B22C871">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执法办案工作等</w:t>
      </w:r>
      <w:r>
        <w:rPr>
          <w:rFonts w:hint="eastAsia" w:ascii="仿宋_GB2312" w:eastAsia="仿宋_GB2312"/>
          <w:color w:val="auto"/>
          <w:sz w:val="32"/>
          <w:szCs w:val="32"/>
          <w:highlight w:val="none"/>
        </w:rPr>
        <w:t>所需的公务用车燃料费、维修费、过路过桥费、保险费等支出。</w:t>
      </w:r>
      <w:bookmarkStart w:id="132" w:name="_Toc15396610"/>
      <w:bookmarkStart w:id="133" w:name="_Toc15377218"/>
    </w:p>
    <w:p w14:paraId="53DC1E2C">
      <w:pPr>
        <w:numPr>
          <w:ilvl w:val="0"/>
          <w:numId w:val="0"/>
        </w:numPr>
        <w:spacing w:line="240" w:lineRule="auto"/>
        <w:ind w:firstLine="643" w:firstLineChars="200"/>
        <w:jc w:val="left"/>
        <w:rPr>
          <w:rFonts w:hint="eastAsia"/>
        </w:rPr>
      </w:pPr>
      <w:r>
        <w:rPr>
          <w:rFonts w:hint="eastAsia" w:ascii="仿宋_GB2312" w:eastAsia="仿宋_GB2312" w:cs="Times New Roman"/>
          <w:b/>
          <w:color w:val="000000"/>
          <w:sz w:val="32"/>
          <w:szCs w:val="32"/>
          <w:lang w:val="en-US" w:eastAsia="zh-CN"/>
        </w:rPr>
        <w:t>3.</w:t>
      </w:r>
      <w:r>
        <w:rPr>
          <w:rFonts w:hint="eastAsia" w:ascii="仿宋_GB2312" w:eastAsia="仿宋_GB2312" w:cs="Times New Roman"/>
          <w:b/>
          <w:color w:val="000000"/>
          <w:sz w:val="32"/>
          <w:szCs w:val="32"/>
        </w:rPr>
        <w:t>公务接待费</w:t>
      </w:r>
      <w:r>
        <w:rPr>
          <w:rFonts w:hint="eastAsia" w:ascii="仿宋_GB2312" w:eastAsia="仿宋_GB2312" w:cs="Times New Roman"/>
          <w:b/>
          <w:color w:val="000000"/>
          <w:sz w:val="32"/>
          <w:szCs w:val="32"/>
          <w:lang w:eastAsia="zh-CN"/>
        </w:rPr>
        <w:t>无</w:t>
      </w:r>
      <w:r>
        <w:rPr>
          <w:rFonts w:hint="eastAsia" w:ascii="仿宋_GB2312" w:eastAsia="仿宋_GB2312" w:cs="Times New Roman"/>
          <w:b/>
          <w:color w:val="000000"/>
          <w:sz w:val="32"/>
          <w:szCs w:val="32"/>
        </w:rPr>
        <w:t>支出</w:t>
      </w:r>
      <w:r>
        <w:rPr>
          <w:rFonts w:hint="eastAsia" w:ascii="仿宋_GB2312" w:eastAsia="仿宋_GB2312" w:cs="Times New Roman"/>
          <w:b/>
          <w:color w:val="000000"/>
          <w:sz w:val="32"/>
          <w:szCs w:val="32"/>
          <w:lang w:eastAsia="zh-CN"/>
        </w:rPr>
        <w:t>。</w:t>
      </w:r>
    </w:p>
    <w:p w14:paraId="682241E7">
      <w:pPr>
        <w:spacing w:line="600" w:lineRule="exact"/>
        <w:ind w:firstLine="640"/>
        <w:rPr>
          <w:rStyle w:val="26"/>
          <w:rFonts w:ascii="黑体" w:hAnsi="黑体" w:eastAsia="黑体"/>
          <w:color w:val="auto"/>
          <w:highlight w:val="none"/>
        </w:rPr>
      </w:pPr>
      <w:bookmarkStart w:id="134" w:name="_Toc11872_WPSOffice_Level2"/>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132"/>
      <w:bookmarkEnd w:id="133"/>
      <w:bookmarkEnd w:id="134"/>
    </w:p>
    <w:p w14:paraId="3C1C981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支出。</w:t>
      </w:r>
    </w:p>
    <w:p w14:paraId="4981CC99">
      <w:pPr>
        <w:numPr>
          <w:ilvl w:val="0"/>
          <w:numId w:val="3"/>
        </w:numPr>
        <w:spacing w:line="600" w:lineRule="exact"/>
        <w:ind w:firstLine="640"/>
        <w:outlineLvl w:val="1"/>
        <w:rPr>
          <w:rStyle w:val="26"/>
          <w:rFonts w:ascii="黑体" w:hAnsi="黑体" w:eastAsia="黑体"/>
          <w:b w:val="0"/>
          <w:color w:val="auto"/>
          <w:highlight w:val="none"/>
        </w:rPr>
      </w:pPr>
      <w:bookmarkStart w:id="135" w:name="_Toc18018"/>
      <w:bookmarkStart w:id="136" w:name="_Toc14594_WPSOffice_Level2"/>
      <w:bookmarkStart w:id="137" w:name="_Toc15396611"/>
      <w:bookmarkStart w:id="138" w:name="_Toc20494"/>
      <w:bookmarkStart w:id="139" w:name="_Toc15377219"/>
      <w:bookmarkStart w:id="140" w:name="_Toc32246"/>
      <w:bookmarkStart w:id="141" w:name="_Toc11083"/>
      <w:bookmarkStart w:id="142" w:name="_Toc17274"/>
      <w:r>
        <w:rPr>
          <w:rStyle w:val="26"/>
          <w:rFonts w:hint="eastAsia" w:ascii="黑体" w:hAnsi="黑体" w:eastAsia="黑体"/>
          <w:b w:val="0"/>
          <w:color w:val="auto"/>
          <w:highlight w:val="none"/>
        </w:rPr>
        <w:t>国有资本经营预算支出决算情况说明</w:t>
      </w:r>
      <w:bookmarkEnd w:id="135"/>
      <w:bookmarkEnd w:id="136"/>
      <w:bookmarkEnd w:id="137"/>
      <w:bookmarkEnd w:id="138"/>
      <w:bookmarkEnd w:id="139"/>
      <w:bookmarkEnd w:id="140"/>
      <w:bookmarkEnd w:id="141"/>
    </w:p>
    <w:bookmarkEnd w:id="142"/>
    <w:p w14:paraId="67F33B7D">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支出。</w:t>
      </w:r>
    </w:p>
    <w:p w14:paraId="67D3ED9D">
      <w:pPr>
        <w:numPr>
          <w:ilvl w:val="0"/>
          <w:numId w:val="3"/>
        </w:numPr>
        <w:spacing w:line="600" w:lineRule="exact"/>
        <w:ind w:firstLine="640"/>
        <w:outlineLvl w:val="1"/>
        <w:rPr>
          <w:rStyle w:val="26"/>
          <w:rFonts w:hint="eastAsia" w:ascii="黑体" w:hAnsi="黑体" w:eastAsia="黑体"/>
          <w:b w:val="0"/>
          <w:color w:val="auto"/>
          <w:highlight w:val="none"/>
        </w:rPr>
      </w:pPr>
      <w:bookmarkStart w:id="143" w:name="_Toc12456"/>
      <w:bookmarkStart w:id="144" w:name="_Toc24256"/>
      <w:bookmarkStart w:id="145" w:name="_Toc12104_WPSOffice_Level2"/>
      <w:bookmarkStart w:id="146" w:name="_Toc22808"/>
      <w:bookmarkStart w:id="147" w:name="_Toc15377221"/>
      <w:bookmarkStart w:id="148" w:name="_Toc15396612"/>
      <w:bookmarkStart w:id="149" w:name="_Toc30269"/>
      <w:bookmarkStart w:id="150" w:name="_Toc2837"/>
      <w:r>
        <w:rPr>
          <w:rStyle w:val="26"/>
          <w:rFonts w:hint="eastAsia" w:ascii="黑体" w:hAnsi="黑体" w:eastAsia="黑体"/>
          <w:b w:val="0"/>
          <w:color w:val="auto"/>
          <w:highlight w:val="none"/>
        </w:rPr>
        <w:t>其他重要事项的情况说明</w:t>
      </w:r>
      <w:bookmarkEnd w:id="143"/>
      <w:bookmarkEnd w:id="144"/>
      <w:bookmarkEnd w:id="145"/>
      <w:bookmarkEnd w:id="146"/>
      <w:bookmarkEnd w:id="147"/>
      <w:bookmarkEnd w:id="148"/>
      <w:bookmarkEnd w:id="149"/>
    </w:p>
    <w:bookmarkEnd w:id="150"/>
    <w:p w14:paraId="25D3CBF8">
      <w:pPr>
        <w:spacing w:line="600" w:lineRule="exact"/>
        <w:ind w:firstLine="643" w:firstLineChars="200"/>
        <w:outlineLvl w:val="2"/>
        <w:rPr>
          <w:rFonts w:ascii="仿宋" w:hAnsi="仿宋" w:eastAsia="仿宋"/>
          <w:color w:val="auto"/>
          <w:sz w:val="32"/>
          <w:szCs w:val="32"/>
          <w:highlight w:val="none"/>
        </w:rPr>
      </w:pPr>
      <w:bookmarkStart w:id="151" w:name="_Toc15377222"/>
      <w:bookmarkStart w:id="152" w:name="_Toc27367"/>
      <w:r>
        <w:rPr>
          <w:rFonts w:hint="eastAsia" w:ascii="仿宋" w:hAnsi="仿宋" w:eastAsia="仿宋"/>
          <w:b/>
          <w:color w:val="auto"/>
          <w:sz w:val="32"/>
          <w:szCs w:val="32"/>
          <w:highlight w:val="none"/>
        </w:rPr>
        <w:t>（一）机关运行经费支出情况</w:t>
      </w:r>
      <w:bookmarkEnd w:id="151"/>
      <w:bookmarkEnd w:id="152"/>
    </w:p>
    <w:p w14:paraId="4CAE3ECA">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遂宁市公安局河东新区分局</w:t>
      </w:r>
      <w:r>
        <w:rPr>
          <w:rFonts w:hint="eastAsia" w:ascii="仿宋_GB2312" w:eastAsia="仿宋_GB2312"/>
          <w:color w:val="auto"/>
          <w:sz w:val="32"/>
          <w:szCs w:val="32"/>
          <w:highlight w:val="none"/>
        </w:rPr>
        <w:t>机关运行经费支出282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31.64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12.63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机关运行的各项费用增加</w:t>
      </w:r>
      <w:r>
        <w:rPr>
          <w:rFonts w:hint="eastAsia" w:ascii="仿宋_GB2312" w:eastAsia="仿宋_GB2312"/>
          <w:color w:val="000000"/>
          <w:sz w:val="32"/>
          <w:szCs w:val="32"/>
          <w:lang w:eastAsia="zh-CN"/>
        </w:rPr>
        <w:t>。</w:t>
      </w:r>
    </w:p>
    <w:p w14:paraId="45EF0BF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53" w:name="_Toc15377223"/>
      <w:bookmarkStart w:id="154" w:name="_Toc23255"/>
      <w:r>
        <w:rPr>
          <w:rFonts w:hint="eastAsia" w:ascii="仿宋" w:hAnsi="仿宋" w:eastAsia="仿宋"/>
          <w:b/>
          <w:color w:val="auto"/>
          <w:sz w:val="32"/>
          <w:szCs w:val="32"/>
          <w:highlight w:val="none"/>
        </w:rPr>
        <w:t>（二）政府采购支出情况</w:t>
      </w:r>
      <w:bookmarkEnd w:id="153"/>
      <w:bookmarkEnd w:id="154"/>
    </w:p>
    <w:p w14:paraId="1CA0FF67">
      <w:pPr>
        <w:spacing w:line="600" w:lineRule="exact"/>
        <w:ind w:firstLine="640" w:firstLineChars="200"/>
        <w:rPr>
          <w:rFonts w:hint="eastAsia" w:ascii="仿宋" w:hAnsi="仿宋" w:eastAsia="仿宋_GB2312"/>
          <w:b/>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遂宁市公安局河东新区分局无</w:t>
      </w:r>
      <w:r>
        <w:rPr>
          <w:rFonts w:hint="eastAsia" w:ascii="仿宋_GB2312" w:eastAsia="仿宋_GB2312"/>
          <w:color w:val="auto"/>
          <w:sz w:val="32"/>
          <w:szCs w:val="32"/>
          <w:highlight w:val="none"/>
        </w:rPr>
        <w:t>政府采购支出</w:t>
      </w:r>
      <w:r>
        <w:rPr>
          <w:rFonts w:hint="eastAsia" w:ascii="仿宋_GB2312" w:eastAsia="仿宋_GB2312"/>
          <w:color w:val="auto"/>
          <w:sz w:val="32"/>
          <w:szCs w:val="32"/>
          <w:highlight w:val="none"/>
          <w:lang w:eastAsia="zh-CN"/>
        </w:rPr>
        <w:t>。</w:t>
      </w:r>
    </w:p>
    <w:p w14:paraId="330A230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55" w:name="_Toc15377224"/>
      <w:bookmarkStart w:id="156" w:name="_Toc30191"/>
      <w:r>
        <w:rPr>
          <w:rFonts w:hint="eastAsia" w:ascii="仿宋" w:hAnsi="仿宋" w:eastAsia="仿宋"/>
          <w:b/>
          <w:color w:val="auto"/>
          <w:sz w:val="32"/>
          <w:szCs w:val="32"/>
          <w:highlight w:val="none"/>
        </w:rPr>
        <w:t>（三）国有资产占有使用情况</w:t>
      </w:r>
      <w:bookmarkEnd w:id="155"/>
      <w:bookmarkEnd w:id="156"/>
    </w:p>
    <w:p w14:paraId="0BE32A2E">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遂宁市公安局河东新区分局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辆，其中：</w:t>
      </w:r>
      <w:r>
        <w:rPr>
          <w:rFonts w:hint="eastAsia" w:ascii="仿宋_GB2312" w:eastAsia="仿宋_GB2312"/>
          <w:color w:val="000000"/>
          <w:sz w:val="32"/>
          <w:szCs w:val="32"/>
        </w:rPr>
        <w:t>执法执勤用车8辆，主要是用于执法执勤。</w:t>
      </w:r>
      <w:r>
        <w:rPr>
          <w:rFonts w:hint="eastAsia" w:ascii="仿宋_GB2312" w:eastAsia="仿宋_GB2312"/>
          <w:color w:val="000000"/>
          <w:sz w:val="32"/>
          <w:szCs w:val="32"/>
          <w:lang w:eastAsia="zh-CN"/>
        </w:rPr>
        <w:t>分局无</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000000"/>
          <w:sz w:val="32"/>
          <w:szCs w:val="32"/>
          <w:lang w:eastAsia="zh-CN"/>
        </w:rPr>
        <w:t>分局无</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p>
    <w:p w14:paraId="7736E223">
      <w:pPr>
        <w:autoSpaceDE w:val="0"/>
        <w:autoSpaceDN w:val="0"/>
        <w:adjustRightInd w:val="0"/>
        <w:spacing w:line="600" w:lineRule="exact"/>
        <w:jc w:val="left"/>
        <w:outlineLvl w:val="2"/>
        <w:rPr>
          <w:rFonts w:ascii="仿宋" w:hAnsi="仿宋" w:eastAsia="仿宋"/>
          <w:b/>
          <w:color w:val="auto"/>
          <w:sz w:val="32"/>
          <w:szCs w:val="32"/>
          <w:highlight w:val="none"/>
        </w:rPr>
      </w:pPr>
      <w:bookmarkStart w:id="157" w:name="_Toc9695"/>
      <w:r>
        <w:rPr>
          <w:rFonts w:hint="eastAsia" w:ascii="仿宋" w:hAnsi="仿宋" w:eastAsia="仿宋"/>
          <w:b/>
          <w:color w:val="auto"/>
          <w:sz w:val="32"/>
          <w:szCs w:val="32"/>
          <w:highlight w:val="none"/>
        </w:rPr>
        <w:t>（四）预算绩效管理情况</w:t>
      </w:r>
      <w:bookmarkEnd w:id="157"/>
    </w:p>
    <w:p w14:paraId="2613078F">
      <w:pPr>
        <w:ind w:firstLine="640" w:firstLineChars="200"/>
        <w:jc w:val="left"/>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根据预算绩效管理要求，本部门在</w:t>
      </w:r>
      <w:r>
        <w:rPr>
          <w:rFonts w:hint="eastAsia" w:ascii="仿宋" w:hAnsi="仿宋" w:eastAsia="仿宋" w:cs="仿宋"/>
          <w:color w:val="auto"/>
          <w:sz w:val="32"/>
          <w:szCs w:val="32"/>
          <w:highlight w:val="none"/>
          <w:lang w:val="en-US" w:eastAsia="zh-CN"/>
        </w:rPr>
        <w:t>2021年度</w:t>
      </w:r>
      <w:r>
        <w:rPr>
          <w:rFonts w:hint="eastAsia" w:ascii="仿宋" w:hAnsi="仿宋" w:eastAsia="仿宋" w:cs="仿宋"/>
          <w:color w:val="auto"/>
          <w:sz w:val="32"/>
          <w:szCs w:val="32"/>
          <w:highlight w:val="none"/>
        </w:rPr>
        <w:t>预算编制阶段，</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项目开展预算事前绩效评估，</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编制了绩效目标，预算执行过程中，</w:t>
      </w:r>
      <w:r>
        <w:rPr>
          <w:rFonts w:hint="eastAsia" w:ascii="仿宋" w:hAnsi="仿宋" w:eastAsia="仿宋" w:cs="仿宋"/>
          <w:color w:val="auto"/>
          <w:sz w:val="32"/>
          <w:szCs w:val="32"/>
          <w:highlight w:val="none"/>
          <w:lang w:eastAsia="zh-CN"/>
        </w:rPr>
        <w:t>无项目</w:t>
      </w:r>
      <w:r>
        <w:rPr>
          <w:rFonts w:hint="eastAsia" w:ascii="仿宋" w:hAnsi="仿宋" w:eastAsia="仿宋" w:cs="仿宋"/>
          <w:color w:val="auto"/>
          <w:sz w:val="32"/>
          <w:szCs w:val="32"/>
          <w:highlight w:val="none"/>
        </w:rPr>
        <w:t>开展绩效监控，年终执行完毕后，</w:t>
      </w:r>
      <w:r>
        <w:rPr>
          <w:rFonts w:hint="eastAsia" w:ascii="仿宋" w:hAnsi="仿宋" w:eastAsia="仿宋" w:cs="仿宋"/>
          <w:color w:val="auto"/>
          <w:sz w:val="32"/>
          <w:szCs w:val="32"/>
          <w:highlight w:val="none"/>
          <w:lang w:eastAsia="zh-CN"/>
        </w:rPr>
        <w:t>无</w:t>
      </w:r>
      <w:r>
        <w:rPr>
          <w:rFonts w:hint="eastAsia" w:ascii="仿宋" w:hAnsi="仿宋" w:eastAsia="仿宋" w:cs="仿宋"/>
          <w:color w:val="auto"/>
          <w:sz w:val="32"/>
          <w:szCs w:val="32"/>
          <w:highlight w:val="none"/>
        </w:rPr>
        <w:t>项目开展了绩效自评</w:t>
      </w:r>
      <w:r>
        <w:rPr>
          <w:rFonts w:hint="eastAsia" w:ascii="仿宋" w:hAnsi="仿宋" w:eastAsia="仿宋" w:cs="仿宋"/>
          <w:color w:val="auto"/>
          <w:sz w:val="32"/>
          <w:szCs w:val="32"/>
          <w:highlight w:val="none"/>
          <w:lang w:eastAsia="zh-CN"/>
        </w:rPr>
        <w:t>。同时，</w:t>
      </w:r>
      <w:r>
        <w:rPr>
          <w:rFonts w:hint="eastAsia" w:ascii="仿宋" w:hAnsi="仿宋" w:eastAsia="仿宋" w:cs="仿宋"/>
          <w:color w:val="auto"/>
          <w:sz w:val="32"/>
          <w:szCs w:val="32"/>
          <w:highlight w:val="none"/>
        </w:rPr>
        <w:t>本部门对20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年部门整体开展绩效自评，《202</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年遂宁市公安局河东新区分局部门整体绩效评价报告》见附件（</w:t>
      </w:r>
      <w:r>
        <w:rPr>
          <w:rFonts w:hint="eastAsia" w:ascii="仿宋" w:hAnsi="仿宋" w:eastAsia="仿宋" w:cs="仿宋"/>
          <w:color w:val="auto"/>
          <w:sz w:val="32"/>
          <w:szCs w:val="32"/>
          <w:highlight w:val="none"/>
          <w:lang w:eastAsia="zh-CN"/>
        </w:rPr>
        <w:t>第四部分</w:t>
      </w:r>
      <w:r>
        <w:rPr>
          <w:rFonts w:hint="eastAsia" w:ascii="仿宋" w:hAnsi="仿宋" w:eastAsia="仿宋" w:cs="仿宋"/>
          <w:color w:val="auto"/>
          <w:sz w:val="32"/>
          <w:szCs w:val="32"/>
          <w:highlight w:val="none"/>
        </w:rPr>
        <w:t>）。</w:t>
      </w:r>
    </w:p>
    <w:p w14:paraId="08FC0E6B">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55BE0CBB">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158" w:name="_Toc15396613"/>
      <w:bookmarkStart w:id="159" w:name="_Toc9607"/>
      <w:bookmarkStart w:id="160" w:name="_Toc29314"/>
      <w:bookmarkStart w:id="161" w:name="_Toc3222"/>
      <w:bookmarkStart w:id="162" w:name="_Toc30587_WPSOffice_Level1"/>
      <w:bookmarkStart w:id="163"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158"/>
      <w:bookmarkEnd w:id="159"/>
      <w:bookmarkEnd w:id="160"/>
      <w:bookmarkEnd w:id="161"/>
      <w:bookmarkEnd w:id="162"/>
      <w:bookmarkEnd w:id="163"/>
    </w:p>
    <w:p w14:paraId="7C49CA0A">
      <w:pPr>
        <w:spacing w:line="600" w:lineRule="exact"/>
        <w:jc w:val="left"/>
        <w:rPr>
          <w:rFonts w:ascii="宋体"/>
          <w:b/>
          <w:color w:val="auto"/>
          <w:sz w:val="44"/>
          <w:szCs w:val="44"/>
          <w:highlight w:val="none"/>
        </w:rPr>
      </w:pPr>
    </w:p>
    <w:p w14:paraId="007E1CD5">
      <w:pPr>
        <w:pStyle w:val="23"/>
        <w:spacing w:line="560" w:lineRule="exact"/>
        <w:ind w:firstLine="640" w:firstLineChars="200"/>
        <w:rPr>
          <w:rFonts w:ascii="仿宋_GB2312" w:eastAsia="仿宋_GB2312"/>
          <w:sz w:val="32"/>
          <w:szCs w:val="32"/>
        </w:rPr>
      </w:pPr>
      <w:bookmarkStart w:id="164"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FC93D5D">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w:t>
      </w:r>
      <w:r>
        <w:rPr>
          <w:rFonts w:hint="eastAsia" w:ascii="仿宋_GB2312" w:eastAsia="仿宋_GB2312"/>
          <w:sz w:val="32"/>
          <w:szCs w:val="32"/>
          <w:lang w:eastAsia="zh-CN"/>
        </w:rPr>
        <w:t>行政</w:t>
      </w:r>
      <w:r>
        <w:rPr>
          <w:rFonts w:hint="eastAsia" w:ascii="仿宋_GB2312" w:eastAsia="仿宋_GB2312"/>
          <w:sz w:val="32"/>
          <w:szCs w:val="32"/>
        </w:rPr>
        <w:t>单位开展专业业务活动及辅助活动取得的收入。</w:t>
      </w:r>
    </w:p>
    <w:p w14:paraId="19C4378A">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w:t>
      </w:r>
      <w:r>
        <w:rPr>
          <w:rFonts w:hint="eastAsia" w:ascii="仿宋_GB2312" w:eastAsia="仿宋_GB2312"/>
          <w:sz w:val="32"/>
          <w:szCs w:val="32"/>
          <w:lang w:eastAsia="zh-CN"/>
        </w:rPr>
        <w:t>行政</w:t>
      </w:r>
      <w:r>
        <w:rPr>
          <w:rFonts w:hint="eastAsia" w:ascii="仿宋_GB2312" w:eastAsia="仿宋_GB2312"/>
          <w:sz w:val="32"/>
          <w:szCs w:val="32"/>
        </w:rPr>
        <w:t>单位在专业业务活动及其辅助活动之外开展非独立核算经营活动取得的收入。</w:t>
      </w:r>
    </w:p>
    <w:p w14:paraId="64AD1009">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1BAECD54">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w:t>
      </w:r>
      <w:r>
        <w:rPr>
          <w:rFonts w:hint="eastAsia" w:ascii="仿宋_GB2312" w:eastAsia="仿宋_GB2312"/>
          <w:sz w:val="32"/>
          <w:szCs w:val="32"/>
          <w:lang w:eastAsia="zh-CN"/>
        </w:rPr>
        <w:t>行政</w:t>
      </w:r>
      <w:r>
        <w:rPr>
          <w:rFonts w:hint="eastAsia" w:ascii="仿宋_GB2312" w:eastAsia="仿宋_GB2312"/>
          <w:sz w:val="32"/>
          <w:szCs w:val="32"/>
        </w:rPr>
        <w:t>单位使用以前年度积累的非财政拨款结余弥补当年收支差额的金额。</w:t>
      </w:r>
      <w:r>
        <w:rPr>
          <w:rFonts w:ascii="仿宋_GB2312" w:eastAsia="仿宋_GB2312"/>
          <w:sz w:val="32"/>
          <w:szCs w:val="32"/>
        </w:rPr>
        <w:t xml:space="preserve"> </w:t>
      </w:r>
    </w:p>
    <w:p w14:paraId="129CCD63">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4212837">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0FF531F3">
      <w:pPr>
        <w:pStyle w:val="23"/>
        <w:spacing w:line="560" w:lineRule="exact"/>
        <w:ind w:firstLine="640" w:firstLineChars="200"/>
        <w:rPr>
          <w:rFonts w:ascii="仿宋_GB2312" w:eastAsia="仿宋_GB2312"/>
          <w:b w:val="0"/>
          <w:bCs w:val="0"/>
          <w:sz w:val="32"/>
          <w:szCs w:val="32"/>
        </w:rPr>
      </w:pPr>
      <w:r>
        <w:rPr>
          <w:rFonts w:ascii="仿宋_GB2312" w:eastAsia="仿宋_GB2312"/>
          <w:b w:val="0"/>
          <w:bCs w:val="0"/>
          <w:sz w:val="32"/>
          <w:szCs w:val="32"/>
        </w:rPr>
        <w:t>8</w:t>
      </w:r>
      <w:r>
        <w:rPr>
          <w:rFonts w:hint="eastAsia" w:ascii="仿宋_GB2312" w:eastAsia="仿宋_GB2312"/>
          <w:b w:val="0"/>
          <w:bCs w:val="0"/>
          <w:sz w:val="32"/>
          <w:szCs w:val="32"/>
        </w:rPr>
        <w:t>、年末结转和结余：指单位按有关规定结转到下年或以后年度继续使用的资金。</w:t>
      </w:r>
    </w:p>
    <w:p w14:paraId="3A3D2E43">
      <w:pPr>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9.公共安全支出（类）公安（款）行政运行（项）：指</w:t>
      </w:r>
      <w:r>
        <w:rPr>
          <w:rFonts w:hint="eastAsia" w:ascii="仿宋_GB2312" w:eastAsia="仿宋_GB2312"/>
          <w:b w:val="0"/>
          <w:bCs w:val="0"/>
          <w:color w:val="000000"/>
          <w:sz w:val="32"/>
          <w:szCs w:val="32"/>
          <w:highlight w:val="none"/>
          <w:lang w:val="en-US" w:eastAsia="zh-CN"/>
        </w:rPr>
        <w:t>单位行政事务上的基本支出。</w:t>
      </w:r>
    </w:p>
    <w:p w14:paraId="0048AC36">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10.公共安全支出（类）公安（款）一般行政管理事务（项）：指单位未单独设置项级科目的其他项目支出。</w:t>
      </w:r>
    </w:p>
    <w:p w14:paraId="29D2C6E4">
      <w:pPr>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11.社会保障和就业（类）行政事业单位养老支出（款）行政单位离退休（项）：指财政部</w:t>
      </w:r>
      <w:r>
        <w:rPr>
          <w:rFonts w:hint="eastAsia" w:ascii="仿宋_GB2312" w:eastAsia="仿宋_GB2312"/>
          <w:sz w:val="32"/>
          <w:szCs w:val="32"/>
        </w:rPr>
        <w:t>门集中安排的行政单位基本医疗保险缴费经费</w:t>
      </w:r>
      <w:r>
        <w:rPr>
          <w:rFonts w:hint="eastAsia" w:ascii="仿宋_GB2312" w:eastAsia="仿宋_GB2312"/>
          <w:b w:val="0"/>
          <w:bCs w:val="0"/>
          <w:color w:val="000000"/>
          <w:sz w:val="32"/>
          <w:szCs w:val="32"/>
          <w:highlight w:val="none"/>
          <w:lang w:val="en-US" w:eastAsia="zh-CN"/>
        </w:rPr>
        <w:t>。</w:t>
      </w:r>
    </w:p>
    <w:p w14:paraId="32A3D341">
      <w:pPr>
        <w:pStyle w:val="2"/>
        <w:rPr>
          <w:rFonts w:hint="default" w:ascii="仿宋_GB2312" w:eastAsia="仿宋_GB2312"/>
          <w:b w:val="0"/>
          <w:bCs w:val="0"/>
          <w:color w:val="000000"/>
          <w:sz w:val="32"/>
          <w:szCs w:val="32"/>
          <w:highlight w:val="none"/>
          <w:lang w:val="en-US" w:eastAsia="zh-CN"/>
        </w:rPr>
      </w:pPr>
    </w:p>
    <w:p w14:paraId="64682750">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一般公共服务</w:t>
      </w:r>
      <w:r>
        <w:rPr>
          <w:rFonts w:ascii="仿宋_GB2312" w:hAnsi="仿宋_GB2312" w:eastAsia="仿宋_GB2312" w:cs="仿宋_GB2312"/>
          <w:b w:val="0"/>
          <w:bCs w:val="0"/>
          <w:sz w:val="32"/>
          <w:szCs w:val="32"/>
          <w:highlight w:val="none"/>
        </w:rPr>
        <w:t>社会保障和就业支出（类）</w:t>
      </w:r>
      <w:r>
        <w:rPr>
          <w:rFonts w:hint="eastAsia" w:ascii="仿宋_GB2312" w:hAnsi="仿宋_GB2312" w:eastAsia="仿宋_GB2312" w:cs="仿宋_GB2312"/>
          <w:b w:val="0"/>
          <w:bCs w:val="0"/>
          <w:sz w:val="32"/>
          <w:szCs w:val="32"/>
          <w:highlight w:val="none"/>
        </w:rPr>
        <w:t>行政事业单位养老支出</w:t>
      </w:r>
      <w:r>
        <w:rPr>
          <w:rFonts w:ascii="仿宋_GB2312" w:hAnsi="仿宋_GB2312" w:eastAsia="仿宋_GB2312" w:cs="仿宋_GB2312"/>
          <w:b w:val="0"/>
          <w:bCs w:val="0"/>
          <w:sz w:val="32"/>
          <w:szCs w:val="32"/>
          <w:highlight w:val="none"/>
        </w:rPr>
        <w:t>（款）机关事业单位基本养老保险缴费支出（项）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指</w:t>
      </w:r>
      <w:r>
        <w:rPr>
          <w:rFonts w:hint="eastAsia" w:ascii="仿宋_GB2312" w:hAnsi="仿宋_GB2312" w:eastAsia="仿宋_GB2312" w:cs="仿宋_GB2312"/>
          <w:b w:val="0"/>
          <w:bCs w:val="0"/>
          <w:sz w:val="32"/>
          <w:szCs w:val="32"/>
          <w:highlight w:val="none"/>
          <w:lang w:val="en-US" w:eastAsia="zh-CN"/>
        </w:rPr>
        <w:t>单位人员购买养老保险经费。</w:t>
      </w:r>
    </w:p>
    <w:p w14:paraId="351F76AB">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13.卫生健康（类）行政事业单位医疗（款）行政单位医疗（项）：指单位人员医疗经费。</w:t>
      </w:r>
    </w:p>
    <w:p w14:paraId="00F70CA0">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14.住房保障支出（（类）住房改革支出（款）住房公积金（项）：指行政事业单位按人力资源和社会保障部、财政部规定的基本工资和津补贴以及规定比例为职工缴纳的住房公积金。</w:t>
      </w:r>
    </w:p>
    <w:p w14:paraId="362BBDC2">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15.其他支出（（类）其他支出（款）其他支出（项）：指其他不能划分到具体功能科目中的支出项目。</w:t>
      </w:r>
    </w:p>
    <w:p w14:paraId="7CEF8B8F">
      <w:pPr>
        <w:ind w:firstLine="640" w:firstLineChars="200"/>
        <w:rPr>
          <w:rFonts w:ascii="仿宋_GB2312" w:eastAsia="仿宋_GB2312"/>
          <w:color w:val="000000"/>
          <w:sz w:val="32"/>
          <w:szCs w:val="32"/>
        </w:rPr>
      </w:pPr>
      <w:r>
        <w:rPr>
          <w:rFonts w:hint="eastAsia" w:ascii="仿宋_GB2312" w:eastAsia="仿宋_GB2312"/>
          <w:b w:val="0"/>
          <w:bCs w:val="0"/>
          <w:color w:val="000000"/>
          <w:sz w:val="32"/>
          <w:szCs w:val="32"/>
          <w:lang w:val="en-US" w:eastAsia="zh-CN"/>
        </w:rPr>
        <w:t>16</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基本支出：指为保障机构正</w:t>
      </w:r>
      <w:r>
        <w:rPr>
          <w:rFonts w:hint="eastAsia" w:ascii="仿宋_GB2312" w:eastAsia="仿宋_GB2312"/>
          <w:color w:val="000000"/>
          <w:sz w:val="32"/>
          <w:szCs w:val="32"/>
        </w:rPr>
        <w:t>常运转、完成日常工作任务而发生的人员支出和公用支出。</w:t>
      </w:r>
    </w:p>
    <w:p w14:paraId="152EF68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01E3D3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E81A296">
      <w:pPr>
        <w:pStyle w:val="23"/>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BD54A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D8FB55">
      <w:pPr>
        <w:pStyle w:val="23"/>
        <w:spacing w:line="560" w:lineRule="exact"/>
        <w:jc w:val="center"/>
        <w:rPr>
          <w:rFonts w:hint="eastAsia" w:ascii="黑体" w:hAnsi="黑体" w:eastAsia="黑体"/>
          <w:color w:val="auto"/>
          <w:sz w:val="44"/>
          <w:szCs w:val="44"/>
          <w:highlight w:val="none"/>
        </w:rPr>
      </w:pPr>
      <w:bookmarkStart w:id="165" w:name="_Toc10898"/>
      <w:bookmarkStart w:id="166" w:name="_Toc15396614"/>
    </w:p>
    <w:p w14:paraId="54F68DE7">
      <w:pPr>
        <w:pStyle w:val="23"/>
        <w:spacing w:line="560" w:lineRule="exact"/>
        <w:jc w:val="center"/>
        <w:rPr>
          <w:rFonts w:hint="eastAsia" w:ascii="黑体" w:hAnsi="黑体" w:eastAsia="黑体"/>
          <w:color w:val="auto"/>
          <w:sz w:val="44"/>
          <w:szCs w:val="44"/>
          <w:highlight w:val="none"/>
        </w:rPr>
      </w:pPr>
    </w:p>
    <w:p w14:paraId="6C0E6165">
      <w:pPr>
        <w:pStyle w:val="23"/>
        <w:spacing w:line="560" w:lineRule="exact"/>
        <w:jc w:val="center"/>
        <w:rPr>
          <w:rFonts w:hint="eastAsia" w:ascii="黑体" w:hAnsi="黑体" w:eastAsia="黑体"/>
          <w:color w:val="auto"/>
          <w:sz w:val="44"/>
          <w:szCs w:val="44"/>
          <w:highlight w:val="none"/>
        </w:rPr>
      </w:pPr>
    </w:p>
    <w:p w14:paraId="38E18116">
      <w:pPr>
        <w:pStyle w:val="23"/>
        <w:spacing w:line="560" w:lineRule="exact"/>
        <w:jc w:val="center"/>
        <w:rPr>
          <w:rFonts w:hint="eastAsia" w:ascii="黑体" w:hAnsi="黑体" w:eastAsia="黑体"/>
          <w:color w:val="auto"/>
          <w:sz w:val="44"/>
          <w:szCs w:val="44"/>
          <w:highlight w:val="none"/>
        </w:rPr>
      </w:pPr>
    </w:p>
    <w:p w14:paraId="3B23644D">
      <w:pPr>
        <w:pStyle w:val="23"/>
        <w:spacing w:line="560" w:lineRule="exact"/>
        <w:jc w:val="center"/>
        <w:rPr>
          <w:rFonts w:hint="eastAsia" w:ascii="黑体" w:hAnsi="黑体" w:eastAsia="黑体"/>
          <w:color w:val="auto"/>
          <w:sz w:val="44"/>
          <w:szCs w:val="44"/>
          <w:highlight w:val="none"/>
        </w:rPr>
      </w:pPr>
    </w:p>
    <w:p w14:paraId="25556BF3">
      <w:pPr>
        <w:pStyle w:val="23"/>
        <w:spacing w:line="560" w:lineRule="exact"/>
        <w:jc w:val="center"/>
        <w:rPr>
          <w:rFonts w:hint="eastAsia" w:ascii="黑体" w:hAnsi="黑体" w:eastAsia="黑体"/>
          <w:color w:val="auto"/>
          <w:sz w:val="44"/>
          <w:szCs w:val="44"/>
          <w:highlight w:val="none"/>
        </w:rPr>
      </w:pPr>
    </w:p>
    <w:p w14:paraId="36482699">
      <w:pPr>
        <w:pStyle w:val="23"/>
        <w:spacing w:line="560" w:lineRule="exact"/>
        <w:jc w:val="center"/>
        <w:rPr>
          <w:rFonts w:hint="eastAsia" w:ascii="黑体" w:hAnsi="黑体" w:eastAsia="黑体"/>
          <w:color w:val="auto"/>
          <w:sz w:val="44"/>
          <w:szCs w:val="44"/>
          <w:highlight w:val="none"/>
        </w:rPr>
      </w:pPr>
    </w:p>
    <w:p w14:paraId="0A6B70C7">
      <w:pPr>
        <w:pStyle w:val="23"/>
        <w:spacing w:line="560" w:lineRule="exact"/>
        <w:jc w:val="center"/>
        <w:rPr>
          <w:rFonts w:hint="eastAsia" w:ascii="黑体" w:hAnsi="黑体" w:eastAsia="黑体"/>
          <w:color w:val="auto"/>
          <w:sz w:val="44"/>
          <w:szCs w:val="44"/>
          <w:highlight w:val="none"/>
        </w:rPr>
      </w:pPr>
    </w:p>
    <w:p w14:paraId="339F7EBF">
      <w:pPr>
        <w:pStyle w:val="23"/>
        <w:spacing w:line="560" w:lineRule="exact"/>
        <w:jc w:val="center"/>
        <w:rPr>
          <w:rFonts w:hint="eastAsia" w:ascii="黑体" w:hAnsi="黑体" w:eastAsia="黑体"/>
          <w:color w:val="auto"/>
          <w:sz w:val="44"/>
          <w:szCs w:val="44"/>
          <w:highlight w:val="none"/>
        </w:rPr>
      </w:pPr>
    </w:p>
    <w:p w14:paraId="18E66EDC">
      <w:pPr>
        <w:pStyle w:val="23"/>
        <w:spacing w:line="560" w:lineRule="exact"/>
        <w:jc w:val="center"/>
        <w:rPr>
          <w:rFonts w:hint="eastAsia" w:ascii="黑体" w:hAnsi="黑体" w:eastAsia="黑体"/>
          <w:color w:val="auto"/>
          <w:sz w:val="44"/>
          <w:szCs w:val="44"/>
          <w:highlight w:val="none"/>
        </w:rPr>
      </w:pPr>
    </w:p>
    <w:p w14:paraId="092AF020">
      <w:pPr>
        <w:pStyle w:val="23"/>
        <w:spacing w:line="560" w:lineRule="exact"/>
        <w:jc w:val="center"/>
        <w:rPr>
          <w:rFonts w:hint="eastAsia" w:ascii="黑体" w:hAnsi="黑体" w:eastAsia="黑体"/>
          <w:color w:val="auto"/>
          <w:sz w:val="44"/>
          <w:szCs w:val="44"/>
          <w:highlight w:val="none"/>
        </w:rPr>
      </w:pPr>
    </w:p>
    <w:p w14:paraId="3C7AEEA4">
      <w:pPr>
        <w:pStyle w:val="23"/>
        <w:spacing w:line="560" w:lineRule="exact"/>
        <w:jc w:val="center"/>
        <w:rPr>
          <w:rFonts w:hint="eastAsia" w:ascii="黑体" w:hAnsi="黑体" w:eastAsia="黑体"/>
          <w:color w:val="auto"/>
          <w:sz w:val="44"/>
          <w:szCs w:val="44"/>
          <w:highlight w:val="none"/>
        </w:rPr>
      </w:pPr>
    </w:p>
    <w:p w14:paraId="4DD4DA5D">
      <w:pPr>
        <w:pStyle w:val="23"/>
        <w:spacing w:line="560" w:lineRule="exact"/>
        <w:jc w:val="center"/>
        <w:rPr>
          <w:rFonts w:hint="eastAsia" w:ascii="黑体" w:hAnsi="黑体" w:eastAsia="黑体"/>
          <w:color w:val="auto"/>
          <w:sz w:val="44"/>
          <w:szCs w:val="44"/>
          <w:highlight w:val="none"/>
        </w:rPr>
      </w:pPr>
    </w:p>
    <w:p w14:paraId="5CC5645E">
      <w:pPr>
        <w:pStyle w:val="23"/>
        <w:spacing w:line="560" w:lineRule="exact"/>
        <w:jc w:val="center"/>
        <w:rPr>
          <w:rFonts w:hint="eastAsia" w:ascii="黑体" w:hAnsi="黑体" w:eastAsia="黑体"/>
          <w:color w:val="auto"/>
          <w:sz w:val="44"/>
          <w:szCs w:val="44"/>
          <w:highlight w:val="none"/>
        </w:rPr>
      </w:pPr>
    </w:p>
    <w:p w14:paraId="506A7F76">
      <w:pPr>
        <w:numPr>
          <w:ilvl w:val="0"/>
          <w:numId w:val="4"/>
        </w:numPr>
        <w:spacing w:line="600" w:lineRule="exact"/>
        <w:ind w:firstLine="660" w:firstLineChars="150"/>
        <w:jc w:val="center"/>
        <w:outlineLvl w:val="0"/>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rPr>
        <w:t xml:space="preserve"> </w:t>
      </w:r>
      <w:bookmarkStart w:id="167" w:name="_Toc32132"/>
      <w:r>
        <w:rPr>
          <w:rFonts w:hint="eastAsia" w:ascii="黑体" w:hAnsi="黑体" w:eastAsia="黑体"/>
          <w:color w:val="auto"/>
          <w:sz w:val="44"/>
          <w:szCs w:val="44"/>
          <w:highlight w:val="none"/>
        </w:rPr>
        <w:t>附件</w:t>
      </w:r>
      <w:bookmarkEnd w:id="165"/>
      <w:bookmarkEnd w:id="166"/>
      <w:bookmarkEnd w:id="167"/>
    </w:p>
    <w:p w14:paraId="1AC23E29">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40"/>
          <w:szCs w:val="40"/>
          <w:highlight w:val="none"/>
          <w:lang w:val="en-US" w:eastAsia="zh-CN"/>
        </w:rPr>
      </w:pPr>
      <w:bookmarkStart w:id="168" w:name="_Toc8667"/>
      <w:bookmarkStart w:id="169" w:name="_Toc30299"/>
      <w:bookmarkStart w:id="170" w:name="_Toc6969"/>
      <w:r>
        <w:rPr>
          <w:rFonts w:hint="eastAsia" w:ascii="黑体" w:hAnsi="黑体" w:eastAsia="黑体" w:cs="黑体"/>
          <w:color w:val="auto"/>
          <w:sz w:val="40"/>
          <w:szCs w:val="40"/>
          <w:highlight w:val="none"/>
        </w:rPr>
        <w:t>附件</w:t>
      </w:r>
      <w:r>
        <w:rPr>
          <w:rFonts w:hint="eastAsia" w:ascii="黑体" w:hAnsi="黑体" w:eastAsia="黑体" w:cs="黑体"/>
          <w:color w:val="auto"/>
          <w:sz w:val="40"/>
          <w:szCs w:val="40"/>
          <w:highlight w:val="none"/>
          <w:lang w:val="en-US" w:eastAsia="zh-CN"/>
        </w:rPr>
        <w:t>1</w:t>
      </w:r>
      <w:bookmarkEnd w:id="168"/>
      <w:bookmarkEnd w:id="169"/>
      <w:bookmarkEnd w:id="170"/>
    </w:p>
    <w:p w14:paraId="735EC27C">
      <w:pPr>
        <w:pStyle w:val="2"/>
        <w:rPr>
          <w:rFonts w:hint="eastAsia"/>
          <w:lang w:val="en-US" w:eastAsia="zh-CN"/>
        </w:rPr>
      </w:pPr>
    </w:p>
    <w:p w14:paraId="5573F9F4">
      <w:pPr>
        <w:jc w:val="center"/>
        <w:rPr>
          <w:rFonts w:hint="eastAsia" w:asciiTheme="minorEastAsia" w:hAnsiTheme="minorEastAsia" w:eastAsiaTheme="minorEastAsia" w:cstheme="minorEastAsia"/>
          <w:b/>
          <w:bCs/>
          <w:sz w:val="44"/>
          <w:szCs w:val="44"/>
          <w:shd w:val="clear" w:color="auto" w:fill="FFFFFF"/>
        </w:rPr>
      </w:pPr>
      <w:bookmarkStart w:id="171" w:name="_Toc5474_WPSOffice_Level2"/>
      <w:r>
        <w:rPr>
          <w:rFonts w:hint="eastAsia" w:asciiTheme="minorEastAsia" w:hAnsiTheme="minorEastAsia" w:eastAsiaTheme="minorEastAsia" w:cstheme="minorEastAsia"/>
          <w:b/>
          <w:bCs/>
          <w:sz w:val="44"/>
          <w:szCs w:val="44"/>
          <w:shd w:val="clear" w:color="auto" w:fill="FFFFFF"/>
        </w:rPr>
        <w:t>202</w:t>
      </w:r>
      <w:r>
        <w:rPr>
          <w:rFonts w:hint="eastAsia" w:asciiTheme="minorEastAsia" w:hAnsiTheme="minorEastAsia" w:eastAsiaTheme="minorEastAsia" w:cstheme="minorEastAsia"/>
          <w:b/>
          <w:bCs/>
          <w:sz w:val="44"/>
          <w:szCs w:val="44"/>
          <w:shd w:val="clear" w:color="auto" w:fill="FFFFFF"/>
          <w:lang w:val="en-US" w:eastAsia="zh-CN"/>
        </w:rPr>
        <w:t>1</w:t>
      </w:r>
      <w:r>
        <w:rPr>
          <w:rFonts w:hint="eastAsia" w:asciiTheme="minorEastAsia" w:hAnsiTheme="minorEastAsia" w:eastAsiaTheme="minorEastAsia" w:cstheme="minorEastAsia"/>
          <w:b/>
          <w:bCs/>
          <w:sz w:val="44"/>
          <w:szCs w:val="44"/>
          <w:shd w:val="clear" w:color="auto" w:fill="FFFFFF"/>
        </w:rPr>
        <w:t>年遂宁市公安局河东新区分局整体支出绩效报告</w:t>
      </w:r>
      <w:bookmarkEnd w:id="171"/>
    </w:p>
    <w:p w14:paraId="2557F569">
      <w:pPr>
        <w:pStyle w:val="2"/>
        <w:rPr>
          <w:rFonts w:hint="eastAsia"/>
        </w:rPr>
      </w:pPr>
    </w:p>
    <w:p w14:paraId="456D5BB0">
      <w:pPr>
        <w:adjustRightInd w:val="0"/>
        <w:snapToGrid w:val="0"/>
        <w:spacing w:line="540" w:lineRule="exact"/>
        <w:ind w:firstLine="720"/>
        <w:jc w:val="left"/>
        <w:rPr>
          <w:rFonts w:hint="eastAsia" w:ascii="仿宋" w:hAnsi="仿宋" w:eastAsia="仿宋" w:cs="仿宋"/>
          <w:b/>
          <w:bCs/>
          <w:color w:val="000000"/>
          <w:kern w:val="0"/>
          <w:sz w:val="32"/>
          <w:szCs w:val="32"/>
          <w:shd w:val="clear" w:color="auto" w:fill="FFFFFF"/>
          <w:lang w:val="zh-CN" w:eastAsia="zh-CN" w:bidi="ar-SA"/>
        </w:rPr>
      </w:pPr>
      <w:bookmarkStart w:id="172" w:name="_Toc9730_WPSOffice_Level2"/>
      <w:r>
        <w:rPr>
          <w:rFonts w:hint="eastAsia" w:ascii="仿宋" w:hAnsi="仿宋" w:eastAsia="仿宋" w:cs="仿宋"/>
          <w:b/>
          <w:bCs/>
          <w:color w:val="000000"/>
          <w:kern w:val="0"/>
          <w:sz w:val="36"/>
          <w:szCs w:val="36"/>
          <w:shd w:val="clear" w:color="auto" w:fill="FFFFFF"/>
          <w:lang w:val="zh-CN" w:eastAsia="zh-CN" w:bidi="ar-SA"/>
        </w:rPr>
        <w:t>一、部门概况</w:t>
      </w:r>
      <w:bookmarkEnd w:id="172"/>
    </w:p>
    <w:p w14:paraId="06A303F7">
      <w:pPr>
        <w:adjustRightInd w:val="0"/>
        <w:snapToGrid w:val="0"/>
        <w:spacing w:line="540" w:lineRule="exact"/>
        <w:ind w:firstLine="720"/>
        <w:jc w:val="left"/>
        <w:rPr>
          <w:rFonts w:hint="eastAsia" w:ascii="仿宋" w:hAnsi="仿宋" w:eastAsia="仿宋" w:cs="仿宋"/>
          <w:b/>
          <w:bCs/>
          <w:color w:val="000000"/>
          <w:kern w:val="0"/>
          <w:sz w:val="32"/>
          <w:szCs w:val="32"/>
          <w:shd w:val="clear" w:color="auto" w:fill="FFFFFF"/>
          <w:lang w:val="zh-CN" w:eastAsia="zh-CN" w:bidi="ar-SA"/>
        </w:rPr>
      </w:pPr>
      <w:r>
        <w:rPr>
          <w:rFonts w:hint="eastAsia" w:ascii="仿宋" w:hAnsi="仿宋" w:eastAsia="仿宋" w:cs="仿宋"/>
          <w:b/>
          <w:bCs/>
          <w:color w:val="000000"/>
          <w:kern w:val="0"/>
          <w:sz w:val="32"/>
          <w:szCs w:val="32"/>
          <w:shd w:val="clear" w:color="auto" w:fill="FFFFFF"/>
          <w:lang w:val="zh-CN" w:eastAsia="zh-CN" w:bidi="ar-SA"/>
        </w:rPr>
        <w:t>（一）机构组成。</w:t>
      </w:r>
    </w:p>
    <w:p w14:paraId="22EF7AC3">
      <w:pPr>
        <w:snapToGrid w:val="0"/>
        <w:spacing w:line="588" w:lineRule="exact"/>
        <w:ind w:firstLine="640" w:firstLineChars="200"/>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遂宁市公安局河东新区分局内设机关部门三个：指挥中心、政治处、纪委；内设实战大队四个：刑警大队、治安大队、国保大队、法制大队，下设派出机构3个：慈音派出所、灵泉派出所、杨渡派出所。</w:t>
      </w:r>
    </w:p>
    <w:p w14:paraId="6D00483A">
      <w:pPr>
        <w:numPr>
          <w:ilvl w:val="0"/>
          <w:numId w:val="5"/>
        </w:num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机构职能。</w:t>
      </w:r>
    </w:p>
    <w:p w14:paraId="5F052321">
      <w:pPr>
        <w:snapToGrid w:val="0"/>
        <w:spacing w:line="588" w:lineRule="exact"/>
        <w:ind w:firstLine="640" w:firstLineChars="200"/>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遂宁市公安局直属分局，履行县级公安机关职能职责，辖区为遂宁河东新区分布范围。</w:t>
      </w:r>
    </w:p>
    <w:p w14:paraId="77A68780">
      <w:pPr>
        <w:numPr>
          <w:ilvl w:val="0"/>
          <w:numId w:val="5"/>
        </w:num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人员概况。</w:t>
      </w:r>
    </w:p>
    <w:p w14:paraId="7A46B69A">
      <w:pPr>
        <w:snapToGrid w:val="0"/>
        <w:spacing w:line="588" w:lineRule="exact"/>
        <w:ind w:firstLine="640" w:firstLineChars="200"/>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2021年我单位现有政法专项编制61个，实有在职民警73人，其中行政编制人员71人，行政工勤编制人员2人。</w:t>
      </w:r>
    </w:p>
    <w:p w14:paraId="68DFF74D">
      <w:pPr>
        <w:adjustRightInd w:val="0"/>
        <w:snapToGrid w:val="0"/>
        <w:spacing w:line="540" w:lineRule="exact"/>
        <w:ind w:firstLine="720"/>
        <w:jc w:val="left"/>
        <w:rPr>
          <w:rFonts w:hint="eastAsia" w:ascii="仿宋" w:hAnsi="仿宋" w:eastAsia="仿宋" w:cs="仿宋"/>
          <w:b/>
          <w:bCs/>
          <w:color w:val="000000"/>
          <w:kern w:val="0"/>
          <w:sz w:val="36"/>
          <w:szCs w:val="36"/>
          <w:shd w:val="clear" w:color="auto" w:fill="FFFFFF"/>
          <w:lang w:val="zh-CN" w:eastAsia="zh-CN" w:bidi="ar-SA"/>
        </w:rPr>
      </w:pPr>
      <w:bookmarkStart w:id="173" w:name="_Toc4682_WPSOffice_Level2"/>
      <w:r>
        <w:rPr>
          <w:rFonts w:hint="eastAsia" w:ascii="仿宋" w:hAnsi="仿宋" w:eastAsia="仿宋" w:cs="仿宋"/>
          <w:b/>
          <w:bCs/>
          <w:color w:val="000000"/>
          <w:kern w:val="0"/>
          <w:sz w:val="36"/>
          <w:szCs w:val="36"/>
          <w:shd w:val="clear" w:color="auto" w:fill="FFFFFF"/>
          <w:lang w:val="zh-CN" w:eastAsia="zh-CN" w:bidi="ar-SA"/>
        </w:rPr>
        <w:t>二、部门财政资金收支情况</w:t>
      </w:r>
      <w:bookmarkEnd w:id="173"/>
    </w:p>
    <w:p w14:paraId="78B1B1BF">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（一）部门财政资金收入情况。</w:t>
      </w:r>
    </w:p>
    <w:p w14:paraId="7AD0F60B">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部门财政资金收入1726.7万元, 其中：公共安全1478.43万元，医疗卫生51.7万元，住房保障支出105.14万元，社会保障和就业支出90.93万元，其他支出0.5万元。</w:t>
      </w:r>
    </w:p>
    <w:p w14:paraId="50170B00">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（二）部门财政资金支出情况。</w:t>
      </w:r>
    </w:p>
    <w:p w14:paraId="34E65AE2">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部门财政资金支出1781.4万元, 其中：公共安全1533.13万元，医疗卫生51.7万元，住房保障支出105.14万元，社会保障和就业支出90.93万元，其他支出0.5万元。</w:t>
      </w:r>
    </w:p>
    <w:p w14:paraId="6ABCF1C8">
      <w:pPr>
        <w:adjustRightInd w:val="0"/>
        <w:snapToGrid w:val="0"/>
        <w:spacing w:line="540" w:lineRule="exact"/>
        <w:ind w:firstLine="723" w:firstLineChars="200"/>
        <w:jc w:val="both"/>
        <w:rPr>
          <w:rFonts w:hint="eastAsia" w:ascii="仿宋" w:hAnsi="仿宋" w:eastAsia="仿宋" w:cs="仿宋"/>
          <w:color w:val="000000"/>
          <w:kern w:val="0"/>
          <w:sz w:val="32"/>
          <w:szCs w:val="32"/>
          <w:shd w:val="clear" w:color="auto" w:fill="FFFFFF"/>
          <w:lang w:val="zh-CN" w:eastAsia="zh-CN" w:bidi="ar-SA"/>
        </w:rPr>
      </w:pPr>
      <w:bookmarkStart w:id="174" w:name="_Toc32296_WPSOffice_Level2"/>
      <w:r>
        <w:rPr>
          <w:rFonts w:hint="eastAsia" w:ascii="仿宋" w:hAnsi="仿宋" w:eastAsia="仿宋" w:cs="仿宋"/>
          <w:b/>
          <w:bCs/>
          <w:color w:val="000000"/>
          <w:kern w:val="0"/>
          <w:sz w:val="36"/>
          <w:szCs w:val="36"/>
          <w:shd w:val="clear" w:color="auto" w:fill="FFFFFF"/>
          <w:lang w:val="zh-CN" w:eastAsia="zh-CN" w:bidi="ar-SA"/>
        </w:rPr>
        <w:t>三、部门整体预算绩效管理情况</w:t>
      </w:r>
      <w:bookmarkEnd w:id="174"/>
    </w:p>
    <w:p w14:paraId="486877D5">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（一）部门预算管理。</w:t>
      </w:r>
    </w:p>
    <w:p w14:paraId="5E4B443A">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预算编制。按照市财政局2021年部门预算编制通知要求，按时完成机关年初预算编制工作。在编制过程中，认真核实单位实际财政供养人数和单位实有编制情况，正确编制人员经费和公用经费等，做到尽量细化项目资金支出预算范围和科目，及时上报相关股室进行审核，对所编制的预算予以调整通过。</w:t>
      </w:r>
    </w:p>
    <w:p w14:paraId="6C47650B">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认真编制部门年度决算报表。为真实、准确反应单位年度财务收、支情况，根据市财政编制决算报表的各项规定和要求，认真开展了部门年度决算报表编制。按照政府收支分类科目和财务报表支出情况分别按基本支出项目支出编制决算，决算收入、支出口径与财政局国库股、预算股和经建股以及财政大平台核对无误，报表编制无差错。</w:t>
      </w:r>
    </w:p>
    <w:p w14:paraId="2A8705DD">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（二）执行管理情况。</w:t>
      </w:r>
    </w:p>
    <w:p w14:paraId="2D09A972">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部门预算执行情况。遂宁市公安局河东新区分局在执行各项资金预算中，严格按照中央、省、市各级财务规定，管好、用好每笔资金。在中省专科项目资金使用过程中，严格按照项目资金管理办法的规定做好项目实施和监管，切实做到专款专用，从而发挥好项目资金对项目实施的促进作用；对涉及专项资金支出额度较大时，实行“三重一大”制度，杜绝违规违法事件的发生，“三公”支出逐年递减。</w:t>
      </w:r>
    </w:p>
    <w:p w14:paraId="0C07B130">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（2）中期评估。在每年年中对所有项目进行中期评估，认真核查项目的进展，梳理全年目标任务的完成情况，确保了项目按时完成和财政资金的安全使用。</w:t>
      </w:r>
    </w:p>
    <w:p w14:paraId="17C357F9">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3）节能降耗。分局认真开展厉行节约反对浪费规定学习的同时，倡导全体民警弘扬艰苦奋斗、勤俭节约的优良作风，进一步推进建设节约型机关。首先节约办公用电。办公室、会议室等尽量采用自然光，尽可能少开灯或不开灯。全体民警做到离开办公室随手关灯，杜绝“长明灯”、“白昼灯”。下班后自觉关闭各类电器设备电源。其次做到节约用水。强化节水意识，切实做到节约每一滴水，使广大民警养成良好的节水习惯。三是节约办公耗材。加强办公用品的使用管理，规范办公用品的采购，积极推行网络办公，尽量在电子媒介上撰写、修改文稿，加快推进无纸化办公。</w:t>
      </w:r>
    </w:p>
    <w:p w14:paraId="21908629">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4）三公经费预算执行情况。2021年分局严格执行中央八项规定、省、市各项规定，着力控制“三公”经费预算支出。全年无因公出国（境）费用；严格执行党政机关厉行节约反对浪费条例，加强内部财务管理。2021年我单位“三公”经费预算总额为5.64万元，实际支出5.6万元，与上年决算持平。其中：公务用车运行维护费预算5.6万元，实际支出5.6万元，原因是车改后，车辆减少。公务接待费预算为0.04万元，实际支出0万元，结余的0.04万元财政已收回。结余量较大的主要原因我局作为市公安局直属分局，市区同城，很大一部分接待由市公安局进行，我局很少需要单独进行接待。</w:t>
      </w:r>
    </w:p>
    <w:p w14:paraId="6C041D99">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（三）综合管理情况。</w:t>
      </w:r>
    </w:p>
    <w:p w14:paraId="5C611608">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（1）政府性债务管理情况。分局无政府性债务。</w:t>
      </w:r>
    </w:p>
    <w:p w14:paraId="4849C920">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（2）非税收入。分局按要求将所有非税收入上缴遂宁市河东新区财政金融国资管理局。</w:t>
      </w:r>
    </w:p>
    <w:p w14:paraId="19C01F3B">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（3）政府采购情况。严格执行政府采购制度，因工作需要购置办公设备时，按照采购程序，编制采购计划，报经河东管委会采购中心批准后进行采购。</w:t>
      </w:r>
    </w:p>
    <w:p w14:paraId="73B3063E">
      <w:pPr>
        <w:adjustRightInd w:val="0"/>
        <w:snapToGrid w:val="0"/>
        <w:spacing w:line="540" w:lineRule="exact"/>
        <w:ind w:firstLine="320" w:firstLineChars="10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4）资产管理情况。单位资产管理由指挥中心警务保障室总负责，使用人具体负责管理，对不能继续使用的资产由使用人交回警务保障室并向局主要领导提出申请，由警务保障室按照相关程序统一购置。指挥中心警务保障室每年对单位资产进行一次集中清理，对不能使用的资产及时报国资委报废。</w:t>
      </w:r>
    </w:p>
    <w:p w14:paraId="354901EC">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（5）信息公开情况。“三公”经费及预算决算均按财政的统一安排，依法进行公开并接受社会的监督。</w:t>
      </w:r>
    </w:p>
    <w:p w14:paraId="70A7DDAD">
      <w:pPr>
        <w:adjustRightInd w:val="0"/>
        <w:snapToGrid w:val="0"/>
        <w:spacing w:line="540" w:lineRule="exact"/>
        <w:ind w:firstLine="640" w:firstLineChars="20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6）财务财政监督情况。执行国家有关财务法律法规的同时，建立健全内部财务管理制度，按照党风廉政建设的要求，全体民警廉洁奉公、忠于职守。禁止利用职权和职务上的便利谋取不正当的利益。完善了《遂宁市公安局河东新区分局财务管理制度》，加强了项目资金的管理和监督，杜绝违规违法事件的发生。本着勤俭节约原则，管理好用好每笔资金。财务活动接受审计、财政、纪检监察等部门的监督检查。</w:t>
      </w:r>
    </w:p>
    <w:p w14:paraId="384CB23A">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（四）整体绩效</w:t>
      </w:r>
    </w:p>
    <w:p w14:paraId="25B0BDEE">
      <w:pPr>
        <w:pStyle w:val="31"/>
        <w:spacing w:line="58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坚守政治安全底线。周密细致做好民运重点人出狱接返、常态管控、感化帮扶工作，确保其不出视线、情况悉知、动态可控，不产生现实危害。深入开展反颠覆反分裂斗争，强化阵地控制，开展网上斗争，全区未发生街头政治和网上网下聚集声援等敏感涉政涉稳事件。强化信息收集研判，获部采精品视频6部、文章2篇，厅采精品视频8部、文章4篇、三级情报7个。加强对70名在册邪教人员的实时管控，坚持对重点人在敏感期间的每日调度，更新录入数据600余条，有效预知重点人的动向，预测重点人活动风险，先后对14人次可疑动向进行了有效处置化解，确保敏感节点辖区未发生任何有影响的事件。</w:t>
      </w:r>
    </w:p>
    <w:p w14:paraId="20562A3F">
      <w:pPr>
        <w:pStyle w:val="31"/>
        <w:spacing w:line="58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圆满完成安保维稳。在全国全省全市两会、国庆中秋等重大敏感时段，持续运行高等级勤务，全力开展安保维稳，有力维护辖区平安稳定。圆满完成“省01”“省02”等警卫任务10起，圆满完成建党100周年等重大安保任务66起，分局共出动警力3260余人次，妥善处置市政府非访事件50起，涉及2200人次，行政拘留2人，收缴横幅标语9幅，有效维护了市委市政府首脑机关正常秩序。</w:t>
      </w:r>
    </w:p>
    <w:p w14:paraId="229EBEAA">
      <w:pPr>
        <w:pStyle w:val="31"/>
        <w:spacing w:line="58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3、强化社会治安管控。分局坚决有力打击各类违法犯罪活动，打击质效大幅提升。深入开展扫黑除恶、“命案积案”“缉枪防暴”“斗城肃毒害、忠诚护党旗”等专项行动，取得显著成效。共受理各类刑事案件644件，同比下降8.52%；立刑事案件686件，同比上升4.7%；侦破各类刑事案件212件，破案率30.9%；刑事拘留130人，同比上升23.8%；取保候审100人，同比上升212.5%；移送起诉135人，同比上升55.17%；抓获网上逃犯27人，查获吸毒人员67人，同比上升19.64%；强制隔离戒毒12人。精准预警9782人，成功劝阻9782人。受理行政案件1243件，同比上升5.3%，办结行政案件173件，行政处罚229人，同比上升9.1%。</w:t>
      </w:r>
    </w:p>
    <w:p w14:paraId="1DFE89FA">
      <w:pPr>
        <w:adjustRightInd w:val="0"/>
        <w:snapToGrid w:val="0"/>
        <w:spacing w:line="540" w:lineRule="exact"/>
        <w:ind w:firstLine="723" w:firstLineChars="200"/>
        <w:jc w:val="both"/>
        <w:rPr>
          <w:rFonts w:hint="eastAsia" w:ascii="仿宋" w:hAnsi="仿宋" w:eastAsia="仿宋" w:cs="仿宋"/>
          <w:b/>
          <w:bCs/>
          <w:color w:val="000000"/>
          <w:kern w:val="0"/>
          <w:sz w:val="36"/>
          <w:szCs w:val="36"/>
          <w:shd w:val="clear" w:color="auto" w:fill="FFFFFF"/>
          <w:lang w:val="zh-CN" w:eastAsia="zh-CN" w:bidi="ar-SA"/>
        </w:rPr>
      </w:pPr>
      <w:bookmarkStart w:id="175" w:name="_Toc18143_WPSOffice_Level2"/>
      <w:r>
        <w:rPr>
          <w:rFonts w:hint="eastAsia" w:ascii="仿宋" w:hAnsi="仿宋" w:eastAsia="仿宋" w:cs="仿宋"/>
          <w:b/>
          <w:bCs/>
          <w:color w:val="000000"/>
          <w:kern w:val="0"/>
          <w:sz w:val="36"/>
          <w:szCs w:val="36"/>
          <w:shd w:val="clear" w:color="auto" w:fill="FFFFFF"/>
          <w:lang w:val="zh-CN" w:eastAsia="zh-CN" w:bidi="ar-SA"/>
        </w:rPr>
        <w:t>四、评价结论及建议</w:t>
      </w:r>
      <w:bookmarkEnd w:id="175"/>
      <w:r>
        <w:rPr>
          <w:rFonts w:hint="eastAsia" w:ascii="仿宋" w:hAnsi="仿宋" w:eastAsia="仿宋" w:cs="仿宋"/>
          <w:b/>
          <w:bCs/>
          <w:color w:val="000000"/>
          <w:kern w:val="0"/>
          <w:sz w:val="36"/>
          <w:szCs w:val="36"/>
          <w:shd w:val="clear" w:color="auto" w:fill="FFFFFF"/>
          <w:lang w:val="zh-CN" w:eastAsia="zh-CN" w:bidi="ar-SA"/>
        </w:rPr>
        <w:tab/>
      </w:r>
    </w:p>
    <w:p w14:paraId="39D8E17F">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（一）评价结论。</w:t>
      </w:r>
    </w:p>
    <w:p w14:paraId="5D628435">
      <w:pPr>
        <w:pStyle w:val="2"/>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 xml:space="preserve"> 2021年，我分局认真履行职能职责，基本完成了各项目标任务。依照《2021年市级部门整体预算绩效评价指标体系》，从评价情况来看，我分局预算整体绩效总体合格，预算编制质量较高，绩效目标明确，预算执行及综合管理较好。</w:t>
      </w:r>
    </w:p>
    <w:p w14:paraId="5F4B8AE4">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（二）存在问题。</w:t>
      </w:r>
    </w:p>
    <w:p w14:paraId="26359657">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会计核算中科目核有待完整，由于公安工作的特殊性，例如办案费中的特殊科目无法列入财政统一的核算科目。</w:t>
      </w:r>
    </w:p>
    <w:p w14:paraId="2F98A6A9">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（三）改进建议。</w:t>
      </w:r>
    </w:p>
    <w:p w14:paraId="316A7FD9">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针对上述存在的问题及整体支出管理工作的需要，拟实施的改进措施如下：</w:t>
      </w:r>
    </w:p>
    <w:p w14:paraId="63E3F357">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 细化预算编制工作，认真做好预算的编制。进一步加强内部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14:paraId="5354C579">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 加强财务管理，严格财务审核。在费用报账支付时，按照预算规定的费用项目和用途进行资金使用审核、列报支付、财务核算，杜绝超支现象的发生。</w:t>
      </w:r>
    </w:p>
    <w:p w14:paraId="36F02A5C">
      <w:pPr>
        <w:adjustRightInd w:val="0"/>
        <w:snapToGrid w:val="0"/>
        <w:spacing w:line="540" w:lineRule="exact"/>
        <w:ind w:firstLine="720"/>
        <w:jc w:val="left"/>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3．持续抓好“三公”经费控制管理。严格控制“三公”经费的规模和比例，把关“三公”经费支出的审核、审批，杜绝挪用和挤占其他预算资金行为；进一步细化“三公”经费的管理，合理压缩“三公”经费支出。</w:t>
      </w:r>
    </w:p>
    <w:p w14:paraId="3FC6499B">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bookmarkStart w:id="176" w:name="_Toc15396618"/>
      <w:bookmarkStart w:id="177" w:name="_Toc29490"/>
      <w:bookmarkStart w:id="178" w:name="_Toc1602_WPSOffice_Level1"/>
      <w:bookmarkStart w:id="179" w:name="_Toc20326"/>
      <w:r>
        <w:rPr>
          <w:rFonts w:hint="eastAsia" w:ascii="仿宋" w:hAnsi="仿宋" w:eastAsia="仿宋" w:cs="仿宋"/>
          <w:color w:val="000000"/>
          <w:kern w:val="0"/>
          <w:sz w:val="32"/>
          <w:szCs w:val="32"/>
          <w:shd w:val="clear" w:color="auto" w:fill="FFFFFF"/>
          <w:lang w:val="en-US" w:eastAsia="zh-CN" w:bidi="ar-SA"/>
        </w:rPr>
        <w:t xml:space="preserve">  </w:t>
      </w:r>
      <w:bookmarkEnd w:id="164"/>
      <w:bookmarkEnd w:id="176"/>
      <w:bookmarkEnd w:id="177"/>
      <w:bookmarkEnd w:id="178"/>
      <w:bookmarkEnd w:id="179"/>
      <w:bookmarkStart w:id="180" w:name="_Toc22175"/>
      <w:bookmarkStart w:id="181" w:name="_Toc15396619"/>
    </w:p>
    <w:p w14:paraId="5B681813">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4001F292">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40970AD9">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6F6926D6">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5298625C">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256EB863">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69C02A54">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2CEBD7D5">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2FE70F05">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70215052">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0DFDD7E6">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295B7C78">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5FFABDE6">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78C7E37A">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77473F30">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001173B9">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0102BA3C">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429F07B3">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041DA03C">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48C1E282">
      <w:pPr>
        <w:spacing w:line="600" w:lineRule="exact"/>
        <w:ind w:firstLine="640" w:firstLineChars="200"/>
        <w:jc w:val="center"/>
        <w:outlineLvl w:val="0"/>
        <w:rPr>
          <w:rFonts w:hint="eastAsia" w:ascii="仿宋" w:hAnsi="仿宋" w:eastAsia="仿宋" w:cs="仿宋"/>
          <w:color w:val="000000"/>
          <w:kern w:val="0"/>
          <w:sz w:val="32"/>
          <w:szCs w:val="32"/>
          <w:shd w:val="clear" w:color="auto" w:fill="FFFFFF"/>
          <w:lang w:val="en-US" w:eastAsia="zh-CN" w:bidi="ar-SA"/>
        </w:rPr>
      </w:pPr>
    </w:p>
    <w:p w14:paraId="5126A687">
      <w:pPr>
        <w:spacing w:line="600" w:lineRule="exact"/>
        <w:ind w:firstLine="880" w:firstLineChars="200"/>
        <w:jc w:val="center"/>
        <w:outlineLvl w:val="0"/>
        <w:rPr>
          <w:rFonts w:hint="eastAsia" w:ascii="仿宋" w:hAnsi="仿宋" w:eastAsia="仿宋"/>
          <w:b w:val="0"/>
          <w:color w:val="auto"/>
          <w:highlight w:val="none"/>
        </w:rPr>
      </w:pPr>
      <w:bookmarkStart w:id="182" w:name="_Toc17245"/>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180"/>
      <w:bookmarkEnd w:id="182"/>
    </w:p>
    <w:p w14:paraId="7E3EA6DC">
      <w:pPr>
        <w:pStyle w:val="4"/>
        <w:rPr>
          <w:rFonts w:ascii="仿宋" w:hAnsi="仿宋" w:eastAsia="仿宋"/>
          <w:color w:val="auto"/>
          <w:highlight w:val="none"/>
        </w:rPr>
      </w:pPr>
      <w:bookmarkStart w:id="183" w:name="_Toc4172"/>
      <w:bookmarkStart w:id="184" w:name="_Toc28303"/>
      <w:bookmarkStart w:id="185" w:name="_Toc1564"/>
      <w:bookmarkStart w:id="186" w:name="_Toc11982"/>
      <w:bookmarkStart w:id="187" w:name="_Toc11382_WPSOffice_Level2"/>
      <w:bookmarkStart w:id="188" w:name="_Toc14583"/>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181"/>
      <w:bookmarkEnd w:id="183"/>
      <w:bookmarkEnd w:id="184"/>
      <w:bookmarkEnd w:id="185"/>
      <w:bookmarkEnd w:id="186"/>
      <w:bookmarkEnd w:id="187"/>
      <w:bookmarkEnd w:id="188"/>
    </w:p>
    <w:p w14:paraId="06186282">
      <w:pPr>
        <w:pStyle w:val="4"/>
        <w:rPr>
          <w:rFonts w:ascii="仿宋" w:hAnsi="仿宋" w:eastAsia="仿宋"/>
          <w:color w:val="auto"/>
          <w:highlight w:val="none"/>
        </w:rPr>
      </w:pPr>
      <w:bookmarkStart w:id="189" w:name="_Toc15396620"/>
      <w:bookmarkStart w:id="190" w:name="_Toc6289"/>
      <w:bookmarkStart w:id="191" w:name="_Toc3675"/>
      <w:bookmarkStart w:id="192" w:name="_Toc14328"/>
      <w:bookmarkStart w:id="193" w:name="_Toc30908"/>
      <w:bookmarkStart w:id="194" w:name="_Toc20078_WPSOffice_Level2"/>
      <w:bookmarkStart w:id="195" w:name="_Toc5092"/>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189"/>
      <w:bookmarkEnd w:id="190"/>
      <w:bookmarkEnd w:id="191"/>
      <w:bookmarkEnd w:id="192"/>
      <w:bookmarkEnd w:id="193"/>
      <w:bookmarkEnd w:id="194"/>
      <w:bookmarkEnd w:id="195"/>
    </w:p>
    <w:p w14:paraId="4E15725F">
      <w:pPr>
        <w:pStyle w:val="4"/>
        <w:rPr>
          <w:rFonts w:ascii="仿宋" w:hAnsi="仿宋" w:eastAsia="仿宋"/>
          <w:color w:val="auto"/>
          <w:highlight w:val="none"/>
        </w:rPr>
      </w:pPr>
      <w:bookmarkStart w:id="196" w:name="_Toc2788"/>
      <w:bookmarkStart w:id="197" w:name="_Toc15396621"/>
      <w:bookmarkStart w:id="198" w:name="_Toc32343"/>
      <w:bookmarkStart w:id="199" w:name="_Toc31360_WPSOffice_Level2"/>
      <w:bookmarkStart w:id="200" w:name="_Toc1735"/>
      <w:bookmarkStart w:id="201" w:name="_Toc21412"/>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196"/>
      <w:bookmarkEnd w:id="197"/>
      <w:bookmarkEnd w:id="198"/>
      <w:bookmarkEnd w:id="199"/>
      <w:bookmarkEnd w:id="200"/>
      <w:bookmarkEnd w:id="201"/>
    </w:p>
    <w:p w14:paraId="22E56B72">
      <w:pPr>
        <w:pStyle w:val="4"/>
        <w:rPr>
          <w:rFonts w:ascii="仿宋" w:hAnsi="仿宋" w:eastAsia="仿宋"/>
          <w:b w:val="0"/>
          <w:color w:val="auto"/>
          <w:highlight w:val="none"/>
        </w:rPr>
      </w:pPr>
      <w:bookmarkStart w:id="202" w:name="_Toc25035_WPSOffice_Level2"/>
      <w:bookmarkStart w:id="203" w:name="_Toc17876"/>
      <w:bookmarkStart w:id="204" w:name="_Toc15396622"/>
      <w:bookmarkStart w:id="205" w:name="_Toc1654"/>
      <w:bookmarkStart w:id="206" w:name="_Toc13523"/>
      <w:bookmarkStart w:id="207" w:name="_Toc11687"/>
      <w:bookmarkStart w:id="208" w:name="_Toc24211"/>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202"/>
      <w:bookmarkEnd w:id="203"/>
      <w:bookmarkEnd w:id="204"/>
      <w:bookmarkEnd w:id="205"/>
      <w:bookmarkEnd w:id="206"/>
      <w:bookmarkEnd w:id="207"/>
      <w:bookmarkEnd w:id="208"/>
    </w:p>
    <w:p w14:paraId="66537582">
      <w:pPr>
        <w:pStyle w:val="4"/>
        <w:rPr>
          <w:rStyle w:val="26"/>
          <w:rFonts w:ascii="仿宋" w:hAnsi="仿宋" w:eastAsia="仿宋"/>
          <w:b w:val="0"/>
          <w:bCs w:val="0"/>
          <w:color w:val="auto"/>
          <w:highlight w:val="none"/>
        </w:rPr>
      </w:pPr>
      <w:bookmarkStart w:id="209" w:name="_Toc4300"/>
      <w:bookmarkStart w:id="210" w:name="_Toc15396623"/>
      <w:bookmarkStart w:id="211" w:name="_Toc24676"/>
      <w:bookmarkStart w:id="212" w:name="_Toc29086"/>
      <w:bookmarkStart w:id="213" w:name="_Toc17681_WPSOffice_Level2"/>
      <w:bookmarkStart w:id="214" w:name="_Toc19021"/>
      <w:bookmarkStart w:id="215" w:name="_Toc22945"/>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209"/>
      <w:bookmarkEnd w:id="210"/>
      <w:bookmarkEnd w:id="211"/>
      <w:bookmarkEnd w:id="212"/>
      <w:bookmarkEnd w:id="213"/>
      <w:bookmarkEnd w:id="214"/>
      <w:bookmarkEnd w:id="215"/>
      <w:bookmarkStart w:id="216" w:name="_Toc15396624"/>
    </w:p>
    <w:p w14:paraId="30C8E77C">
      <w:pPr>
        <w:pStyle w:val="4"/>
        <w:rPr>
          <w:rFonts w:ascii="仿宋" w:hAnsi="仿宋" w:eastAsia="仿宋"/>
          <w:color w:val="auto"/>
          <w:highlight w:val="none"/>
        </w:rPr>
      </w:pPr>
      <w:bookmarkStart w:id="217" w:name="_Toc25407"/>
      <w:bookmarkStart w:id="218" w:name="_Toc31931_WPSOffice_Level2"/>
      <w:bookmarkStart w:id="219" w:name="_Toc1924"/>
      <w:bookmarkStart w:id="220" w:name="_Toc13269"/>
      <w:bookmarkStart w:id="221" w:name="_Toc13584"/>
      <w:bookmarkStart w:id="222" w:name="_Toc7509"/>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216"/>
      <w:bookmarkEnd w:id="217"/>
      <w:bookmarkEnd w:id="218"/>
      <w:bookmarkEnd w:id="219"/>
      <w:bookmarkEnd w:id="220"/>
      <w:bookmarkEnd w:id="221"/>
      <w:bookmarkEnd w:id="222"/>
    </w:p>
    <w:p w14:paraId="1438D214">
      <w:pPr>
        <w:pStyle w:val="4"/>
        <w:rPr>
          <w:rFonts w:ascii="仿宋" w:hAnsi="仿宋" w:eastAsia="仿宋"/>
          <w:color w:val="auto"/>
          <w:highlight w:val="none"/>
        </w:rPr>
      </w:pPr>
      <w:bookmarkStart w:id="223" w:name="_Toc27256_WPSOffice_Level2"/>
      <w:bookmarkStart w:id="224" w:name="_Toc4108"/>
      <w:bookmarkStart w:id="225" w:name="_Toc9804"/>
      <w:bookmarkStart w:id="226" w:name="_Toc9373"/>
      <w:bookmarkStart w:id="227" w:name="_Toc24963"/>
      <w:bookmarkStart w:id="228" w:name="_Toc15396625"/>
      <w:bookmarkStart w:id="229" w:name="_Toc1057"/>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223"/>
      <w:bookmarkEnd w:id="224"/>
      <w:bookmarkEnd w:id="225"/>
      <w:bookmarkEnd w:id="226"/>
      <w:bookmarkEnd w:id="227"/>
      <w:bookmarkEnd w:id="228"/>
      <w:bookmarkEnd w:id="229"/>
    </w:p>
    <w:p w14:paraId="29400904">
      <w:pPr>
        <w:pStyle w:val="4"/>
        <w:rPr>
          <w:rFonts w:ascii="仿宋" w:hAnsi="仿宋" w:eastAsia="仿宋"/>
          <w:color w:val="auto"/>
          <w:highlight w:val="none"/>
        </w:rPr>
      </w:pPr>
      <w:bookmarkStart w:id="230" w:name="_Toc8842"/>
      <w:bookmarkStart w:id="231" w:name="_Toc25119"/>
      <w:bookmarkStart w:id="232" w:name="_Toc13868"/>
      <w:bookmarkStart w:id="233" w:name="_Toc15396626"/>
      <w:bookmarkStart w:id="234" w:name="_Toc4684"/>
      <w:bookmarkStart w:id="235" w:name="_Toc32260"/>
      <w:bookmarkStart w:id="236" w:name="_Toc30594_WPSOffice_Level2"/>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230"/>
      <w:bookmarkEnd w:id="231"/>
      <w:bookmarkEnd w:id="232"/>
      <w:bookmarkEnd w:id="233"/>
      <w:bookmarkEnd w:id="234"/>
      <w:bookmarkEnd w:id="235"/>
      <w:bookmarkEnd w:id="236"/>
    </w:p>
    <w:p w14:paraId="74E5DDF0">
      <w:pPr>
        <w:pStyle w:val="4"/>
        <w:rPr>
          <w:rFonts w:ascii="仿宋" w:hAnsi="仿宋" w:eastAsia="仿宋"/>
          <w:color w:val="auto"/>
          <w:highlight w:val="none"/>
        </w:rPr>
      </w:pPr>
      <w:bookmarkStart w:id="237" w:name="_Toc29103"/>
      <w:bookmarkStart w:id="238" w:name="_Toc24070"/>
      <w:bookmarkStart w:id="239" w:name="_Toc20561_WPSOffice_Level2"/>
      <w:bookmarkStart w:id="240" w:name="_Toc1996"/>
      <w:bookmarkStart w:id="241" w:name="_Toc15396627"/>
      <w:bookmarkStart w:id="242" w:name="_Toc1683"/>
      <w:bookmarkStart w:id="243" w:name="_Toc14693"/>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237"/>
      <w:bookmarkEnd w:id="238"/>
      <w:bookmarkEnd w:id="239"/>
      <w:bookmarkEnd w:id="240"/>
      <w:bookmarkEnd w:id="241"/>
      <w:bookmarkEnd w:id="242"/>
      <w:bookmarkEnd w:id="243"/>
    </w:p>
    <w:p w14:paraId="0710479D">
      <w:pPr>
        <w:pStyle w:val="4"/>
        <w:rPr>
          <w:rFonts w:ascii="仿宋" w:hAnsi="仿宋" w:eastAsia="仿宋"/>
          <w:color w:val="auto"/>
          <w:highlight w:val="none"/>
        </w:rPr>
      </w:pPr>
      <w:bookmarkStart w:id="244" w:name="_Toc5466"/>
      <w:bookmarkStart w:id="245" w:name="_Toc17470"/>
      <w:bookmarkStart w:id="246" w:name="_Toc32270_WPSOffice_Level2"/>
      <w:bookmarkStart w:id="247" w:name="_Toc15396628"/>
      <w:bookmarkStart w:id="248" w:name="_Toc17363"/>
      <w:bookmarkStart w:id="249" w:name="_Toc6314"/>
      <w:bookmarkStart w:id="250" w:name="_Toc31021"/>
      <w:r>
        <w:rPr>
          <w:rStyle w:val="26"/>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般公共预算财政拨款“三公”经费支出决算表</w:t>
      </w:r>
      <w:bookmarkEnd w:id="244"/>
      <w:bookmarkEnd w:id="245"/>
      <w:bookmarkEnd w:id="246"/>
      <w:bookmarkEnd w:id="247"/>
      <w:bookmarkEnd w:id="248"/>
      <w:bookmarkEnd w:id="249"/>
      <w:bookmarkEnd w:id="250"/>
    </w:p>
    <w:p w14:paraId="246938C4">
      <w:pPr>
        <w:pStyle w:val="4"/>
        <w:rPr>
          <w:rFonts w:ascii="仿宋" w:hAnsi="仿宋" w:eastAsia="仿宋"/>
          <w:color w:val="auto"/>
          <w:highlight w:val="none"/>
        </w:rPr>
      </w:pPr>
      <w:bookmarkStart w:id="251" w:name="_Toc15396629"/>
      <w:bookmarkStart w:id="252" w:name="_Toc10012"/>
      <w:bookmarkStart w:id="253" w:name="_Toc11551"/>
      <w:bookmarkStart w:id="254" w:name="_Toc20495"/>
      <w:bookmarkStart w:id="255" w:name="_Toc25742_WPSOffice_Level2"/>
      <w:bookmarkStart w:id="256" w:name="_Toc1136"/>
      <w:bookmarkStart w:id="257" w:name="_Toc18122"/>
      <w:r>
        <w:rPr>
          <w:rStyle w:val="26"/>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251"/>
      <w:bookmarkEnd w:id="252"/>
      <w:bookmarkEnd w:id="253"/>
      <w:bookmarkEnd w:id="254"/>
      <w:bookmarkEnd w:id="255"/>
      <w:bookmarkEnd w:id="256"/>
      <w:bookmarkEnd w:id="257"/>
    </w:p>
    <w:p w14:paraId="534DA3BF">
      <w:pPr>
        <w:pStyle w:val="4"/>
        <w:rPr>
          <w:rFonts w:ascii="仿宋" w:hAnsi="仿宋" w:eastAsia="仿宋"/>
          <w:color w:val="auto"/>
          <w:highlight w:val="none"/>
        </w:rPr>
      </w:pPr>
      <w:bookmarkStart w:id="258" w:name="_Toc20196"/>
      <w:bookmarkStart w:id="259" w:name="_Toc473"/>
      <w:bookmarkStart w:id="260" w:name="_Toc15894"/>
      <w:bookmarkStart w:id="261" w:name="_Toc27525"/>
      <w:bookmarkStart w:id="262" w:name="_Toc15396630"/>
      <w:bookmarkStart w:id="263" w:name="_Toc22872_WPSOffice_Level2"/>
      <w:bookmarkStart w:id="264" w:name="_Toc25540"/>
      <w:r>
        <w:rPr>
          <w:rStyle w:val="26"/>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府性基金预算财政拨款“三公”经费支出决算表</w:t>
      </w:r>
      <w:bookmarkEnd w:id="258"/>
      <w:bookmarkEnd w:id="259"/>
      <w:bookmarkEnd w:id="260"/>
      <w:bookmarkEnd w:id="261"/>
      <w:bookmarkEnd w:id="262"/>
      <w:bookmarkEnd w:id="263"/>
      <w:bookmarkEnd w:id="264"/>
    </w:p>
    <w:p w14:paraId="41B2C302">
      <w:pPr>
        <w:pStyle w:val="4"/>
        <w:rPr>
          <w:rStyle w:val="26"/>
          <w:rFonts w:hint="eastAsia" w:ascii="仿宋" w:hAnsi="仿宋" w:eastAsia="仿宋"/>
          <w:b w:val="0"/>
          <w:bCs w:val="0"/>
          <w:color w:val="auto"/>
          <w:highlight w:val="none"/>
        </w:rPr>
      </w:pPr>
      <w:bookmarkStart w:id="265" w:name="_Toc3363"/>
      <w:bookmarkStart w:id="266" w:name="_Toc15396631"/>
      <w:bookmarkStart w:id="267" w:name="_Toc13608"/>
      <w:bookmarkStart w:id="268" w:name="_Toc23499_WPSOffice_Level2"/>
      <w:bookmarkStart w:id="269" w:name="_Toc12891"/>
      <w:bookmarkStart w:id="270" w:name="_Toc23508"/>
      <w:bookmarkStart w:id="271" w:name="_Toc8501"/>
      <w:r>
        <w:rPr>
          <w:rStyle w:val="26"/>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265"/>
      <w:bookmarkEnd w:id="266"/>
      <w:bookmarkEnd w:id="267"/>
      <w:bookmarkEnd w:id="268"/>
      <w:bookmarkEnd w:id="269"/>
      <w:bookmarkEnd w:id="270"/>
      <w:bookmarkEnd w:id="271"/>
    </w:p>
    <w:p w14:paraId="6DF30BEF">
      <w:pPr>
        <w:rPr>
          <w:rFonts w:hint="eastAsia" w:eastAsia="仿宋"/>
          <w:color w:val="auto"/>
          <w:highlight w:val="none"/>
          <w:lang w:eastAsia="zh-CN"/>
        </w:rPr>
      </w:pPr>
      <w:bookmarkStart w:id="272" w:name="_Toc27110"/>
      <w:bookmarkStart w:id="273" w:name="_Toc11247"/>
      <w:bookmarkStart w:id="274" w:name="_Toc29208"/>
      <w:bookmarkStart w:id="275" w:name="_Toc11953"/>
      <w:bookmarkStart w:id="276" w:name="_Toc23034"/>
      <w:bookmarkStart w:id="277" w:name="_Toc25841_WPSOffice_Level2"/>
      <w:r>
        <w:rPr>
          <w:rStyle w:val="26"/>
          <w:rFonts w:hint="eastAsia" w:ascii="仿宋" w:hAnsi="仿宋" w:eastAsia="仿宋"/>
          <w:b w:val="0"/>
          <w:bCs w:val="0"/>
          <w:color w:val="auto"/>
          <w:highlight w:val="none"/>
          <w:lang w:eastAsia="zh-CN"/>
        </w:rPr>
        <w:t>十四、国有资本经营预算财政拨款支出决算表</w:t>
      </w:r>
      <w:bookmarkEnd w:id="272"/>
      <w:bookmarkEnd w:id="273"/>
      <w:bookmarkEnd w:id="274"/>
      <w:bookmarkEnd w:id="275"/>
      <w:bookmarkEnd w:id="276"/>
      <w:bookmarkEnd w:id="277"/>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305CD7D">
        <w:pPr>
          <w:pStyle w:val="9"/>
          <w:jc w:val="center"/>
        </w:pPr>
        <w:r>
          <w:fldChar w:fldCharType="begin"/>
        </w:r>
        <w:r>
          <w:instrText xml:space="preserve">PAGE   \* MERGEFORMAT</w:instrText>
        </w:r>
        <w:r>
          <w:fldChar w:fldCharType="separate"/>
        </w:r>
        <w:r>
          <w:rPr>
            <w:lang w:val="zh-CN"/>
          </w:rPr>
          <w:t>8</w:t>
        </w:r>
        <w:r>
          <w:fldChar w:fldCharType="end"/>
        </w:r>
      </w:p>
    </w:sdtContent>
  </w:sdt>
  <w:p w14:paraId="7F7CFBE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43F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715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F7A94">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CD251">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ACD251">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730E2D92">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AAC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76192">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C76192">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63F6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0B11AC7"/>
    <w:multiLevelType w:val="singleLevel"/>
    <w:tmpl w:val="10B11AC7"/>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D3B608E"/>
    <w:multiLevelType w:val="singleLevel"/>
    <w:tmpl w:val="7D3B608E"/>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mI5NTg4ZGE2N2QzOTEyMzRlYzExYjNmZjdiN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92BFF"/>
    <w:rsid w:val="0A2032A3"/>
    <w:rsid w:val="0B8A37D8"/>
    <w:rsid w:val="0FB8482C"/>
    <w:rsid w:val="10C055FF"/>
    <w:rsid w:val="118107EC"/>
    <w:rsid w:val="11DD6519"/>
    <w:rsid w:val="15E4177C"/>
    <w:rsid w:val="16BB723D"/>
    <w:rsid w:val="18015F3F"/>
    <w:rsid w:val="1AB365BD"/>
    <w:rsid w:val="1BE8440E"/>
    <w:rsid w:val="1D155CEE"/>
    <w:rsid w:val="20F57F95"/>
    <w:rsid w:val="22AB0B16"/>
    <w:rsid w:val="22BE06D8"/>
    <w:rsid w:val="23632900"/>
    <w:rsid w:val="240371BF"/>
    <w:rsid w:val="246A1FE0"/>
    <w:rsid w:val="24A147D9"/>
    <w:rsid w:val="255C5835"/>
    <w:rsid w:val="25C741E6"/>
    <w:rsid w:val="26655EFC"/>
    <w:rsid w:val="27842671"/>
    <w:rsid w:val="28F87516"/>
    <w:rsid w:val="29FD04D3"/>
    <w:rsid w:val="2ABE7A3E"/>
    <w:rsid w:val="2DB724CB"/>
    <w:rsid w:val="2E6A019D"/>
    <w:rsid w:val="2EFA178C"/>
    <w:rsid w:val="30B46D73"/>
    <w:rsid w:val="319F7F4E"/>
    <w:rsid w:val="339B2FE2"/>
    <w:rsid w:val="365D1C7C"/>
    <w:rsid w:val="39572798"/>
    <w:rsid w:val="39AE70AB"/>
    <w:rsid w:val="3B7169E0"/>
    <w:rsid w:val="3C0C0783"/>
    <w:rsid w:val="3EEE0ADA"/>
    <w:rsid w:val="3F9F3A96"/>
    <w:rsid w:val="456508EA"/>
    <w:rsid w:val="493C27E9"/>
    <w:rsid w:val="496F39ED"/>
    <w:rsid w:val="49FF41D3"/>
    <w:rsid w:val="4B2D0BC2"/>
    <w:rsid w:val="4BE068DB"/>
    <w:rsid w:val="4BF6002B"/>
    <w:rsid w:val="4ECE2238"/>
    <w:rsid w:val="5011774A"/>
    <w:rsid w:val="51DB4B86"/>
    <w:rsid w:val="54D015ED"/>
    <w:rsid w:val="55333C3E"/>
    <w:rsid w:val="558C4B56"/>
    <w:rsid w:val="56F6663E"/>
    <w:rsid w:val="5A053D2F"/>
    <w:rsid w:val="5A2D62D4"/>
    <w:rsid w:val="5B345C13"/>
    <w:rsid w:val="5DC472CC"/>
    <w:rsid w:val="5E06502C"/>
    <w:rsid w:val="5F74589D"/>
    <w:rsid w:val="64C44623"/>
    <w:rsid w:val="64CA39A1"/>
    <w:rsid w:val="676921D9"/>
    <w:rsid w:val="68254AC4"/>
    <w:rsid w:val="6878456E"/>
    <w:rsid w:val="6A420BE2"/>
    <w:rsid w:val="6B6572A1"/>
    <w:rsid w:val="6B661675"/>
    <w:rsid w:val="6C4A05C8"/>
    <w:rsid w:val="71903FF3"/>
    <w:rsid w:val="72734D90"/>
    <w:rsid w:val="736256BB"/>
    <w:rsid w:val="767F449A"/>
    <w:rsid w:val="7728269B"/>
    <w:rsid w:val="78B32150"/>
    <w:rsid w:val="79495677"/>
    <w:rsid w:val="79E7B28D"/>
    <w:rsid w:val="7B881288"/>
    <w:rsid w:val="7D47615D"/>
    <w:rsid w:val="7F66515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1">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e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3842</Words>
  <Characters>4284</Characters>
  <Lines>61</Lines>
  <Paragraphs>17</Paragraphs>
  <TotalTime>1</TotalTime>
  <ScaleCrop>false</ScaleCrop>
  <LinksUpToDate>false</LinksUpToDate>
  <CharactersWithSpaces>4343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 </cp:lastModifiedBy>
  <cp:lastPrinted>2022-08-06T02:23:00Z</cp:lastPrinted>
  <dcterms:modified xsi:type="dcterms:W3CDTF">2025-05-06T07:44:06Z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5AFD640C9CEA42AE9F68EF6A5861C4BB_12</vt:lpwstr>
  </property>
</Properties>
</file>