
<file path=[Content_Types].xml><?xml version="1.0" encoding="utf-8"?>
<Types xmlns="http://schemas.openxmlformats.org/package/2006/content-types">
  <Default Extension="xlsx" ContentType="application/vnd.openxmlformats-officedocument.spreadsheetml.shee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53C944">
      <w:pPr>
        <w:spacing w:line="600" w:lineRule="exact"/>
        <w:jc w:val="center"/>
        <w:outlineLvl w:val="0"/>
        <w:rPr>
          <w:rFonts w:hint="default" w:ascii="方正小标宋简体" w:hAnsi="宋体" w:eastAsia="方正小标宋简体"/>
          <w:color w:val="auto"/>
          <w:sz w:val="72"/>
          <w:szCs w:val="72"/>
          <w:highlight w:val="none"/>
          <w:lang w:val="en-US" w:eastAsia="zh-CN"/>
        </w:rPr>
      </w:pPr>
      <w:bookmarkStart w:id="0" w:name="_Toc15306267"/>
    </w:p>
    <w:p w14:paraId="578B28DD">
      <w:pPr>
        <w:spacing w:line="600" w:lineRule="exact"/>
        <w:jc w:val="center"/>
        <w:outlineLvl w:val="0"/>
        <w:rPr>
          <w:rFonts w:ascii="方正小标宋简体" w:hAnsi="宋体" w:eastAsia="方正小标宋简体"/>
          <w:color w:val="auto"/>
          <w:sz w:val="72"/>
          <w:szCs w:val="72"/>
          <w:highlight w:val="none"/>
        </w:rPr>
      </w:pPr>
    </w:p>
    <w:p w14:paraId="11DA575A">
      <w:pPr>
        <w:spacing w:line="600" w:lineRule="exact"/>
        <w:jc w:val="center"/>
        <w:outlineLvl w:val="0"/>
        <w:rPr>
          <w:rFonts w:ascii="方正小标宋简体" w:hAnsi="宋体" w:eastAsia="方正小标宋简体"/>
          <w:color w:val="auto"/>
          <w:sz w:val="72"/>
          <w:szCs w:val="72"/>
          <w:highlight w:val="none"/>
        </w:rPr>
      </w:pPr>
    </w:p>
    <w:p w14:paraId="4AAFD6AF">
      <w:pPr>
        <w:spacing w:line="600" w:lineRule="exact"/>
        <w:jc w:val="center"/>
        <w:outlineLvl w:val="0"/>
        <w:rPr>
          <w:rFonts w:ascii="方正小标宋简体" w:hAnsi="宋体" w:eastAsia="方正小标宋简体"/>
          <w:color w:val="auto"/>
          <w:sz w:val="72"/>
          <w:szCs w:val="72"/>
          <w:highlight w:val="none"/>
        </w:rPr>
      </w:pPr>
    </w:p>
    <w:p w14:paraId="36102EED">
      <w:pPr>
        <w:adjustRightInd w:val="0"/>
        <w:snapToGrid w:val="0"/>
        <w:spacing w:line="360" w:lineRule="auto"/>
        <w:jc w:val="center"/>
        <w:outlineLvl w:val="0"/>
        <w:rPr>
          <w:rFonts w:hint="eastAsia" w:ascii="方正小标宋简体" w:hAnsi="方正小标宋简体" w:eastAsia="方正小标宋简体" w:cs="方正小标宋简体"/>
          <w:color w:val="auto"/>
          <w:sz w:val="72"/>
          <w:szCs w:val="72"/>
          <w:highlight w:val="none"/>
        </w:rPr>
      </w:pPr>
      <w:bookmarkStart w:id="1" w:name="_Toc15377425"/>
      <w:bookmarkStart w:id="2" w:name="_Toc15377193"/>
      <w:bookmarkStart w:id="3" w:name="_Toc15396597"/>
      <w:bookmarkStart w:id="4" w:name="_Toc15378441"/>
      <w:bookmarkStart w:id="5" w:name="_Toc15396475"/>
      <w:r>
        <w:rPr>
          <w:rFonts w:hint="eastAsia" w:ascii="方正小标宋简体" w:hAnsi="方正小标宋简体" w:eastAsia="方正小标宋简体" w:cs="方正小标宋简体"/>
          <w:color w:val="auto"/>
          <w:sz w:val="72"/>
          <w:szCs w:val="72"/>
          <w:highlight w:val="none"/>
        </w:rPr>
        <w:t>20</w:t>
      </w:r>
      <w:r>
        <w:rPr>
          <w:rFonts w:hint="eastAsia" w:ascii="方正小标宋简体" w:hAnsi="方正小标宋简体" w:eastAsia="方正小标宋简体" w:cs="方正小标宋简体"/>
          <w:color w:val="auto"/>
          <w:sz w:val="72"/>
          <w:szCs w:val="72"/>
          <w:highlight w:val="none"/>
          <w:lang w:val="en-US" w:eastAsia="zh-CN"/>
        </w:rPr>
        <w:t>21</w:t>
      </w:r>
      <w:r>
        <w:rPr>
          <w:rFonts w:hint="eastAsia" w:ascii="方正小标宋简体" w:hAnsi="方正小标宋简体" w:eastAsia="方正小标宋简体" w:cs="方正小标宋简体"/>
          <w:color w:val="auto"/>
          <w:sz w:val="72"/>
          <w:szCs w:val="72"/>
          <w:highlight w:val="none"/>
        </w:rPr>
        <w:t>年度</w:t>
      </w:r>
      <w:bookmarkEnd w:id="1"/>
      <w:bookmarkEnd w:id="2"/>
      <w:bookmarkEnd w:id="3"/>
      <w:bookmarkEnd w:id="4"/>
      <w:bookmarkEnd w:id="5"/>
    </w:p>
    <w:p w14:paraId="24217B5C">
      <w:pPr>
        <w:adjustRightInd w:val="0"/>
        <w:snapToGrid w:val="0"/>
        <w:spacing w:line="360" w:lineRule="auto"/>
        <w:jc w:val="center"/>
        <w:outlineLvl w:val="0"/>
        <w:rPr>
          <w:rFonts w:hint="eastAsia" w:ascii="方正小标宋简体" w:hAnsi="方正小标宋简体" w:eastAsia="方正小标宋简体" w:cs="方正小标宋简体"/>
          <w:color w:val="auto"/>
          <w:sz w:val="72"/>
          <w:szCs w:val="72"/>
          <w:highlight w:val="none"/>
        </w:rPr>
      </w:pPr>
      <w:bookmarkStart w:id="6" w:name="_Toc15396598"/>
      <w:bookmarkStart w:id="7" w:name="_Toc15377194"/>
      <w:bookmarkStart w:id="8" w:name="_Toc15378442"/>
      <w:bookmarkStart w:id="9" w:name="_Toc15396476"/>
      <w:bookmarkStart w:id="10" w:name="_Toc15377426"/>
      <w:r>
        <w:rPr>
          <w:rFonts w:hint="eastAsia" w:ascii="方正小标宋简体" w:hAnsi="方正小标宋简体" w:eastAsia="方正小标宋简体" w:cs="方正小标宋简体"/>
          <w:color w:val="auto"/>
          <w:sz w:val="72"/>
          <w:szCs w:val="72"/>
          <w:highlight w:val="none"/>
        </w:rPr>
        <w:t>四川省</w:t>
      </w:r>
      <w:bookmarkEnd w:id="0"/>
      <w:bookmarkStart w:id="11" w:name="_Toc15306268"/>
      <w:r>
        <w:rPr>
          <w:rFonts w:hint="eastAsia" w:ascii="方正小标宋简体" w:hAnsi="方正小标宋简体" w:eastAsia="方正小标宋简体" w:cs="方正小标宋简体"/>
          <w:color w:val="auto"/>
          <w:sz w:val="72"/>
          <w:szCs w:val="72"/>
          <w:highlight w:val="none"/>
          <w:lang w:eastAsia="zh-CN"/>
        </w:rPr>
        <w:t>遂宁市公安局经济技术开发区分局单位</w:t>
      </w:r>
      <w:r>
        <w:rPr>
          <w:rFonts w:hint="eastAsia" w:ascii="方正小标宋简体" w:hAnsi="方正小标宋简体" w:eastAsia="方正小标宋简体" w:cs="方正小标宋简体"/>
          <w:color w:val="auto"/>
          <w:sz w:val="72"/>
          <w:szCs w:val="72"/>
          <w:highlight w:val="none"/>
        </w:rPr>
        <w:t>决算</w:t>
      </w:r>
      <w:bookmarkEnd w:id="6"/>
      <w:bookmarkEnd w:id="7"/>
      <w:bookmarkEnd w:id="8"/>
      <w:bookmarkEnd w:id="9"/>
      <w:bookmarkEnd w:id="10"/>
      <w:bookmarkEnd w:id="11"/>
    </w:p>
    <w:p w14:paraId="482381E9">
      <w:pPr>
        <w:widowControl/>
        <w:jc w:val="center"/>
        <w:rPr>
          <w:rFonts w:ascii="黑体" w:hAnsi="黑体" w:eastAsia="黑体"/>
          <w:color w:val="auto"/>
          <w:sz w:val="48"/>
          <w:szCs w:val="48"/>
          <w:highlight w:val="none"/>
        </w:rPr>
      </w:pPr>
      <w:r>
        <w:rPr>
          <w:rFonts w:ascii="方正小标宋简体" w:hAnsi="宋体" w:eastAsia="方正小标宋简体"/>
          <w:color w:val="auto"/>
          <w:sz w:val="36"/>
          <w:szCs w:val="36"/>
          <w:highlight w:val="none"/>
        </w:rPr>
        <w:br w:type="page"/>
      </w:r>
      <w:r>
        <w:rPr>
          <w:rFonts w:hint="eastAsia" w:ascii="黑体" w:hAnsi="黑体" w:eastAsia="黑体"/>
          <w:color w:val="auto"/>
          <w:sz w:val="48"/>
          <w:szCs w:val="48"/>
          <w:highlight w:val="none"/>
        </w:rPr>
        <w:t>目录</w:t>
      </w:r>
    </w:p>
    <w:p w14:paraId="7BD2D588">
      <w:pPr>
        <w:widowControl/>
        <w:jc w:val="center"/>
        <w:rPr>
          <w:rFonts w:ascii="黑体" w:hAnsi="黑体" w:eastAsia="黑体" w:cstheme="minorBidi"/>
          <w:color w:val="auto"/>
          <w:sz w:val="28"/>
          <w:szCs w:val="28"/>
          <w:highlight w:val="none"/>
        </w:rPr>
      </w:pPr>
    </w:p>
    <w:p w14:paraId="300E6AA8">
      <w:pPr>
        <w:pStyle w:val="11"/>
        <w:rPr>
          <w:color w:val="auto"/>
          <w:highlight w:val="none"/>
        </w:rPr>
      </w:pPr>
      <w:r>
        <w:rPr>
          <w:rFonts w:hint="eastAsia"/>
          <w:color w:val="auto"/>
          <w:highlight w:val="none"/>
        </w:rPr>
        <w:t>公开时间：20</w:t>
      </w:r>
      <w:r>
        <w:rPr>
          <w:rFonts w:hint="eastAsia"/>
          <w:color w:val="auto"/>
          <w:highlight w:val="none"/>
          <w:lang w:val="en-US" w:eastAsia="zh-CN"/>
        </w:rPr>
        <w:t>22</w:t>
      </w:r>
      <w:r>
        <w:rPr>
          <w:rFonts w:hint="eastAsia"/>
          <w:color w:val="auto"/>
          <w:highlight w:val="none"/>
        </w:rPr>
        <w:t>年</w:t>
      </w:r>
      <w:r>
        <w:rPr>
          <w:rFonts w:hint="eastAsia"/>
          <w:color w:val="auto"/>
          <w:highlight w:val="none"/>
          <w:lang w:val="en-US" w:eastAsia="zh-CN"/>
        </w:rPr>
        <w:t>9</w:t>
      </w:r>
      <w:r>
        <w:rPr>
          <w:rFonts w:hint="eastAsia"/>
          <w:color w:val="auto"/>
          <w:highlight w:val="none"/>
        </w:rPr>
        <w:t>月</w:t>
      </w:r>
      <w:r>
        <w:rPr>
          <w:rFonts w:hint="eastAsia"/>
          <w:color w:val="auto"/>
          <w:highlight w:val="none"/>
          <w:lang w:val="en-US" w:eastAsia="zh-CN"/>
        </w:rPr>
        <w:t>2</w:t>
      </w:r>
      <w:r>
        <w:rPr>
          <w:rFonts w:hint="eastAsia"/>
          <w:color w:val="auto"/>
          <w:highlight w:val="none"/>
        </w:rPr>
        <w:t>日</w:t>
      </w:r>
    </w:p>
    <w:p w14:paraId="04490B74">
      <w:pPr>
        <w:rPr>
          <w:color w:val="auto"/>
          <w:highlight w:val="none"/>
        </w:rPr>
      </w:pPr>
    </w:p>
    <w:p w14:paraId="59C120F9">
      <w:pPr>
        <w:pStyle w:val="11"/>
        <w:keepNext w:val="0"/>
        <w:keepLines w:val="0"/>
        <w:pageBreakBefore w:val="0"/>
        <w:widowControl w:val="0"/>
        <w:kinsoku/>
        <w:wordWrap/>
        <w:overflowPunct/>
        <w:topLinePunct w:val="0"/>
        <w:autoSpaceDE/>
        <w:autoSpaceDN/>
        <w:bidi w:val="0"/>
        <w:adjustRightInd w:val="0"/>
        <w:snapToGrid w:val="0"/>
        <w:spacing w:before="0" w:line="600" w:lineRule="exact"/>
        <w:ind w:right="0" w:rightChars="0" w:firstLine="0" w:firstLineChars="0"/>
        <w:jc w:val="left"/>
        <w:textAlignment w:val="auto"/>
        <w:outlineLvl w:val="9"/>
        <w:rPr>
          <w:rFonts w:hint="eastAsia" w:ascii="仿宋" w:hAnsi="仿宋" w:eastAsia="仿宋" w:cs="Times New Roman"/>
          <w:color w:val="auto"/>
          <w:kern w:val="2"/>
          <w:sz w:val="28"/>
          <w:szCs w:val="32"/>
          <w:highlight w:val="none"/>
          <w:lang w:val="en-US" w:eastAsia="zh-CN" w:bidi="ar-SA"/>
        </w:rPr>
      </w:pPr>
      <w:r>
        <w:rPr>
          <w:rFonts w:hint="eastAsia"/>
          <w:color w:val="auto"/>
          <w:sz w:val="28"/>
          <w:szCs w:val="32"/>
          <w:highlight w:val="none"/>
        </w:rPr>
        <w:t>第一部分</w:t>
      </w:r>
      <w:r>
        <w:rPr>
          <w:color w:val="auto"/>
          <w:sz w:val="28"/>
          <w:szCs w:val="32"/>
          <w:highlight w:val="none"/>
        </w:rPr>
        <w:t xml:space="preserve"> </w:t>
      </w:r>
      <w:r>
        <w:rPr>
          <w:rFonts w:hint="eastAsia"/>
          <w:color w:val="auto"/>
          <w:sz w:val="28"/>
          <w:szCs w:val="32"/>
          <w:highlight w:val="none"/>
          <w:lang w:eastAsia="zh-CN"/>
        </w:rPr>
        <w:t>单位</w:t>
      </w:r>
      <w:r>
        <w:rPr>
          <w:rFonts w:hint="eastAsia" w:ascii="仿宋" w:hAnsi="仿宋" w:eastAsia="仿宋" w:cs="Times New Roman"/>
          <w:color w:val="auto"/>
          <w:kern w:val="2"/>
          <w:sz w:val="28"/>
          <w:szCs w:val="32"/>
          <w:highlight w:val="none"/>
          <w:lang w:val="en-US" w:eastAsia="zh-CN" w:bidi="ar-SA"/>
        </w:rPr>
        <w:t>概况</w:t>
      </w:r>
      <w:r>
        <w:rPr>
          <w:rFonts w:hint="eastAsia" w:ascii="仿宋" w:hAnsi="仿宋" w:eastAsia="仿宋" w:cs="Times New Roman"/>
          <w:color w:val="auto"/>
          <w:kern w:val="2"/>
          <w:sz w:val="28"/>
          <w:szCs w:val="32"/>
          <w:highlight w:val="none"/>
          <w:lang w:val="en-US" w:eastAsia="zh-CN" w:bidi="ar-SA"/>
        </w:rPr>
        <w:tab/>
      </w:r>
      <w:r>
        <w:rPr>
          <w:rFonts w:hint="eastAsia" w:ascii="仿宋" w:hAnsi="仿宋" w:eastAsia="仿宋" w:cs="Times New Roman"/>
          <w:color w:val="auto"/>
          <w:kern w:val="2"/>
          <w:sz w:val="28"/>
          <w:szCs w:val="32"/>
          <w:highlight w:val="none"/>
          <w:lang w:val="en-US" w:eastAsia="zh-CN" w:bidi="ar-SA"/>
        </w:rPr>
        <w:t>4</w:t>
      </w:r>
    </w:p>
    <w:p w14:paraId="6134E137">
      <w:pPr>
        <w:pStyle w:val="12"/>
        <w:keepNext w:val="0"/>
        <w:keepLines w:val="0"/>
        <w:pageBreakBefore w:val="0"/>
        <w:widowControl w:val="0"/>
        <w:kinsoku/>
        <w:wordWrap/>
        <w:overflowPunct/>
        <w:topLinePunct w:val="0"/>
        <w:autoSpaceDE/>
        <w:autoSpaceDN/>
        <w:bidi w:val="0"/>
        <w:adjustRightInd w:val="0"/>
        <w:snapToGrid w:val="0"/>
        <w:spacing w:line="600" w:lineRule="exact"/>
        <w:ind w:right="0" w:rightChars="0" w:firstLine="0" w:firstLineChars="0"/>
        <w:jc w:val="left"/>
        <w:textAlignment w:val="auto"/>
        <w:outlineLvl w:val="9"/>
        <w:rPr>
          <w:rFonts w:hint="eastAsia" w:ascii="仿宋" w:hAnsi="仿宋" w:eastAsia="仿宋" w:cs="Times New Roman"/>
          <w:color w:val="auto"/>
          <w:kern w:val="2"/>
          <w:sz w:val="28"/>
          <w:szCs w:val="32"/>
          <w:highlight w:val="none"/>
          <w:lang w:val="en-US" w:eastAsia="zh-CN" w:bidi="ar-SA"/>
        </w:rPr>
      </w:pPr>
      <w:r>
        <w:rPr>
          <w:rFonts w:hint="eastAsia" w:ascii="仿宋" w:hAnsi="仿宋" w:eastAsia="仿宋" w:cs="Times New Roman"/>
          <w:color w:val="auto"/>
          <w:kern w:val="2"/>
          <w:sz w:val="28"/>
          <w:szCs w:val="32"/>
          <w:highlight w:val="none"/>
          <w:lang w:val="en-US" w:eastAsia="zh-CN" w:bidi="ar-SA"/>
        </w:rPr>
        <w:t>一、职能简介</w:t>
      </w:r>
      <w:r>
        <w:rPr>
          <w:rFonts w:hint="eastAsia" w:ascii="仿宋" w:hAnsi="仿宋" w:eastAsia="仿宋" w:cs="Times New Roman"/>
          <w:color w:val="auto"/>
          <w:kern w:val="2"/>
          <w:sz w:val="28"/>
          <w:szCs w:val="32"/>
          <w:highlight w:val="none"/>
          <w:lang w:val="en-US" w:eastAsia="zh-CN" w:bidi="ar-SA"/>
        </w:rPr>
        <w:tab/>
      </w:r>
      <w:r>
        <w:rPr>
          <w:rFonts w:hint="eastAsia" w:ascii="仿宋" w:hAnsi="仿宋" w:eastAsia="仿宋" w:cs="Times New Roman"/>
          <w:color w:val="auto"/>
          <w:kern w:val="2"/>
          <w:sz w:val="28"/>
          <w:szCs w:val="32"/>
          <w:highlight w:val="none"/>
          <w:lang w:val="en-US" w:eastAsia="zh-CN" w:bidi="ar-SA"/>
        </w:rPr>
        <w:t>4</w:t>
      </w:r>
    </w:p>
    <w:p w14:paraId="4FD23D76">
      <w:pPr>
        <w:pStyle w:val="12"/>
        <w:keepNext w:val="0"/>
        <w:keepLines w:val="0"/>
        <w:pageBreakBefore w:val="0"/>
        <w:widowControl w:val="0"/>
        <w:kinsoku/>
        <w:wordWrap/>
        <w:overflowPunct/>
        <w:topLinePunct w:val="0"/>
        <w:autoSpaceDE/>
        <w:autoSpaceDN/>
        <w:bidi w:val="0"/>
        <w:adjustRightInd w:val="0"/>
        <w:snapToGrid w:val="0"/>
        <w:spacing w:line="600" w:lineRule="exact"/>
        <w:ind w:right="0" w:rightChars="0" w:firstLine="0" w:firstLineChars="0"/>
        <w:jc w:val="left"/>
        <w:textAlignment w:val="auto"/>
        <w:outlineLvl w:val="9"/>
        <w:rPr>
          <w:rFonts w:hint="eastAsia" w:ascii="仿宋" w:hAnsi="仿宋" w:eastAsia="仿宋" w:cs="Times New Roman"/>
          <w:color w:val="auto"/>
          <w:kern w:val="2"/>
          <w:sz w:val="28"/>
          <w:szCs w:val="32"/>
          <w:highlight w:val="none"/>
          <w:lang w:val="en-US" w:eastAsia="zh-CN" w:bidi="ar-SA"/>
        </w:rPr>
      </w:pPr>
      <w:r>
        <w:rPr>
          <w:rFonts w:hint="eastAsia" w:ascii="仿宋" w:hAnsi="仿宋" w:eastAsia="仿宋" w:cs="Times New Roman"/>
          <w:color w:val="auto"/>
          <w:kern w:val="2"/>
          <w:sz w:val="28"/>
          <w:szCs w:val="32"/>
          <w:highlight w:val="none"/>
          <w:lang w:val="en-US" w:eastAsia="zh-CN" w:bidi="ar-SA"/>
        </w:rPr>
        <w:t>二、2021年重点工作完成情况</w:t>
      </w:r>
      <w:r>
        <w:rPr>
          <w:rFonts w:hint="eastAsia" w:ascii="仿宋" w:hAnsi="仿宋" w:eastAsia="仿宋" w:cs="Times New Roman"/>
          <w:color w:val="auto"/>
          <w:kern w:val="2"/>
          <w:sz w:val="28"/>
          <w:szCs w:val="32"/>
          <w:highlight w:val="none"/>
          <w:lang w:val="en-US" w:eastAsia="zh-CN" w:bidi="ar-SA"/>
        </w:rPr>
        <w:tab/>
      </w:r>
      <w:r>
        <w:rPr>
          <w:rFonts w:hint="eastAsia" w:ascii="仿宋" w:hAnsi="仿宋" w:eastAsia="仿宋" w:cs="Times New Roman"/>
          <w:color w:val="auto"/>
          <w:kern w:val="2"/>
          <w:sz w:val="28"/>
          <w:szCs w:val="32"/>
          <w:highlight w:val="none"/>
          <w:lang w:val="en-US" w:eastAsia="zh-CN" w:bidi="ar-SA"/>
        </w:rPr>
        <w:t>6</w:t>
      </w:r>
    </w:p>
    <w:p w14:paraId="3086E603">
      <w:pPr>
        <w:pStyle w:val="11"/>
        <w:keepNext w:val="0"/>
        <w:keepLines w:val="0"/>
        <w:pageBreakBefore w:val="0"/>
        <w:widowControl w:val="0"/>
        <w:kinsoku/>
        <w:wordWrap/>
        <w:overflowPunct/>
        <w:topLinePunct w:val="0"/>
        <w:autoSpaceDE/>
        <w:autoSpaceDN/>
        <w:bidi w:val="0"/>
        <w:adjustRightInd w:val="0"/>
        <w:snapToGrid w:val="0"/>
        <w:spacing w:before="0" w:line="600" w:lineRule="exact"/>
        <w:ind w:right="0" w:rightChars="0" w:firstLine="0" w:firstLineChars="0"/>
        <w:jc w:val="left"/>
        <w:textAlignment w:val="auto"/>
        <w:outlineLvl w:val="9"/>
        <w:rPr>
          <w:rFonts w:hint="eastAsia" w:ascii="仿宋" w:hAnsi="仿宋" w:eastAsia="仿宋" w:cs="Times New Roman"/>
          <w:color w:val="auto"/>
          <w:kern w:val="2"/>
          <w:sz w:val="28"/>
          <w:szCs w:val="32"/>
          <w:highlight w:val="none"/>
          <w:lang w:val="en-US" w:eastAsia="zh-CN" w:bidi="ar-SA"/>
        </w:rPr>
      </w:pPr>
      <w:r>
        <w:rPr>
          <w:rFonts w:hint="eastAsia" w:ascii="仿宋" w:hAnsi="仿宋" w:eastAsia="仿宋" w:cs="Times New Roman"/>
          <w:color w:val="auto"/>
          <w:kern w:val="2"/>
          <w:sz w:val="28"/>
          <w:szCs w:val="32"/>
          <w:highlight w:val="none"/>
          <w:lang w:val="en-US" w:eastAsia="zh-CN" w:bidi="ar-SA"/>
        </w:rPr>
        <w:t>第二部分 2021年度单位决算情况说明</w:t>
      </w:r>
      <w:r>
        <w:rPr>
          <w:rFonts w:hint="eastAsia" w:ascii="仿宋" w:hAnsi="仿宋" w:eastAsia="仿宋" w:cs="Times New Roman"/>
          <w:color w:val="auto"/>
          <w:kern w:val="2"/>
          <w:sz w:val="28"/>
          <w:szCs w:val="32"/>
          <w:highlight w:val="none"/>
          <w:lang w:val="en-US" w:eastAsia="zh-CN" w:bidi="ar-SA"/>
        </w:rPr>
        <w:tab/>
      </w:r>
      <w:r>
        <w:rPr>
          <w:rFonts w:hint="eastAsia" w:ascii="仿宋" w:hAnsi="仿宋" w:eastAsia="仿宋" w:cs="Times New Roman"/>
          <w:color w:val="auto"/>
          <w:kern w:val="2"/>
          <w:sz w:val="28"/>
          <w:szCs w:val="32"/>
          <w:highlight w:val="none"/>
          <w:lang w:val="en-US" w:eastAsia="zh-CN" w:bidi="ar-SA"/>
        </w:rPr>
        <w:t>8</w:t>
      </w:r>
    </w:p>
    <w:p w14:paraId="769DB8AE">
      <w:pPr>
        <w:pStyle w:val="12"/>
        <w:keepNext w:val="0"/>
        <w:keepLines w:val="0"/>
        <w:pageBreakBefore w:val="0"/>
        <w:widowControl w:val="0"/>
        <w:kinsoku/>
        <w:wordWrap/>
        <w:overflowPunct/>
        <w:topLinePunct w:val="0"/>
        <w:autoSpaceDE/>
        <w:autoSpaceDN/>
        <w:bidi w:val="0"/>
        <w:adjustRightInd w:val="0"/>
        <w:snapToGrid w:val="0"/>
        <w:spacing w:line="600" w:lineRule="exact"/>
        <w:ind w:right="0" w:rightChars="0" w:firstLine="0" w:firstLineChars="0"/>
        <w:jc w:val="left"/>
        <w:textAlignment w:val="auto"/>
        <w:outlineLvl w:val="9"/>
        <w:rPr>
          <w:rFonts w:hint="eastAsia" w:ascii="仿宋" w:hAnsi="仿宋" w:eastAsia="仿宋" w:cs="Times New Roman"/>
          <w:color w:val="auto"/>
          <w:kern w:val="2"/>
          <w:sz w:val="28"/>
          <w:szCs w:val="32"/>
          <w:highlight w:val="none"/>
          <w:lang w:val="en-US" w:eastAsia="zh-CN" w:bidi="ar-SA"/>
        </w:rPr>
      </w:pPr>
      <w:r>
        <w:rPr>
          <w:rFonts w:hint="eastAsia" w:ascii="仿宋" w:hAnsi="仿宋" w:eastAsia="仿宋" w:cs="Times New Roman"/>
          <w:color w:val="auto"/>
          <w:kern w:val="2"/>
          <w:sz w:val="28"/>
          <w:szCs w:val="32"/>
          <w:highlight w:val="none"/>
          <w:lang w:val="en-US" w:eastAsia="zh-CN" w:bidi="ar-SA"/>
        </w:rPr>
        <w:t>一、收入支出决算总体情况说明</w:t>
      </w:r>
      <w:r>
        <w:rPr>
          <w:rFonts w:hint="eastAsia" w:ascii="仿宋" w:hAnsi="仿宋" w:eastAsia="仿宋" w:cs="Times New Roman"/>
          <w:color w:val="auto"/>
          <w:kern w:val="2"/>
          <w:sz w:val="28"/>
          <w:szCs w:val="32"/>
          <w:highlight w:val="none"/>
          <w:lang w:val="en-US" w:eastAsia="zh-CN" w:bidi="ar-SA"/>
        </w:rPr>
        <w:tab/>
      </w:r>
      <w:r>
        <w:rPr>
          <w:rFonts w:hint="eastAsia" w:ascii="仿宋" w:hAnsi="仿宋" w:eastAsia="仿宋" w:cs="Times New Roman"/>
          <w:color w:val="auto"/>
          <w:kern w:val="2"/>
          <w:sz w:val="28"/>
          <w:szCs w:val="32"/>
          <w:highlight w:val="none"/>
          <w:lang w:val="en-US" w:eastAsia="zh-CN" w:bidi="ar-SA"/>
        </w:rPr>
        <w:t>8</w:t>
      </w:r>
    </w:p>
    <w:p w14:paraId="47349DFA">
      <w:pPr>
        <w:pStyle w:val="12"/>
        <w:keepNext w:val="0"/>
        <w:keepLines w:val="0"/>
        <w:pageBreakBefore w:val="0"/>
        <w:widowControl w:val="0"/>
        <w:kinsoku/>
        <w:wordWrap/>
        <w:overflowPunct/>
        <w:topLinePunct w:val="0"/>
        <w:autoSpaceDE/>
        <w:autoSpaceDN/>
        <w:bidi w:val="0"/>
        <w:adjustRightInd w:val="0"/>
        <w:snapToGrid w:val="0"/>
        <w:spacing w:line="600" w:lineRule="exact"/>
        <w:ind w:right="0" w:rightChars="0" w:firstLine="0" w:firstLineChars="0"/>
        <w:jc w:val="left"/>
        <w:textAlignment w:val="auto"/>
        <w:outlineLvl w:val="9"/>
        <w:rPr>
          <w:rFonts w:hint="eastAsia" w:ascii="仿宋" w:hAnsi="仿宋" w:eastAsia="仿宋" w:cs="Times New Roman"/>
          <w:color w:val="auto"/>
          <w:kern w:val="2"/>
          <w:sz w:val="28"/>
          <w:szCs w:val="32"/>
          <w:highlight w:val="none"/>
          <w:lang w:val="en-US" w:eastAsia="zh-CN" w:bidi="ar-SA"/>
        </w:rPr>
      </w:pPr>
      <w:r>
        <w:rPr>
          <w:rFonts w:hint="eastAsia" w:ascii="仿宋" w:hAnsi="仿宋" w:eastAsia="仿宋" w:cs="Times New Roman"/>
          <w:color w:val="auto"/>
          <w:kern w:val="2"/>
          <w:sz w:val="28"/>
          <w:szCs w:val="32"/>
          <w:highlight w:val="none"/>
          <w:lang w:val="en-US" w:eastAsia="zh-CN" w:bidi="ar-SA"/>
        </w:rPr>
        <w:t>二、收入决算情况说明</w:t>
      </w:r>
      <w:r>
        <w:rPr>
          <w:rFonts w:hint="eastAsia" w:ascii="仿宋" w:hAnsi="仿宋" w:eastAsia="仿宋" w:cs="Times New Roman"/>
          <w:color w:val="auto"/>
          <w:kern w:val="2"/>
          <w:sz w:val="28"/>
          <w:szCs w:val="32"/>
          <w:highlight w:val="none"/>
          <w:lang w:val="en-US" w:eastAsia="zh-CN" w:bidi="ar-SA"/>
        </w:rPr>
        <w:tab/>
      </w:r>
      <w:r>
        <w:rPr>
          <w:rFonts w:hint="eastAsia" w:ascii="仿宋" w:hAnsi="仿宋" w:eastAsia="仿宋" w:cs="Times New Roman"/>
          <w:color w:val="auto"/>
          <w:kern w:val="2"/>
          <w:sz w:val="28"/>
          <w:szCs w:val="32"/>
          <w:highlight w:val="none"/>
          <w:lang w:val="en-US" w:eastAsia="zh-CN" w:bidi="ar-SA"/>
        </w:rPr>
        <w:t>8</w:t>
      </w:r>
    </w:p>
    <w:p w14:paraId="31AB87E0">
      <w:pPr>
        <w:pStyle w:val="12"/>
        <w:keepNext w:val="0"/>
        <w:keepLines w:val="0"/>
        <w:pageBreakBefore w:val="0"/>
        <w:widowControl w:val="0"/>
        <w:kinsoku/>
        <w:wordWrap/>
        <w:overflowPunct/>
        <w:topLinePunct w:val="0"/>
        <w:autoSpaceDE/>
        <w:autoSpaceDN/>
        <w:bidi w:val="0"/>
        <w:adjustRightInd w:val="0"/>
        <w:snapToGrid w:val="0"/>
        <w:spacing w:line="600" w:lineRule="exact"/>
        <w:ind w:right="0" w:rightChars="0" w:firstLine="0" w:firstLineChars="0"/>
        <w:jc w:val="left"/>
        <w:textAlignment w:val="auto"/>
        <w:outlineLvl w:val="9"/>
        <w:rPr>
          <w:rFonts w:hint="eastAsia" w:ascii="仿宋" w:hAnsi="仿宋" w:eastAsia="仿宋" w:cs="Times New Roman"/>
          <w:color w:val="auto"/>
          <w:kern w:val="2"/>
          <w:sz w:val="28"/>
          <w:szCs w:val="32"/>
          <w:highlight w:val="none"/>
          <w:lang w:val="en-US" w:eastAsia="zh-CN" w:bidi="ar-SA"/>
        </w:rPr>
      </w:pPr>
      <w:r>
        <w:rPr>
          <w:rFonts w:hint="eastAsia" w:ascii="仿宋" w:hAnsi="仿宋" w:eastAsia="仿宋" w:cs="Times New Roman"/>
          <w:color w:val="auto"/>
          <w:kern w:val="2"/>
          <w:sz w:val="28"/>
          <w:szCs w:val="32"/>
          <w:highlight w:val="none"/>
          <w:lang w:val="en-US" w:eastAsia="zh-CN" w:bidi="ar-SA"/>
        </w:rPr>
        <w:t>三、支出决算情况说明</w:t>
      </w:r>
      <w:r>
        <w:rPr>
          <w:rFonts w:hint="eastAsia" w:ascii="仿宋" w:hAnsi="仿宋" w:eastAsia="仿宋" w:cs="Times New Roman"/>
          <w:color w:val="auto"/>
          <w:kern w:val="2"/>
          <w:sz w:val="28"/>
          <w:szCs w:val="32"/>
          <w:highlight w:val="none"/>
          <w:lang w:val="en-US" w:eastAsia="zh-CN" w:bidi="ar-SA"/>
        </w:rPr>
        <w:tab/>
      </w:r>
      <w:r>
        <w:rPr>
          <w:rFonts w:hint="eastAsia" w:ascii="仿宋" w:hAnsi="仿宋" w:eastAsia="仿宋" w:cs="Times New Roman"/>
          <w:color w:val="auto"/>
          <w:kern w:val="2"/>
          <w:sz w:val="28"/>
          <w:szCs w:val="32"/>
          <w:highlight w:val="none"/>
          <w:lang w:val="en-US" w:eastAsia="zh-CN" w:bidi="ar-SA"/>
        </w:rPr>
        <w:t>9</w:t>
      </w:r>
    </w:p>
    <w:p w14:paraId="6F7394AC">
      <w:pPr>
        <w:pStyle w:val="12"/>
        <w:keepNext w:val="0"/>
        <w:keepLines w:val="0"/>
        <w:pageBreakBefore w:val="0"/>
        <w:widowControl w:val="0"/>
        <w:kinsoku/>
        <w:wordWrap/>
        <w:overflowPunct/>
        <w:topLinePunct w:val="0"/>
        <w:autoSpaceDE/>
        <w:autoSpaceDN/>
        <w:bidi w:val="0"/>
        <w:adjustRightInd w:val="0"/>
        <w:snapToGrid w:val="0"/>
        <w:spacing w:line="600" w:lineRule="exact"/>
        <w:ind w:right="0" w:rightChars="0" w:firstLine="0" w:firstLineChars="0"/>
        <w:jc w:val="left"/>
        <w:textAlignment w:val="auto"/>
        <w:outlineLvl w:val="9"/>
        <w:rPr>
          <w:rFonts w:hint="eastAsia" w:ascii="仿宋" w:hAnsi="仿宋" w:eastAsia="仿宋" w:cs="Times New Roman"/>
          <w:color w:val="auto"/>
          <w:kern w:val="2"/>
          <w:sz w:val="28"/>
          <w:szCs w:val="32"/>
          <w:highlight w:val="none"/>
          <w:lang w:val="en-US" w:eastAsia="zh-CN" w:bidi="ar-SA"/>
        </w:rPr>
      </w:pPr>
      <w:r>
        <w:rPr>
          <w:rFonts w:hint="eastAsia" w:ascii="仿宋" w:hAnsi="仿宋" w:eastAsia="仿宋" w:cs="Times New Roman"/>
          <w:color w:val="auto"/>
          <w:kern w:val="2"/>
          <w:sz w:val="28"/>
          <w:szCs w:val="32"/>
          <w:highlight w:val="none"/>
          <w:lang w:val="en-US" w:eastAsia="zh-CN" w:bidi="ar-SA"/>
        </w:rPr>
        <w:t>四、财政拨款收入支出决算总体情况说明</w:t>
      </w:r>
      <w:r>
        <w:rPr>
          <w:rFonts w:hint="eastAsia" w:ascii="仿宋" w:hAnsi="仿宋" w:eastAsia="仿宋" w:cs="Times New Roman"/>
          <w:color w:val="auto"/>
          <w:kern w:val="2"/>
          <w:sz w:val="28"/>
          <w:szCs w:val="32"/>
          <w:highlight w:val="none"/>
          <w:lang w:val="en-US" w:eastAsia="zh-CN" w:bidi="ar-SA"/>
        </w:rPr>
        <w:tab/>
      </w:r>
      <w:r>
        <w:rPr>
          <w:rFonts w:hint="eastAsia" w:ascii="仿宋" w:hAnsi="仿宋" w:eastAsia="仿宋" w:cs="Times New Roman"/>
          <w:color w:val="auto"/>
          <w:kern w:val="2"/>
          <w:sz w:val="28"/>
          <w:szCs w:val="32"/>
          <w:highlight w:val="none"/>
          <w:lang w:val="en-US" w:eastAsia="zh-CN" w:bidi="ar-SA"/>
        </w:rPr>
        <w:t>10</w:t>
      </w:r>
    </w:p>
    <w:p w14:paraId="250D4929">
      <w:pPr>
        <w:pStyle w:val="12"/>
        <w:keepNext w:val="0"/>
        <w:keepLines w:val="0"/>
        <w:pageBreakBefore w:val="0"/>
        <w:widowControl w:val="0"/>
        <w:kinsoku/>
        <w:wordWrap/>
        <w:overflowPunct/>
        <w:topLinePunct w:val="0"/>
        <w:autoSpaceDE/>
        <w:autoSpaceDN/>
        <w:bidi w:val="0"/>
        <w:adjustRightInd w:val="0"/>
        <w:snapToGrid w:val="0"/>
        <w:spacing w:line="600" w:lineRule="exact"/>
        <w:ind w:right="0" w:rightChars="0" w:firstLine="0" w:firstLineChars="0"/>
        <w:jc w:val="left"/>
        <w:textAlignment w:val="auto"/>
        <w:outlineLvl w:val="9"/>
        <w:rPr>
          <w:rFonts w:hint="eastAsia" w:ascii="仿宋" w:hAnsi="仿宋" w:eastAsia="仿宋" w:cs="Times New Roman"/>
          <w:color w:val="auto"/>
          <w:kern w:val="2"/>
          <w:sz w:val="28"/>
          <w:szCs w:val="32"/>
          <w:highlight w:val="none"/>
          <w:lang w:val="en-US" w:eastAsia="zh-CN" w:bidi="ar-SA"/>
        </w:rPr>
      </w:pPr>
      <w:r>
        <w:rPr>
          <w:rFonts w:hint="eastAsia" w:ascii="仿宋" w:hAnsi="仿宋" w:eastAsia="仿宋" w:cs="Times New Roman"/>
          <w:color w:val="auto"/>
          <w:kern w:val="2"/>
          <w:sz w:val="28"/>
          <w:szCs w:val="32"/>
          <w:highlight w:val="none"/>
          <w:lang w:val="en-US" w:eastAsia="zh-CN" w:bidi="ar-SA"/>
        </w:rPr>
        <w:t>五、一般公共预算财政拨款支出决算情况说明</w:t>
      </w:r>
      <w:r>
        <w:rPr>
          <w:rFonts w:hint="eastAsia" w:ascii="仿宋" w:hAnsi="仿宋" w:eastAsia="仿宋" w:cs="Times New Roman"/>
          <w:color w:val="auto"/>
          <w:kern w:val="2"/>
          <w:sz w:val="28"/>
          <w:szCs w:val="32"/>
          <w:highlight w:val="none"/>
          <w:lang w:val="en-US" w:eastAsia="zh-CN" w:bidi="ar-SA"/>
        </w:rPr>
        <w:tab/>
      </w:r>
      <w:r>
        <w:rPr>
          <w:rFonts w:hint="eastAsia" w:ascii="仿宋" w:hAnsi="仿宋" w:eastAsia="仿宋" w:cs="Times New Roman"/>
          <w:color w:val="auto"/>
          <w:kern w:val="2"/>
          <w:sz w:val="28"/>
          <w:szCs w:val="32"/>
          <w:highlight w:val="none"/>
          <w:lang w:val="en-US" w:eastAsia="zh-CN" w:bidi="ar-SA"/>
        </w:rPr>
        <w:t>11</w:t>
      </w:r>
    </w:p>
    <w:p w14:paraId="3BEAA158">
      <w:pPr>
        <w:pStyle w:val="12"/>
        <w:keepNext w:val="0"/>
        <w:keepLines w:val="0"/>
        <w:pageBreakBefore w:val="0"/>
        <w:widowControl w:val="0"/>
        <w:kinsoku/>
        <w:wordWrap/>
        <w:overflowPunct/>
        <w:topLinePunct w:val="0"/>
        <w:autoSpaceDE/>
        <w:autoSpaceDN/>
        <w:bidi w:val="0"/>
        <w:adjustRightInd w:val="0"/>
        <w:snapToGrid w:val="0"/>
        <w:spacing w:line="600" w:lineRule="exact"/>
        <w:ind w:right="0" w:rightChars="0" w:firstLine="0" w:firstLineChars="0"/>
        <w:jc w:val="left"/>
        <w:textAlignment w:val="auto"/>
        <w:outlineLvl w:val="9"/>
        <w:rPr>
          <w:rFonts w:hint="eastAsia" w:ascii="仿宋" w:hAnsi="仿宋" w:eastAsia="仿宋" w:cs="Times New Roman"/>
          <w:color w:val="auto"/>
          <w:kern w:val="2"/>
          <w:sz w:val="28"/>
          <w:szCs w:val="32"/>
          <w:highlight w:val="none"/>
          <w:lang w:val="en-US" w:eastAsia="zh-CN" w:bidi="ar-SA"/>
        </w:rPr>
      </w:pPr>
      <w:r>
        <w:rPr>
          <w:rFonts w:hint="eastAsia" w:ascii="仿宋" w:hAnsi="仿宋" w:eastAsia="仿宋" w:cs="Times New Roman"/>
          <w:color w:val="auto"/>
          <w:kern w:val="2"/>
          <w:sz w:val="28"/>
          <w:szCs w:val="32"/>
          <w:highlight w:val="none"/>
          <w:lang w:val="en-US" w:eastAsia="zh-CN" w:bidi="ar-SA"/>
        </w:rPr>
        <w:t>六、一般公共预算财政拨款基本支出决算情况说明</w:t>
      </w:r>
      <w:r>
        <w:rPr>
          <w:rFonts w:hint="eastAsia" w:ascii="仿宋" w:hAnsi="仿宋" w:eastAsia="仿宋" w:cs="Times New Roman"/>
          <w:color w:val="auto"/>
          <w:kern w:val="2"/>
          <w:sz w:val="28"/>
          <w:szCs w:val="32"/>
          <w:highlight w:val="none"/>
          <w:lang w:val="en-US" w:eastAsia="zh-CN" w:bidi="ar-SA"/>
        </w:rPr>
        <w:tab/>
      </w:r>
      <w:r>
        <w:rPr>
          <w:rFonts w:hint="eastAsia" w:ascii="仿宋" w:hAnsi="仿宋" w:eastAsia="仿宋" w:cs="Times New Roman"/>
          <w:color w:val="auto"/>
          <w:kern w:val="2"/>
          <w:sz w:val="28"/>
          <w:szCs w:val="32"/>
          <w:highlight w:val="none"/>
          <w:lang w:val="en-US" w:eastAsia="zh-CN" w:bidi="ar-SA"/>
        </w:rPr>
        <w:t>14</w:t>
      </w:r>
    </w:p>
    <w:p w14:paraId="1F7CFBD7">
      <w:pPr>
        <w:pStyle w:val="12"/>
        <w:keepNext w:val="0"/>
        <w:keepLines w:val="0"/>
        <w:pageBreakBefore w:val="0"/>
        <w:widowControl w:val="0"/>
        <w:kinsoku/>
        <w:wordWrap/>
        <w:overflowPunct/>
        <w:topLinePunct w:val="0"/>
        <w:autoSpaceDE/>
        <w:autoSpaceDN/>
        <w:bidi w:val="0"/>
        <w:adjustRightInd w:val="0"/>
        <w:snapToGrid w:val="0"/>
        <w:spacing w:line="600" w:lineRule="exact"/>
        <w:ind w:right="0" w:rightChars="0" w:firstLine="0" w:firstLineChars="0"/>
        <w:jc w:val="left"/>
        <w:textAlignment w:val="auto"/>
        <w:outlineLvl w:val="9"/>
        <w:rPr>
          <w:rFonts w:hint="eastAsia" w:ascii="仿宋" w:hAnsi="仿宋" w:eastAsia="仿宋" w:cs="Times New Roman"/>
          <w:color w:val="auto"/>
          <w:kern w:val="2"/>
          <w:sz w:val="28"/>
          <w:szCs w:val="32"/>
          <w:highlight w:val="none"/>
          <w:lang w:val="en-US" w:eastAsia="zh-CN" w:bidi="ar-SA"/>
        </w:rPr>
      </w:pPr>
      <w:r>
        <w:rPr>
          <w:rFonts w:hint="eastAsia" w:ascii="仿宋" w:hAnsi="仿宋" w:eastAsia="仿宋" w:cs="Times New Roman"/>
          <w:color w:val="auto"/>
          <w:kern w:val="2"/>
          <w:sz w:val="28"/>
          <w:szCs w:val="32"/>
          <w:highlight w:val="none"/>
          <w:lang w:val="en-US" w:eastAsia="zh-CN" w:bidi="ar-SA"/>
        </w:rPr>
        <w:t>七、“三公”经费财政拨款支出决算情况说明</w:t>
      </w:r>
      <w:r>
        <w:rPr>
          <w:rFonts w:hint="eastAsia" w:ascii="仿宋" w:hAnsi="仿宋" w:eastAsia="仿宋" w:cs="Times New Roman"/>
          <w:color w:val="auto"/>
          <w:kern w:val="2"/>
          <w:sz w:val="28"/>
          <w:szCs w:val="32"/>
          <w:highlight w:val="none"/>
          <w:lang w:val="en-US" w:eastAsia="zh-CN" w:bidi="ar-SA"/>
        </w:rPr>
        <w:tab/>
      </w:r>
      <w:r>
        <w:rPr>
          <w:rFonts w:hint="eastAsia" w:ascii="仿宋" w:hAnsi="仿宋" w:eastAsia="仿宋" w:cs="Times New Roman"/>
          <w:color w:val="auto"/>
          <w:kern w:val="2"/>
          <w:sz w:val="28"/>
          <w:szCs w:val="32"/>
          <w:highlight w:val="none"/>
          <w:lang w:val="en-US" w:eastAsia="zh-CN" w:bidi="ar-SA"/>
        </w:rPr>
        <w:t>15</w:t>
      </w:r>
    </w:p>
    <w:p w14:paraId="6F4BA418">
      <w:pPr>
        <w:pStyle w:val="12"/>
        <w:keepNext w:val="0"/>
        <w:keepLines w:val="0"/>
        <w:pageBreakBefore w:val="0"/>
        <w:widowControl w:val="0"/>
        <w:kinsoku/>
        <w:wordWrap/>
        <w:overflowPunct/>
        <w:topLinePunct w:val="0"/>
        <w:autoSpaceDE/>
        <w:autoSpaceDN/>
        <w:bidi w:val="0"/>
        <w:adjustRightInd w:val="0"/>
        <w:snapToGrid w:val="0"/>
        <w:spacing w:line="600" w:lineRule="exact"/>
        <w:ind w:right="0" w:rightChars="0" w:firstLine="0" w:firstLineChars="0"/>
        <w:jc w:val="left"/>
        <w:textAlignment w:val="auto"/>
        <w:outlineLvl w:val="9"/>
        <w:rPr>
          <w:rFonts w:hint="eastAsia" w:ascii="仿宋" w:hAnsi="仿宋" w:eastAsia="仿宋" w:cs="Times New Roman"/>
          <w:color w:val="auto"/>
          <w:kern w:val="2"/>
          <w:sz w:val="28"/>
          <w:szCs w:val="32"/>
          <w:highlight w:val="none"/>
          <w:lang w:val="en-US" w:eastAsia="zh-CN" w:bidi="ar-SA"/>
        </w:rPr>
      </w:pPr>
      <w:r>
        <w:rPr>
          <w:rFonts w:hint="eastAsia" w:ascii="仿宋" w:hAnsi="仿宋" w:eastAsia="仿宋" w:cs="Times New Roman"/>
          <w:color w:val="auto"/>
          <w:kern w:val="2"/>
          <w:sz w:val="28"/>
          <w:szCs w:val="32"/>
          <w:highlight w:val="none"/>
          <w:lang w:val="en-US" w:eastAsia="zh-CN" w:bidi="ar-SA"/>
        </w:rPr>
        <w:t>八、政府性基金预算支出决算情况说明</w:t>
      </w:r>
      <w:r>
        <w:rPr>
          <w:rFonts w:hint="eastAsia" w:ascii="仿宋" w:hAnsi="仿宋" w:eastAsia="仿宋" w:cs="Times New Roman"/>
          <w:color w:val="auto"/>
          <w:kern w:val="2"/>
          <w:sz w:val="28"/>
          <w:szCs w:val="32"/>
          <w:highlight w:val="none"/>
          <w:lang w:val="en-US" w:eastAsia="zh-CN" w:bidi="ar-SA"/>
        </w:rPr>
        <w:tab/>
      </w:r>
      <w:r>
        <w:rPr>
          <w:rFonts w:hint="eastAsia" w:ascii="仿宋" w:hAnsi="仿宋" w:eastAsia="仿宋" w:cs="Times New Roman"/>
          <w:color w:val="auto"/>
          <w:kern w:val="2"/>
          <w:sz w:val="28"/>
          <w:szCs w:val="32"/>
          <w:highlight w:val="none"/>
          <w:lang w:val="en-US" w:eastAsia="zh-CN" w:bidi="ar-SA"/>
        </w:rPr>
        <w:t>17</w:t>
      </w:r>
    </w:p>
    <w:p w14:paraId="731DAE6D">
      <w:pPr>
        <w:pStyle w:val="12"/>
        <w:keepNext w:val="0"/>
        <w:keepLines w:val="0"/>
        <w:pageBreakBefore w:val="0"/>
        <w:widowControl w:val="0"/>
        <w:kinsoku/>
        <w:wordWrap/>
        <w:overflowPunct/>
        <w:topLinePunct w:val="0"/>
        <w:autoSpaceDE/>
        <w:autoSpaceDN/>
        <w:bidi w:val="0"/>
        <w:adjustRightInd w:val="0"/>
        <w:snapToGrid w:val="0"/>
        <w:spacing w:line="600" w:lineRule="exact"/>
        <w:ind w:right="0" w:rightChars="0" w:firstLine="0" w:firstLineChars="0"/>
        <w:jc w:val="left"/>
        <w:textAlignment w:val="auto"/>
        <w:outlineLvl w:val="9"/>
        <w:rPr>
          <w:rFonts w:hint="eastAsia" w:ascii="仿宋" w:hAnsi="仿宋" w:eastAsia="仿宋" w:cs="Times New Roman"/>
          <w:color w:val="auto"/>
          <w:kern w:val="2"/>
          <w:sz w:val="28"/>
          <w:szCs w:val="32"/>
          <w:highlight w:val="none"/>
          <w:lang w:val="en-US" w:eastAsia="zh-CN" w:bidi="ar-SA"/>
        </w:rPr>
      </w:pPr>
      <w:r>
        <w:rPr>
          <w:rFonts w:hint="eastAsia" w:ascii="仿宋" w:hAnsi="仿宋" w:eastAsia="仿宋" w:cs="Times New Roman"/>
          <w:color w:val="auto"/>
          <w:kern w:val="2"/>
          <w:sz w:val="28"/>
          <w:szCs w:val="32"/>
          <w:highlight w:val="none"/>
          <w:lang w:val="en-US" w:eastAsia="zh-CN" w:bidi="ar-SA"/>
        </w:rPr>
        <w:t>九、国有资本经营预算支出决算情况说明</w:t>
      </w:r>
      <w:r>
        <w:rPr>
          <w:rFonts w:hint="eastAsia" w:ascii="仿宋" w:hAnsi="仿宋" w:eastAsia="仿宋" w:cs="Times New Roman"/>
          <w:color w:val="auto"/>
          <w:kern w:val="2"/>
          <w:sz w:val="28"/>
          <w:szCs w:val="32"/>
          <w:highlight w:val="none"/>
          <w:lang w:val="en-US" w:eastAsia="zh-CN" w:bidi="ar-SA"/>
        </w:rPr>
        <w:tab/>
      </w:r>
      <w:r>
        <w:rPr>
          <w:rFonts w:hint="eastAsia" w:ascii="仿宋" w:hAnsi="仿宋" w:eastAsia="仿宋" w:cs="Times New Roman"/>
          <w:color w:val="auto"/>
          <w:kern w:val="2"/>
          <w:sz w:val="28"/>
          <w:szCs w:val="32"/>
          <w:highlight w:val="none"/>
          <w:lang w:val="en-US" w:eastAsia="zh-CN" w:bidi="ar-SA"/>
        </w:rPr>
        <w:t>17</w:t>
      </w:r>
    </w:p>
    <w:p w14:paraId="38F28162">
      <w:pPr>
        <w:pStyle w:val="12"/>
        <w:keepNext w:val="0"/>
        <w:keepLines w:val="0"/>
        <w:pageBreakBefore w:val="0"/>
        <w:widowControl w:val="0"/>
        <w:kinsoku/>
        <w:wordWrap/>
        <w:overflowPunct/>
        <w:topLinePunct w:val="0"/>
        <w:autoSpaceDE/>
        <w:autoSpaceDN/>
        <w:bidi w:val="0"/>
        <w:adjustRightInd w:val="0"/>
        <w:snapToGrid w:val="0"/>
        <w:spacing w:line="600" w:lineRule="exact"/>
        <w:ind w:right="0" w:rightChars="0" w:firstLine="0" w:firstLineChars="0"/>
        <w:jc w:val="left"/>
        <w:textAlignment w:val="auto"/>
        <w:outlineLvl w:val="9"/>
        <w:rPr>
          <w:rFonts w:hint="eastAsia" w:ascii="仿宋" w:hAnsi="仿宋" w:eastAsia="仿宋" w:cs="Times New Roman"/>
          <w:color w:val="auto"/>
          <w:kern w:val="2"/>
          <w:sz w:val="28"/>
          <w:szCs w:val="32"/>
          <w:highlight w:val="none"/>
          <w:lang w:val="en-US" w:eastAsia="zh-CN" w:bidi="ar-SA"/>
        </w:rPr>
      </w:pPr>
      <w:r>
        <w:rPr>
          <w:rFonts w:hint="eastAsia" w:ascii="仿宋" w:hAnsi="仿宋" w:eastAsia="仿宋" w:cs="Times New Roman"/>
          <w:color w:val="auto"/>
          <w:kern w:val="2"/>
          <w:sz w:val="28"/>
          <w:szCs w:val="32"/>
          <w:highlight w:val="none"/>
          <w:lang w:val="en-US" w:eastAsia="zh-CN" w:bidi="ar-SA"/>
        </w:rPr>
        <w:t>十、其他重要事项的情况说明</w:t>
      </w:r>
      <w:r>
        <w:rPr>
          <w:rFonts w:hint="eastAsia" w:ascii="仿宋" w:hAnsi="仿宋" w:eastAsia="仿宋" w:cs="Times New Roman"/>
          <w:color w:val="auto"/>
          <w:kern w:val="2"/>
          <w:sz w:val="28"/>
          <w:szCs w:val="32"/>
          <w:highlight w:val="none"/>
          <w:lang w:val="en-US" w:eastAsia="zh-CN" w:bidi="ar-SA"/>
        </w:rPr>
        <w:tab/>
      </w:r>
      <w:r>
        <w:rPr>
          <w:rFonts w:hint="eastAsia" w:ascii="仿宋" w:hAnsi="仿宋" w:eastAsia="仿宋" w:cs="Times New Roman"/>
          <w:color w:val="auto"/>
          <w:kern w:val="2"/>
          <w:sz w:val="28"/>
          <w:szCs w:val="32"/>
          <w:highlight w:val="none"/>
          <w:lang w:val="en-US" w:eastAsia="zh-CN" w:bidi="ar-SA"/>
        </w:rPr>
        <w:t>17</w:t>
      </w:r>
    </w:p>
    <w:p w14:paraId="17861D41">
      <w:pPr>
        <w:pStyle w:val="11"/>
        <w:keepNext w:val="0"/>
        <w:keepLines w:val="0"/>
        <w:pageBreakBefore w:val="0"/>
        <w:widowControl w:val="0"/>
        <w:kinsoku/>
        <w:wordWrap/>
        <w:overflowPunct/>
        <w:topLinePunct w:val="0"/>
        <w:autoSpaceDE/>
        <w:autoSpaceDN/>
        <w:bidi w:val="0"/>
        <w:adjustRightInd w:val="0"/>
        <w:snapToGrid w:val="0"/>
        <w:spacing w:before="0" w:line="600" w:lineRule="exact"/>
        <w:ind w:right="0" w:rightChars="0" w:firstLine="0" w:firstLineChars="0"/>
        <w:jc w:val="left"/>
        <w:textAlignment w:val="auto"/>
        <w:outlineLvl w:val="9"/>
        <w:rPr>
          <w:rFonts w:hint="eastAsia" w:ascii="仿宋" w:hAnsi="仿宋" w:eastAsia="仿宋" w:cs="Times New Roman"/>
          <w:color w:val="auto"/>
          <w:kern w:val="2"/>
          <w:sz w:val="28"/>
          <w:szCs w:val="32"/>
          <w:highlight w:val="none"/>
          <w:lang w:val="en-US" w:eastAsia="zh-CN" w:bidi="ar-SA"/>
        </w:rPr>
      </w:pPr>
      <w:r>
        <w:rPr>
          <w:rFonts w:hint="eastAsia" w:ascii="仿宋" w:hAnsi="仿宋" w:eastAsia="仿宋" w:cs="Times New Roman"/>
          <w:color w:val="auto"/>
          <w:kern w:val="2"/>
          <w:sz w:val="28"/>
          <w:szCs w:val="32"/>
          <w:highlight w:val="none"/>
          <w:lang w:val="en-US" w:eastAsia="zh-CN" w:bidi="ar-SA"/>
        </w:rPr>
        <w:t>第三部分 名词解释</w:t>
      </w:r>
      <w:r>
        <w:rPr>
          <w:rFonts w:hint="eastAsia" w:ascii="仿宋" w:hAnsi="仿宋" w:eastAsia="仿宋" w:cs="Times New Roman"/>
          <w:color w:val="auto"/>
          <w:kern w:val="2"/>
          <w:sz w:val="28"/>
          <w:szCs w:val="32"/>
          <w:highlight w:val="none"/>
          <w:lang w:val="en-US" w:eastAsia="zh-CN" w:bidi="ar-SA"/>
        </w:rPr>
        <w:tab/>
      </w:r>
      <w:r>
        <w:rPr>
          <w:rFonts w:hint="eastAsia" w:ascii="仿宋" w:hAnsi="仿宋" w:eastAsia="仿宋" w:cs="Times New Roman"/>
          <w:color w:val="auto"/>
          <w:kern w:val="2"/>
          <w:sz w:val="28"/>
          <w:szCs w:val="32"/>
          <w:highlight w:val="none"/>
          <w:lang w:val="en-US" w:eastAsia="zh-CN" w:bidi="ar-SA"/>
        </w:rPr>
        <w:t>20</w:t>
      </w:r>
    </w:p>
    <w:p w14:paraId="4E82A5FF">
      <w:pPr>
        <w:pStyle w:val="11"/>
        <w:keepNext w:val="0"/>
        <w:keepLines w:val="0"/>
        <w:pageBreakBefore w:val="0"/>
        <w:widowControl w:val="0"/>
        <w:kinsoku/>
        <w:wordWrap/>
        <w:overflowPunct/>
        <w:topLinePunct w:val="0"/>
        <w:autoSpaceDE/>
        <w:autoSpaceDN/>
        <w:bidi w:val="0"/>
        <w:adjustRightInd w:val="0"/>
        <w:snapToGrid w:val="0"/>
        <w:spacing w:before="0" w:line="600" w:lineRule="exact"/>
        <w:ind w:right="0" w:rightChars="0" w:firstLine="0" w:firstLineChars="0"/>
        <w:jc w:val="left"/>
        <w:textAlignment w:val="auto"/>
        <w:outlineLvl w:val="9"/>
        <w:rPr>
          <w:rFonts w:hint="eastAsia" w:ascii="仿宋" w:hAnsi="仿宋" w:eastAsia="仿宋" w:cs="Times New Roman"/>
          <w:color w:val="auto"/>
          <w:kern w:val="2"/>
          <w:sz w:val="28"/>
          <w:szCs w:val="32"/>
          <w:highlight w:val="none"/>
          <w:lang w:val="en-US" w:eastAsia="zh-CN" w:bidi="ar-SA"/>
        </w:rPr>
      </w:pPr>
      <w:r>
        <w:rPr>
          <w:rFonts w:hint="eastAsia" w:ascii="仿宋" w:hAnsi="仿宋" w:eastAsia="仿宋" w:cs="Times New Roman"/>
          <w:color w:val="auto"/>
          <w:kern w:val="2"/>
          <w:sz w:val="28"/>
          <w:szCs w:val="32"/>
          <w:highlight w:val="none"/>
          <w:lang w:val="en-US" w:eastAsia="zh-CN" w:bidi="ar-SA"/>
        </w:rPr>
        <w:t>第四部分 附件</w:t>
      </w:r>
      <w:r>
        <w:rPr>
          <w:rFonts w:hint="eastAsia" w:ascii="仿宋" w:hAnsi="仿宋" w:eastAsia="仿宋" w:cs="Times New Roman"/>
          <w:color w:val="auto"/>
          <w:kern w:val="2"/>
          <w:sz w:val="28"/>
          <w:szCs w:val="32"/>
          <w:highlight w:val="none"/>
          <w:lang w:val="en-US" w:eastAsia="zh-CN" w:bidi="ar-SA"/>
        </w:rPr>
        <w:tab/>
      </w:r>
      <w:r>
        <w:rPr>
          <w:rFonts w:hint="eastAsia" w:ascii="仿宋" w:hAnsi="仿宋" w:eastAsia="仿宋" w:cs="Times New Roman"/>
          <w:color w:val="auto"/>
          <w:kern w:val="2"/>
          <w:sz w:val="28"/>
          <w:szCs w:val="32"/>
          <w:highlight w:val="none"/>
          <w:lang w:val="en-US" w:eastAsia="zh-CN" w:bidi="ar-SA"/>
        </w:rPr>
        <w:t>23</w:t>
      </w:r>
    </w:p>
    <w:p w14:paraId="362ABB2D">
      <w:pPr>
        <w:pStyle w:val="11"/>
        <w:keepNext w:val="0"/>
        <w:keepLines w:val="0"/>
        <w:pageBreakBefore w:val="0"/>
        <w:widowControl w:val="0"/>
        <w:kinsoku/>
        <w:wordWrap/>
        <w:overflowPunct/>
        <w:topLinePunct w:val="0"/>
        <w:autoSpaceDE/>
        <w:autoSpaceDN/>
        <w:bidi w:val="0"/>
        <w:adjustRightInd w:val="0"/>
        <w:snapToGrid w:val="0"/>
        <w:spacing w:before="0" w:line="600" w:lineRule="exact"/>
        <w:ind w:right="0" w:rightChars="0" w:firstLine="0" w:firstLineChars="0"/>
        <w:jc w:val="left"/>
        <w:textAlignment w:val="auto"/>
        <w:outlineLvl w:val="9"/>
        <w:rPr>
          <w:rFonts w:hint="eastAsia"/>
          <w:lang w:val="en-US" w:eastAsia="zh-CN"/>
        </w:rPr>
      </w:pPr>
      <w:r>
        <w:rPr>
          <w:rFonts w:hint="eastAsia" w:ascii="仿宋" w:hAnsi="仿宋" w:eastAsia="仿宋" w:cs="Times New Roman"/>
          <w:color w:val="auto"/>
          <w:kern w:val="2"/>
          <w:sz w:val="28"/>
          <w:szCs w:val="32"/>
          <w:highlight w:val="none"/>
          <w:lang w:val="en-US" w:eastAsia="zh-CN" w:bidi="ar-SA"/>
        </w:rPr>
        <w:t xml:space="preserve">    附件1</w:t>
      </w:r>
      <w:r>
        <w:rPr>
          <w:rFonts w:hint="eastAsia" w:ascii="仿宋" w:hAnsi="仿宋" w:eastAsia="仿宋" w:cs="Times New Roman"/>
          <w:color w:val="auto"/>
          <w:kern w:val="2"/>
          <w:sz w:val="28"/>
          <w:szCs w:val="32"/>
          <w:highlight w:val="none"/>
          <w:lang w:val="en-US" w:eastAsia="zh-CN" w:bidi="ar-SA"/>
        </w:rPr>
        <w:tab/>
      </w:r>
      <w:r>
        <w:rPr>
          <w:rFonts w:hint="eastAsia" w:ascii="仿宋" w:hAnsi="仿宋" w:eastAsia="仿宋" w:cs="Times New Roman"/>
          <w:color w:val="auto"/>
          <w:kern w:val="2"/>
          <w:sz w:val="28"/>
          <w:szCs w:val="32"/>
          <w:highlight w:val="none"/>
          <w:lang w:val="en-US" w:eastAsia="zh-CN" w:bidi="ar-SA"/>
        </w:rPr>
        <w:t>23</w:t>
      </w:r>
    </w:p>
    <w:p w14:paraId="663D2F07">
      <w:pPr>
        <w:pStyle w:val="11"/>
        <w:keepNext w:val="0"/>
        <w:keepLines w:val="0"/>
        <w:pageBreakBefore w:val="0"/>
        <w:widowControl w:val="0"/>
        <w:kinsoku/>
        <w:wordWrap/>
        <w:overflowPunct/>
        <w:topLinePunct w:val="0"/>
        <w:autoSpaceDE/>
        <w:autoSpaceDN/>
        <w:bidi w:val="0"/>
        <w:adjustRightInd w:val="0"/>
        <w:snapToGrid w:val="0"/>
        <w:spacing w:before="0" w:line="600" w:lineRule="exact"/>
        <w:ind w:right="0" w:rightChars="0" w:firstLine="0" w:firstLineChars="0"/>
        <w:jc w:val="left"/>
        <w:textAlignment w:val="auto"/>
        <w:outlineLvl w:val="9"/>
        <w:rPr>
          <w:rFonts w:hint="eastAsia" w:ascii="仿宋" w:hAnsi="仿宋" w:eastAsia="仿宋" w:cs="Times New Roman"/>
          <w:color w:val="auto"/>
          <w:kern w:val="2"/>
          <w:sz w:val="28"/>
          <w:szCs w:val="32"/>
          <w:highlight w:val="none"/>
          <w:lang w:val="en-US" w:eastAsia="zh-CN" w:bidi="ar-SA"/>
        </w:rPr>
      </w:pPr>
      <w:r>
        <w:rPr>
          <w:rFonts w:hint="eastAsia" w:ascii="仿宋" w:hAnsi="仿宋" w:eastAsia="仿宋" w:cs="Times New Roman"/>
          <w:color w:val="auto"/>
          <w:kern w:val="2"/>
          <w:sz w:val="28"/>
          <w:szCs w:val="32"/>
          <w:highlight w:val="none"/>
          <w:lang w:val="en-US" w:eastAsia="zh-CN" w:bidi="ar-SA"/>
        </w:rPr>
        <w:t>第五部分 附表</w:t>
      </w:r>
      <w:r>
        <w:rPr>
          <w:rFonts w:hint="eastAsia" w:ascii="仿宋" w:hAnsi="仿宋" w:eastAsia="仿宋" w:cs="Times New Roman"/>
          <w:color w:val="auto"/>
          <w:kern w:val="2"/>
          <w:sz w:val="28"/>
          <w:szCs w:val="32"/>
          <w:highlight w:val="none"/>
          <w:lang w:val="en-US" w:eastAsia="zh-CN" w:bidi="ar-SA"/>
        </w:rPr>
        <w:tab/>
      </w:r>
      <w:r>
        <w:rPr>
          <w:rFonts w:hint="eastAsia" w:ascii="仿宋" w:hAnsi="仿宋" w:eastAsia="仿宋" w:cs="Times New Roman"/>
          <w:color w:val="auto"/>
          <w:kern w:val="2"/>
          <w:sz w:val="28"/>
          <w:szCs w:val="32"/>
          <w:highlight w:val="none"/>
          <w:lang w:val="en-US" w:eastAsia="zh-CN" w:bidi="ar-SA"/>
        </w:rPr>
        <w:t>3</w:t>
      </w:r>
      <w:r>
        <w:rPr>
          <w:rFonts w:hint="eastAsia" w:cs="Times New Roman"/>
          <w:color w:val="auto"/>
          <w:kern w:val="2"/>
          <w:sz w:val="28"/>
          <w:szCs w:val="32"/>
          <w:highlight w:val="none"/>
          <w:lang w:val="en-US" w:eastAsia="zh-CN" w:bidi="ar-SA"/>
        </w:rPr>
        <w:t>1</w:t>
      </w:r>
    </w:p>
    <w:p w14:paraId="4A433140">
      <w:pPr>
        <w:pStyle w:val="12"/>
        <w:keepNext w:val="0"/>
        <w:keepLines w:val="0"/>
        <w:pageBreakBefore w:val="0"/>
        <w:widowControl w:val="0"/>
        <w:kinsoku/>
        <w:wordWrap/>
        <w:overflowPunct/>
        <w:topLinePunct w:val="0"/>
        <w:autoSpaceDE/>
        <w:autoSpaceDN/>
        <w:bidi w:val="0"/>
        <w:adjustRightInd w:val="0"/>
        <w:snapToGrid w:val="0"/>
        <w:spacing w:line="600" w:lineRule="exact"/>
        <w:ind w:right="0" w:rightChars="0" w:firstLine="0" w:firstLineChars="0"/>
        <w:jc w:val="left"/>
        <w:textAlignment w:val="auto"/>
        <w:outlineLvl w:val="9"/>
        <w:rPr>
          <w:rFonts w:hint="eastAsia" w:ascii="仿宋" w:hAnsi="仿宋" w:eastAsia="仿宋" w:cs="Times New Roman"/>
          <w:color w:val="auto"/>
          <w:kern w:val="2"/>
          <w:sz w:val="28"/>
          <w:szCs w:val="32"/>
          <w:highlight w:val="none"/>
          <w:lang w:val="en-US" w:eastAsia="zh-CN" w:bidi="ar-SA"/>
        </w:rPr>
      </w:pPr>
      <w:r>
        <w:rPr>
          <w:rFonts w:hint="eastAsia" w:ascii="仿宋" w:hAnsi="仿宋" w:eastAsia="仿宋" w:cs="Times New Roman"/>
          <w:color w:val="auto"/>
          <w:kern w:val="2"/>
          <w:sz w:val="28"/>
          <w:szCs w:val="32"/>
          <w:highlight w:val="none"/>
          <w:lang w:val="en-US" w:eastAsia="zh-CN" w:bidi="ar-SA"/>
        </w:rPr>
        <w:t>一、收入支出决算总表</w:t>
      </w:r>
      <w:r>
        <w:rPr>
          <w:rFonts w:hint="eastAsia" w:ascii="仿宋" w:hAnsi="仿宋" w:eastAsia="仿宋" w:cs="Times New Roman"/>
          <w:color w:val="auto"/>
          <w:kern w:val="2"/>
          <w:sz w:val="28"/>
          <w:szCs w:val="32"/>
          <w:highlight w:val="none"/>
          <w:lang w:val="en-US" w:eastAsia="zh-CN" w:bidi="ar-SA"/>
        </w:rPr>
        <w:tab/>
      </w:r>
      <w:r>
        <w:rPr>
          <w:rFonts w:hint="eastAsia" w:ascii="仿宋" w:hAnsi="仿宋" w:eastAsia="仿宋" w:cs="Times New Roman"/>
          <w:color w:val="auto"/>
          <w:kern w:val="2"/>
          <w:sz w:val="28"/>
          <w:szCs w:val="32"/>
          <w:highlight w:val="none"/>
          <w:lang w:val="en-US" w:eastAsia="zh-CN" w:bidi="ar-SA"/>
        </w:rPr>
        <w:t>31</w:t>
      </w:r>
    </w:p>
    <w:p w14:paraId="5D4065CE">
      <w:pPr>
        <w:pStyle w:val="12"/>
        <w:keepNext w:val="0"/>
        <w:keepLines w:val="0"/>
        <w:pageBreakBefore w:val="0"/>
        <w:widowControl w:val="0"/>
        <w:kinsoku/>
        <w:wordWrap/>
        <w:overflowPunct/>
        <w:topLinePunct w:val="0"/>
        <w:autoSpaceDE/>
        <w:autoSpaceDN/>
        <w:bidi w:val="0"/>
        <w:adjustRightInd w:val="0"/>
        <w:snapToGrid w:val="0"/>
        <w:spacing w:line="600" w:lineRule="exact"/>
        <w:ind w:right="0" w:rightChars="0" w:firstLine="0" w:firstLineChars="0"/>
        <w:jc w:val="left"/>
        <w:textAlignment w:val="auto"/>
        <w:outlineLvl w:val="9"/>
        <w:rPr>
          <w:rFonts w:hint="eastAsia" w:ascii="仿宋" w:hAnsi="仿宋" w:eastAsia="仿宋" w:cs="Times New Roman"/>
          <w:color w:val="auto"/>
          <w:kern w:val="2"/>
          <w:sz w:val="28"/>
          <w:szCs w:val="32"/>
          <w:highlight w:val="none"/>
          <w:lang w:val="en-US" w:eastAsia="zh-CN" w:bidi="ar-SA"/>
        </w:rPr>
      </w:pPr>
      <w:r>
        <w:rPr>
          <w:rFonts w:hint="eastAsia" w:ascii="仿宋" w:hAnsi="仿宋" w:eastAsia="仿宋" w:cs="Times New Roman"/>
          <w:color w:val="auto"/>
          <w:kern w:val="2"/>
          <w:sz w:val="28"/>
          <w:szCs w:val="32"/>
          <w:highlight w:val="none"/>
          <w:lang w:val="en-US" w:eastAsia="zh-CN" w:bidi="ar-SA"/>
        </w:rPr>
        <w:t>二、收入决算表</w:t>
      </w:r>
      <w:r>
        <w:rPr>
          <w:rFonts w:hint="eastAsia" w:ascii="仿宋" w:hAnsi="仿宋" w:eastAsia="仿宋" w:cs="Times New Roman"/>
          <w:color w:val="auto"/>
          <w:kern w:val="2"/>
          <w:sz w:val="28"/>
          <w:szCs w:val="32"/>
          <w:highlight w:val="none"/>
          <w:lang w:val="en-US" w:eastAsia="zh-CN" w:bidi="ar-SA"/>
        </w:rPr>
        <w:tab/>
      </w:r>
      <w:r>
        <w:rPr>
          <w:rFonts w:hint="eastAsia" w:ascii="仿宋" w:hAnsi="仿宋" w:eastAsia="仿宋" w:cs="Times New Roman"/>
          <w:color w:val="auto"/>
          <w:kern w:val="2"/>
          <w:sz w:val="28"/>
          <w:szCs w:val="32"/>
          <w:highlight w:val="none"/>
          <w:lang w:val="en-US" w:eastAsia="zh-CN" w:bidi="ar-SA"/>
        </w:rPr>
        <w:t>31</w:t>
      </w:r>
    </w:p>
    <w:p w14:paraId="17EFDDEB">
      <w:pPr>
        <w:pStyle w:val="12"/>
        <w:keepNext w:val="0"/>
        <w:keepLines w:val="0"/>
        <w:pageBreakBefore w:val="0"/>
        <w:widowControl w:val="0"/>
        <w:kinsoku/>
        <w:wordWrap/>
        <w:overflowPunct/>
        <w:topLinePunct w:val="0"/>
        <w:autoSpaceDE/>
        <w:autoSpaceDN/>
        <w:bidi w:val="0"/>
        <w:adjustRightInd w:val="0"/>
        <w:snapToGrid w:val="0"/>
        <w:spacing w:line="600" w:lineRule="exact"/>
        <w:ind w:right="0" w:rightChars="0" w:firstLine="0" w:firstLineChars="0"/>
        <w:jc w:val="left"/>
        <w:textAlignment w:val="auto"/>
        <w:outlineLvl w:val="9"/>
        <w:rPr>
          <w:rFonts w:hint="eastAsia" w:ascii="仿宋" w:hAnsi="仿宋" w:eastAsia="仿宋" w:cs="Times New Roman"/>
          <w:color w:val="auto"/>
          <w:kern w:val="2"/>
          <w:sz w:val="28"/>
          <w:szCs w:val="32"/>
          <w:highlight w:val="none"/>
          <w:lang w:val="en-US" w:eastAsia="zh-CN" w:bidi="ar-SA"/>
        </w:rPr>
      </w:pPr>
      <w:r>
        <w:rPr>
          <w:rFonts w:hint="eastAsia" w:ascii="仿宋" w:hAnsi="仿宋" w:eastAsia="仿宋" w:cs="Times New Roman"/>
          <w:color w:val="auto"/>
          <w:kern w:val="2"/>
          <w:sz w:val="28"/>
          <w:szCs w:val="32"/>
          <w:highlight w:val="none"/>
          <w:lang w:val="en-US" w:eastAsia="zh-CN" w:bidi="ar-SA"/>
        </w:rPr>
        <w:t>三、支出决算表</w:t>
      </w:r>
      <w:r>
        <w:rPr>
          <w:rFonts w:hint="eastAsia" w:ascii="仿宋" w:hAnsi="仿宋" w:eastAsia="仿宋" w:cs="Times New Roman"/>
          <w:color w:val="auto"/>
          <w:kern w:val="2"/>
          <w:sz w:val="28"/>
          <w:szCs w:val="32"/>
          <w:highlight w:val="none"/>
          <w:lang w:val="en-US" w:eastAsia="zh-CN" w:bidi="ar-SA"/>
        </w:rPr>
        <w:tab/>
      </w:r>
      <w:r>
        <w:rPr>
          <w:rFonts w:hint="eastAsia" w:ascii="仿宋" w:hAnsi="仿宋" w:eastAsia="仿宋" w:cs="Times New Roman"/>
          <w:color w:val="auto"/>
          <w:kern w:val="2"/>
          <w:sz w:val="28"/>
          <w:szCs w:val="32"/>
          <w:highlight w:val="none"/>
          <w:lang w:val="en-US" w:eastAsia="zh-CN" w:bidi="ar-SA"/>
        </w:rPr>
        <w:t>31</w:t>
      </w:r>
    </w:p>
    <w:p w14:paraId="1C8925C6">
      <w:pPr>
        <w:pStyle w:val="12"/>
        <w:keepNext w:val="0"/>
        <w:keepLines w:val="0"/>
        <w:pageBreakBefore w:val="0"/>
        <w:widowControl w:val="0"/>
        <w:kinsoku/>
        <w:wordWrap/>
        <w:overflowPunct/>
        <w:topLinePunct w:val="0"/>
        <w:autoSpaceDE/>
        <w:autoSpaceDN/>
        <w:bidi w:val="0"/>
        <w:adjustRightInd w:val="0"/>
        <w:snapToGrid w:val="0"/>
        <w:spacing w:line="600" w:lineRule="exact"/>
        <w:ind w:right="0" w:rightChars="0" w:firstLine="0" w:firstLineChars="0"/>
        <w:jc w:val="left"/>
        <w:textAlignment w:val="auto"/>
        <w:outlineLvl w:val="9"/>
        <w:rPr>
          <w:rFonts w:hint="eastAsia" w:ascii="仿宋" w:hAnsi="仿宋" w:eastAsia="仿宋" w:cs="Times New Roman"/>
          <w:color w:val="auto"/>
          <w:kern w:val="2"/>
          <w:sz w:val="28"/>
          <w:szCs w:val="32"/>
          <w:highlight w:val="none"/>
          <w:lang w:val="en-US" w:eastAsia="zh-CN" w:bidi="ar-SA"/>
        </w:rPr>
      </w:pPr>
      <w:r>
        <w:rPr>
          <w:rFonts w:hint="eastAsia" w:ascii="仿宋" w:hAnsi="仿宋" w:eastAsia="仿宋" w:cs="Times New Roman"/>
          <w:color w:val="auto"/>
          <w:kern w:val="2"/>
          <w:sz w:val="28"/>
          <w:szCs w:val="32"/>
          <w:highlight w:val="none"/>
          <w:lang w:val="en-US" w:eastAsia="zh-CN" w:bidi="ar-SA"/>
        </w:rPr>
        <w:t>四、财政拨款收入支出决算总表</w:t>
      </w:r>
      <w:r>
        <w:rPr>
          <w:rFonts w:hint="eastAsia" w:ascii="仿宋" w:hAnsi="仿宋" w:eastAsia="仿宋" w:cs="Times New Roman"/>
          <w:color w:val="auto"/>
          <w:kern w:val="2"/>
          <w:sz w:val="28"/>
          <w:szCs w:val="32"/>
          <w:highlight w:val="none"/>
          <w:lang w:val="en-US" w:eastAsia="zh-CN" w:bidi="ar-SA"/>
        </w:rPr>
        <w:tab/>
      </w:r>
      <w:r>
        <w:rPr>
          <w:rFonts w:hint="eastAsia" w:ascii="仿宋" w:hAnsi="仿宋" w:eastAsia="仿宋" w:cs="Times New Roman"/>
          <w:color w:val="auto"/>
          <w:kern w:val="2"/>
          <w:sz w:val="28"/>
          <w:szCs w:val="32"/>
          <w:highlight w:val="none"/>
          <w:lang w:val="en-US" w:eastAsia="zh-CN" w:bidi="ar-SA"/>
        </w:rPr>
        <w:t>31</w:t>
      </w:r>
    </w:p>
    <w:p w14:paraId="497893D0">
      <w:pPr>
        <w:pStyle w:val="12"/>
        <w:keepNext w:val="0"/>
        <w:keepLines w:val="0"/>
        <w:pageBreakBefore w:val="0"/>
        <w:widowControl w:val="0"/>
        <w:kinsoku/>
        <w:wordWrap/>
        <w:overflowPunct/>
        <w:topLinePunct w:val="0"/>
        <w:autoSpaceDE/>
        <w:autoSpaceDN/>
        <w:bidi w:val="0"/>
        <w:adjustRightInd w:val="0"/>
        <w:snapToGrid w:val="0"/>
        <w:spacing w:line="600" w:lineRule="exact"/>
        <w:ind w:right="0" w:rightChars="0" w:firstLine="0" w:firstLineChars="0"/>
        <w:jc w:val="left"/>
        <w:textAlignment w:val="auto"/>
        <w:outlineLvl w:val="9"/>
        <w:rPr>
          <w:rFonts w:hint="eastAsia" w:ascii="仿宋" w:hAnsi="仿宋" w:eastAsia="仿宋" w:cs="Times New Roman"/>
          <w:color w:val="auto"/>
          <w:kern w:val="2"/>
          <w:sz w:val="28"/>
          <w:szCs w:val="32"/>
          <w:highlight w:val="none"/>
          <w:lang w:val="en-US" w:eastAsia="zh-CN" w:bidi="ar-SA"/>
        </w:rPr>
      </w:pPr>
      <w:r>
        <w:rPr>
          <w:rFonts w:hint="eastAsia" w:ascii="仿宋" w:hAnsi="仿宋" w:eastAsia="仿宋" w:cs="Times New Roman"/>
          <w:color w:val="auto"/>
          <w:kern w:val="2"/>
          <w:sz w:val="28"/>
          <w:szCs w:val="32"/>
          <w:highlight w:val="none"/>
          <w:lang w:val="en-US" w:eastAsia="zh-CN" w:bidi="ar-SA"/>
        </w:rPr>
        <w:t>五、财政拨款支出决算明细表</w:t>
      </w:r>
      <w:r>
        <w:rPr>
          <w:rFonts w:hint="eastAsia" w:ascii="仿宋" w:hAnsi="仿宋" w:eastAsia="仿宋" w:cs="Times New Roman"/>
          <w:color w:val="auto"/>
          <w:kern w:val="2"/>
          <w:sz w:val="28"/>
          <w:szCs w:val="32"/>
          <w:highlight w:val="none"/>
          <w:lang w:val="en-US" w:eastAsia="zh-CN" w:bidi="ar-SA"/>
        </w:rPr>
        <w:tab/>
      </w:r>
      <w:r>
        <w:rPr>
          <w:rFonts w:hint="eastAsia" w:ascii="仿宋" w:hAnsi="仿宋" w:eastAsia="仿宋" w:cs="Times New Roman"/>
          <w:color w:val="auto"/>
          <w:kern w:val="2"/>
          <w:sz w:val="28"/>
          <w:szCs w:val="32"/>
          <w:highlight w:val="none"/>
          <w:lang w:val="en-US" w:eastAsia="zh-CN" w:bidi="ar-SA"/>
        </w:rPr>
        <w:t>31</w:t>
      </w:r>
    </w:p>
    <w:p w14:paraId="546EE131">
      <w:pPr>
        <w:pStyle w:val="12"/>
        <w:keepNext w:val="0"/>
        <w:keepLines w:val="0"/>
        <w:pageBreakBefore w:val="0"/>
        <w:widowControl w:val="0"/>
        <w:kinsoku/>
        <w:wordWrap/>
        <w:overflowPunct/>
        <w:topLinePunct w:val="0"/>
        <w:autoSpaceDE/>
        <w:autoSpaceDN/>
        <w:bidi w:val="0"/>
        <w:adjustRightInd w:val="0"/>
        <w:snapToGrid w:val="0"/>
        <w:spacing w:line="600" w:lineRule="exact"/>
        <w:ind w:right="0" w:rightChars="0" w:firstLine="0" w:firstLineChars="0"/>
        <w:jc w:val="left"/>
        <w:textAlignment w:val="auto"/>
        <w:outlineLvl w:val="9"/>
        <w:rPr>
          <w:rFonts w:hint="eastAsia" w:ascii="仿宋" w:hAnsi="仿宋" w:eastAsia="仿宋" w:cs="Times New Roman"/>
          <w:color w:val="auto"/>
          <w:kern w:val="2"/>
          <w:sz w:val="28"/>
          <w:szCs w:val="32"/>
          <w:highlight w:val="none"/>
          <w:lang w:val="en-US" w:eastAsia="zh-CN" w:bidi="ar-SA"/>
        </w:rPr>
      </w:pPr>
      <w:r>
        <w:rPr>
          <w:rFonts w:hint="eastAsia" w:ascii="仿宋" w:hAnsi="仿宋" w:eastAsia="仿宋" w:cs="Times New Roman"/>
          <w:color w:val="auto"/>
          <w:kern w:val="2"/>
          <w:sz w:val="28"/>
          <w:szCs w:val="32"/>
          <w:highlight w:val="none"/>
          <w:lang w:val="en-US" w:eastAsia="zh-CN" w:bidi="ar-SA"/>
        </w:rPr>
        <w:t>六、一般公共预算财政拨款支出决算表</w:t>
      </w:r>
      <w:r>
        <w:rPr>
          <w:rFonts w:hint="eastAsia" w:ascii="仿宋" w:hAnsi="仿宋" w:eastAsia="仿宋" w:cs="Times New Roman"/>
          <w:color w:val="auto"/>
          <w:kern w:val="2"/>
          <w:sz w:val="28"/>
          <w:szCs w:val="32"/>
          <w:highlight w:val="none"/>
          <w:lang w:val="en-US" w:eastAsia="zh-CN" w:bidi="ar-SA"/>
        </w:rPr>
        <w:tab/>
      </w:r>
      <w:r>
        <w:rPr>
          <w:rFonts w:hint="eastAsia" w:ascii="仿宋" w:hAnsi="仿宋" w:eastAsia="仿宋" w:cs="Times New Roman"/>
          <w:color w:val="auto"/>
          <w:kern w:val="2"/>
          <w:sz w:val="28"/>
          <w:szCs w:val="32"/>
          <w:highlight w:val="none"/>
          <w:lang w:val="en-US" w:eastAsia="zh-CN" w:bidi="ar-SA"/>
        </w:rPr>
        <w:t>31</w:t>
      </w:r>
    </w:p>
    <w:p w14:paraId="66ED2922">
      <w:pPr>
        <w:pStyle w:val="12"/>
        <w:keepNext w:val="0"/>
        <w:keepLines w:val="0"/>
        <w:pageBreakBefore w:val="0"/>
        <w:widowControl w:val="0"/>
        <w:kinsoku/>
        <w:wordWrap/>
        <w:overflowPunct/>
        <w:topLinePunct w:val="0"/>
        <w:autoSpaceDE/>
        <w:autoSpaceDN/>
        <w:bidi w:val="0"/>
        <w:adjustRightInd w:val="0"/>
        <w:snapToGrid w:val="0"/>
        <w:spacing w:line="600" w:lineRule="exact"/>
        <w:ind w:right="0" w:rightChars="0" w:firstLine="0" w:firstLineChars="0"/>
        <w:jc w:val="left"/>
        <w:textAlignment w:val="auto"/>
        <w:outlineLvl w:val="9"/>
        <w:rPr>
          <w:rFonts w:hint="eastAsia" w:ascii="仿宋" w:hAnsi="仿宋" w:eastAsia="仿宋" w:cs="Times New Roman"/>
          <w:color w:val="auto"/>
          <w:kern w:val="2"/>
          <w:sz w:val="28"/>
          <w:szCs w:val="32"/>
          <w:highlight w:val="none"/>
          <w:lang w:val="en-US" w:eastAsia="zh-CN" w:bidi="ar-SA"/>
        </w:rPr>
      </w:pPr>
      <w:r>
        <w:rPr>
          <w:rFonts w:hint="eastAsia" w:ascii="仿宋" w:hAnsi="仿宋" w:eastAsia="仿宋" w:cs="Times New Roman"/>
          <w:color w:val="auto"/>
          <w:kern w:val="2"/>
          <w:sz w:val="28"/>
          <w:szCs w:val="32"/>
          <w:highlight w:val="none"/>
          <w:lang w:val="en-US" w:eastAsia="zh-CN" w:bidi="ar-SA"/>
        </w:rPr>
        <w:t>七、一般公共预算财政拨款支出决算明细表</w:t>
      </w:r>
      <w:r>
        <w:rPr>
          <w:rFonts w:hint="eastAsia" w:ascii="仿宋" w:hAnsi="仿宋" w:eastAsia="仿宋" w:cs="Times New Roman"/>
          <w:color w:val="auto"/>
          <w:kern w:val="2"/>
          <w:sz w:val="28"/>
          <w:szCs w:val="32"/>
          <w:highlight w:val="none"/>
          <w:lang w:val="en-US" w:eastAsia="zh-CN" w:bidi="ar-SA"/>
        </w:rPr>
        <w:tab/>
      </w:r>
      <w:r>
        <w:rPr>
          <w:rFonts w:hint="eastAsia" w:ascii="仿宋" w:hAnsi="仿宋" w:eastAsia="仿宋" w:cs="Times New Roman"/>
          <w:color w:val="auto"/>
          <w:kern w:val="2"/>
          <w:sz w:val="28"/>
          <w:szCs w:val="32"/>
          <w:highlight w:val="none"/>
          <w:lang w:val="en-US" w:eastAsia="zh-CN" w:bidi="ar-SA"/>
        </w:rPr>
        <w:t>31</w:t>
      </w:r>
    </w:p>
    <w:p w14:paraId="3E3F8BA5">
      <w:pPr>
        <w:pStyle w:val="12"/>
        <w:keepNext w:val="0"/>
        <w:keepLines w:val="0"/>
        <w:pageBreakBefore w:val="0"/>
        <w:widowControl w:val="0"/>
        <w:kinsoku/>
        <w:wordWrap/>
        <w:overflowPunct/>
        <w:topLinePunct w:val="0"/>
        <w:autoSpaceDE/>
        <w:autoSpaceDN/>
        <w:bidi w:val="0"/>
        <w:adjustRightInd w:val="0"/>
        <w:snapToGrid w:val="0"/>
        <w:spacing w:line="600" w:lineRule="exact"/>
        <w:ind w:right="0" w:rightChars="0" w:firstLine="0" w:firstLineChars="0"/>
        <w:jc w:val="left"/>
        <w:textAlignment w:val="auto"/>
        <w:outlineLvl w:val="9"/>
        <w:rPr>
          <w:rFonts w:hint="eastAsia" w:ascii="仿宋" w:hAnsi="仿宋" w:eastAsia="仿宋" w:cs="Times New Roman"/>
          <w:color w:val="auto"/>
          <w:kern w:val="2"/>
          <w:sz w:val="28"/>
          <w:szCs w:val="32"/>
          <w:highlight w:val="none"/>
          <w:lang w:val="en-US" w:eastAsia="zh-CN" w:bidi="ar-SA"/>
        </w:rPr>
      </w:pPr>
      <w:r>
        <w:rPr>
          <w:rFonts w:hint="eastAsia" w:ascii="仿宋" w:hAnsi="仿宋" w:eastAsia="仿宋" w:cs="Times New Roman"/>
          <w:color w:val="auto"/>
          <w:kern w:val="2"/>
          <w:sz w:val="28"/>
          <w:szCs w:val="32"/>
          <w:highlight w:val="none"/>
          <w:lang w:val="en-US" w:eastAsia="zh-CN" w:bidi="ar-SA"/>
        </w:rPr>
        <w:t>八、一般公共预算财政拨款基本支出决算表</w:t>
      </w:r>
      <w:r>
        <w:rPr>
          <w:rFonts w:hint="eastAsia" w:ascii="仿宋" w:hAnsi="仿宋" w:eastAsia="仿宋" w:cs="Times New Roman"/>
          <w:color w:val="auto"/>
          <w:kern w:val="2"/>
          <w:sz w:val="28"/>
          <w:szCs w:val="32"/>
          <w:highlight w:val="none"/>
          <w:lang w:val="en-US" w:eastAsia="zh-CN" w:bidi="ar-SA"/>
        </w:rPr>
        <w:tab/>
      </w:r>
      <w:r>
        <w:rPr>
          <w:rFonts w:hint="eastAsia" w:ascii="仿宋" w:hAnsi="仿宋" w:eastAsia="仿宋" w:cs="Times New Roman"/>
          <w:color w:val="auto"/>
          <w:kern w:val="2"/>
          <w:sz w:val="28"/>
          <w:szCs w:val="32"/>
          <w:highlight w:val="none"/>
          <w:lang w:val="en-US" w:eastAsia="zh-CN" w:bidi="ar-SA"/>
        </w:rPr>
        <w:t>31</w:t>
      </w:r>
    </w:p>
    <w:p w14:paraId="69894BEA">
      <w:pPr>
        <w:pStyle w:val="12"/>
        <w:keepNext w:val="0"/>
        <w:keepLines w:val="0"/>
        <w:pageBreakBefore w:val="0"/>
        <w:widowControl w:val="0"/>
        <w:kinsoku/>
        <w:wordWrap/>
        <w:overflowPunct/>
        <w:topLinePunct w:val="0"/>
        <w:autoSpaceDE/>
        <w:autoSpaceDN/>
        <w:bidi w:val="0"/>
        <w:adjustRightInd w:val="0"/>
        <w:snapToGrid w:val="0"/>
        <w:spacing w:line="600" w:lineRule="exact"/>
        <w:ind w:right="0" w:rightChars="0" w:firstLine="0" w:firstLineChars="0"/>
        <w:jc w:val="left"/>
        <w:textAlignment w:val="auto"/>
        <w:outlineLvl w:val="9"/>
        <w:rPr>
          <w:rFonts w:hint="eastAsia" w:ascii="仿宋" w:hAnsi="仿宋" w:eastAsia="仿宋" w:cs="Times New Roman"/>
          <w:color w:val="auto"/>
          <w:kern w:val="2"/>
          <w:sz w:val="28"/>
          <w:szCs w:val="32"/>
          <w:highlight w:val="none"/>
          <w:lang w:val="en-US" w:eastAsia="zh-CN" w:bidi="ar-SA"/>
        </w:rPr>
      </w:pPr>
      <w:r>
        <w:rPr>
          <w:rFonts w:hint="eastAsia" w:ascii="仿宋" w:hAnsi="仿宋" w:eastAsia="仿宋" w:cs="Times New Roman"/>
          <w:color w:val="auto"/>
          <w:kern w:val="2"/>
          <w:sz w:val="28"/>
          <w:szCs w:val="32"/>
          <w:highlight w:val="none"/>
          <w:lang w:val="en-US" w:eastAsia="zh-CN" w:bidi="ar-SA"/>
        </w:rPr>
        <w:t>九、一般公共预算财政拨款项目支出决算表</w:t>
      </w:r>
      <w:r>
        <w:rPr>
          <w:rFonts w:hint="eastAsia" w:ascii="仿宋" w:hAnsi="仿宋" w:eastAsia="仿宋" w:cs="Times New Roman"/>
          <w:color w:val="auto"/>
          <w:kern w:val="2"/>
          <w:sz w:val="28"/>
          <w:szCs w:val="32"/>
          <w:highlight w:val="none"/>
          <w:lang w:val="en-US" w:eastAsia="zh-CN" w:bidi="ar-SA"/>
        </w:rPr>
        <w:tab/>
      </w:r>
      <w:r>
        <w:rPr>
          <w:rFonts w:hint="eastAsia" w:ascii="仿宋" w:hAnsi="仿宋" w:eastAsia="仿宋" w:cs="Times New Roman"/>
          <w:color w:val="auto"/>
          <w:kern w:val="2"/>
          <w:sz w:val="28"/>
          <w:szCs w:val="32"/>
          <w:highlight w:val="none"/>
          <w:lang w:val="en-US" w:eastAsia="zh-CN" w:bidi="ar-SA"/>
        </w:rPr>
        <w:t>31</w:t>
      </w:r>
    </w:p>
    <w:p w14:paraId="1A51B6A8">
      <w:pPr>
        <w:pStyle w:val="12"/>
        <w:keepNext w:val="0"/>
        <w:keepLines w:val="0"/>
        <w:pageBreakBefore w:val="0"/>
        <w:widowControl w:val="0"/>
        <w:kinsoku/>
        <w:wordWrap/>
        <w:overflowPunct/>
        <w:topLinePunct w:val="0"/>
        <w:autoSpaceDE/>
        <w:autoSpaceDN/>
        <w:bidi w:val="0"/>
        <w:adjustRightInd w:val="0"/>
        <w:snapToGrid w:val="0"/>
        <w:spacing w:line="600" w:lineRule="exact"/>
        <w:ind w:right="0" w:rightChars="0" w:firstLine="0" w:firstLineChars="0"/>
        <w:jc w:val="left"/>
        <w:textAlignment w:val="auto"/>
        <w:outlineLvl w:val="9"/>
        <w:rPr>
          <w:rFonts w:hint="eastAsia" w:ascii="仿宋" w:hAnsi="仿宋" w:eastAsia="仿宋" w:cs="Times New Roman"/>
          <w:color w:val="auto"/>
          <w:kern w:val="2"/>
          <w:sz w:val="28"/>
          <w:szCs w:val="32"/>
          <w:highlight w:val="none"/>
          <w:lang w:val="en-US" w:eastAsia="zh-CN" w:bidi="ar-SA"/>
        </w:rPr>
      </w:pPr>
      <w:r>
        <w:rPr>
          <w:rFonts w:hint="eastAsia" w:ascii="仿宋" w:hAnsi="仿宋" w:eastAsia="仿宋" w:cs="Times New Roman"/>
          <w:color w:val="auto"/>
          <w:kern w:val="2"/>
          <w:sz w:val="28"/>
          <w:szCs w:val="32"/>
          <w:highlight w:val="none"/>
          <w:lang w:val="en-US" w:eastAsia="zh-CN" w:bidi="ar-SA"/>
        </w:rPr>
        <w:t>十、一般公共预算财政拨款“三公”经费支出决算表</w:t>
      </w:r>
      <w:r>
        <w:rPr>
          <w:rFonts w:hint="eastAsia" w:ascii="仿宋" w:hAnsi="仿宋" w:eastAsia="仿宋" w:cs="Times New Roman"/>
          <w:color w:val="auto"/>
          <w:kern w:val="2"/>
          <w:sz w:val="28"/>
          <w:szCs w:val="32"/>
          <w:highlight w:val="none"/>
          <w:lang w:val="en-US" w:eastAsia="zh-CN" w:bidi="ar-SA"/>
        </w:rPr>
        <w:tab/>
      </w:r>
      <w:r>
        <w:rPr>
          <w:rFonts w:hint="eastAsia" w:ascii="仿宋" w:hAnsi="仿宋" w:eastAsia="仿宋" w:cs="Times New Roman"/>
          <w:color w:val="auto"/>
          <w:kern w:val="2"/>
          <w:sz w:val="28"/>
          <w:szCs w:val="32"/>
          <w:highlight w:val="none"/>
          <w:lang w:val="en-US" w:eastAsia="zh-CN" w:bidi="ar-SA"/>
        </w:rPr>
        <w:t>31</w:t>
      </w:r>
    </w:p>
    <w:p w14:paraId="5BC3E349">
      <w:pPr>
        <w:pStyle w:val="12"/>
        <w:keepNext w:val="0"/>
        <w:keepLines w:val="0"/>
        <w:pageBreakBefore w:val="0"/>
        <w:widowControl w:val="0"/>
        <w:kinsoku/>
        <w:wordWrap/>
        <w:overflowPunct/>
        <w:topLinePunct w:val="0"/>
        <w:autoSpaceDE/>
        <w:autoSpaceDN/>
        <w:bidi w:val="0"/>
        <w:adjustRightInd w:val="0"/>
        <w:snapToGrid w:val="0"/>
        <w:spacing w:line="600" w:lineRule="exact"/>
        <w:ind w:right="0" w:rightChars="0" w:firstLine="0" w:firstLineChars="0"/>
        <w:jc w:val="left"/>
        <w:textAlignment w:val="auto"/>
        <w:outlineLvl w:val="9"/>
        <w:rPr>
          <w:rFonts w:hint="eastAsia" w:ascii="仿宋" w:hAnsi="仿宋" w:eastAsia="仿宋" w:cs="Times New Roman"/>
          <w:color w:val="auto"/>
          <w:kern w:val="2"/>
          <w:sz w:val="28"/>
          <w:szCs w:val="32"/>
          <w:highlight w:val="none"/>
          <w:lang w:val="en-US" w:eastAsia="zh-CN" w:bidi="ar-SA"/>
        </w:rPr>
      </w:pPr>
      <w:r>
        <w:rPr>
          <w:rFonts w:hint="eastAsia" w:ascii="仿宋" w:hAnsi="仿宋" w:eastAsia="仿宋" w:cs="Times New Roman"/>
          <w:color w:val="auto"/>
          <w:kern w:val="2"/>
          <w:sz w:val="28"/>
          <w:szCs w:val="32"/>
          <w:highlight w:val="none"/>
          <w:lang w:val="en-US" w:eastAsia="zh-CN" w:bidi="ar-SA"/>
        </w:rPr>
        <w:t>十一、政府性基金预算财政拨款收入支出决算表</w:t>
      </w:r>
      <w:r>
        <w:rPr>
          <w:rFonts w:hint="eastAsia" w:ascii="仿宋" w:hAnsi="仿宋" w:eastAsia="仿宋" w:cs="Times New Roman"/>
          <w:color w:val="auto"/>
          <w:kern w:val="2"/>
          <w:sz w:val="28"/>
          <w:szCs w:val="32"/>
          <w:highlight w:val="none"/>
          <w:lang w:val="en-US" w:eastAsia="zh-CN" w:bidi="ar-SA"/>
        </w:rPr>
        <w:tab/>
      </w:r>
      <w:r>
        <w:rPr>
          <w:rFonts w:hint="eastAsia" w:ascii="仿宋" w:hAnsi="仿宋" w:eastAsia="仿宋" w:cs="Times New Roman"/>
          <w:color w:val="auto"/>
          <w:kern w:val="2"/>
          <w:sz w:val="28"/>
          <w:szCs w:val="32"/>
          <w:highlight w:val="none"/>
          <w:lang w:val="en-US" w:eastAsia="zh-CN" w:bidi="ar-SA"/>
        </w:rPr>
        <w:t>31</w:t>
      </w:r>
    </w:p>
    <w:p w14:paraId="50F4741F">
      <w:pPr>
        <w:pStyle w:val="12"/>
        <w:keepNext w:val="0"/>
        <w:keepLines w:val="0"/>
        <w:pageBreakBefore w:val="0"/>
        <w:widowControl w:val="0"/>
        <w:kinsoku/>
        <w:wordWrap/>
        <w:overflowPunct/>
        <w:topLinePunct w:val="0"/>
        <w:autoSpaceDE/>
        <w:autoSpaceDN/>
        <w:bidi w:val="0"/>
        <w:adjustRightInd w:val="0"/>
        <w:snapToGrid w:val="0"/>
        <w:spacing w:line="600" w:lineRule="exact"/>
        <w:ind w:right="0" w:rightChars="0" w:firstLine="0" w:firstLineChars="0"/>
        <w:jc w:val="left"/>
        <w:textAlignment w:val="auto"/>
        <w:outlineLvl w:val="9"/>
        <w:rPr>
          <w:rFonts w:hint="eastAsia" w:ascii="仿宋" w:hAnsi="仿宋" w:eastAsia="仿宋" w:cs="Times New Roman"/>
          <w:color w:val="auto"/>
          <w:kern w:val="2"/>
          <w:sz w:val="28"/>
          <w:szCs w:val="32"/>
          <w:highlight w:val="none"/>
          <w:lang w:val="en-US" w:eastAsia="zh-CN" w:bidi="ar-SA"/>
        </w:rPr>
      </w:pPr>
      <w:r>
        <w:rPr>
          <w:rFonts w:hint="eastAsia" w:ascii="仿宋" w:hAnsi="仿宋" w:eastAsia="仿宋" w:cs="Times New Roman"/>
          <w:color w:val="auto"/>
          <w:kern w:val="2"/>
          <w:sz w:val="28"/>
          <w:szCs w:val="32"/>
          <w:highlight w:val="none"/>
          <w:lang w:val="en-US" w:eastAsia="zh-CN" w:bidi="ar-SA"/>
        </w:rPr>
        <w:t>十二、政府性基金预算财政拨款“三公”经费支出决算表</w:t>
      </w:r>
      <w:r>
        <w:rPr>
          <w:rFonts w:hint="eastAsia" w:ascii="仿宋" w:hAnsi="仿宋" w:eastAsia="仿宋" w:cs="Times New Roman"/>
          <w:color w:val="auto"/>
          <w:kern w:val="2"/>
          <w:sz w:val="28"/>
          <w:szCs w:val="32"/>
          <w:highlight w:val="none"/>
          <w:lang w:val="en-US" w:eastAsia="zh-CN" w:bidi="ar-SA"/>
        </w:rPr>
        <w:tab/>
      </w:r>
      <w:r>
        <w:rPr>
          <w:rFonts w:hint="eastAsia" w:ascii="仿宋" w:hAnsi="仿宋" w:eastAsia="仿宋" w:cs="Times New Roman"/>
          <w:color w:val="auto"/>
          <w:kern w:val="2"/>
          <w:sz w:val="28"/>
          <w:szCs w:val="32"/>
          <w:highlight w:val="none"/>
          <w:lang w:val="en-US" w:eastAsia="zh-CN" w:bidi="ar-SA"/>
        </w:rPr>
        <w:t>31</w:t>
      </w:r>
    </w:p>
    <w:p w14:paraId="1FDDBE24">
      <w:pPr>
        <w:pStyle w:val="12"/>
        <w:keepNext w:val="0"/>
        <w:keepLines w:val="0"/>
        <w:pageBreakBefore w:val="0"/>
        <w:widowControl w:val="0"/>
        <w:kinsoku/>
        <w:wordWrap/>
        <w:overflowPunct/>
        <w:topLinePunct w:val="0"/>
        <w:autoSpaceDE/>
        <w:autoSpaceDN/>
        <w:bidi w:val="0"/>
        <w:adjustRightInd w:val="0"/>
        <w:snapToGrid w:val="0"/>
        <w:spacing w:line="600" w:lineRule="exact"/>
        <w:ind w:right="0" w:rightChars="0" w:firstLine="0" w:firstLineChars="0"/>
        <w:jc w:val="left"/>
        <w:textAlignment w:val="auto"/>
        <w:outlineLvl w:val="9"/>
        <w:rPr>
          <w:rFonts w:hint="eastAsia" w:ascii="仿宋" w:hAnsi="仿宋" w:eastAsia="仿宋" w:cs="Times New Roman"/>
          <w:color w:val="auto"/>
          <w:kern w:val="2"/>
          <w:sz w:val="28"/>
          <w:szCs w:val="32"/>
          <w:highlight w:val="none"/>
          <w:lang w:val="en-US" w:eastAsia="zh-CN" w:bidi="ar-SA"/>
        </w:rPr>
      </w:pPr>
      <w:r>
        <w:rPr>
          <w:rFonts w:hint="eastAsia" w:ascii="仿宋" w:hAnsi="仿宋" w:eastAsia="仿宋" w:cs="Times New Roman"/>
          <w:color w:val="auto"/>
          <w:kern w:val="2"/>
          <w:sz w:val="28"/>
          <w:szCs w:val="32"/>
          <w:highlight w:val="none"/>
          <w:lang w:val="en-US" w:eastAsia="zh-CN" w:bidi="ar-SA"/>
        </w:rPr>
        <w:t>十三、国有资本经营预算财政拨款收入支出决算表</w:t>
      </w:r>
      <w:r>
        <w:rPr>
          <w:rFonts w:hint="eastAsia" w:ascii="仿宋" w:hAnsi="仿宋" w:eastAsia="仿宋" w:cs="Times New Roman"/>
          <w:color w:val="auto"/>
          <w:kern w:val="2"/>
          <w:sz w:val="28"/>
          <w:szCs w:val="32"/>
          <w:highlight w:val="none"/>
          <w:lang w:val="en-US" w:eastAsia="zh-CN" w:bidi="ar-SA"/>
        </w:rPr>
        <w:tab/>
      </w:r>
      <w:r>
        <w:rPr>
          <w:rFonts w:hint="eastAsia" w:ascii="仿宋" w:hAnsi="仿宋" w:eastAsia="仿宋" w:cs="Times New Roman"/>
          <w:color w:val="auto"/>
          <w:kern w:val="2"/>
          <w:sz w:val="28"/>
          <w:szCs w:val="32"/>
          <w:highlight w:val="none"/>
          <w:lang w:val="en-US" w:eastAsia="zh-CN" w:bidi="ar-SA"/>
        </w:rPr>
        <w:t>31</w:t>
      </w:r>
    </w:p>
    <w:p w14:paraId="32A05BB5">
      <w:pPr>
        <w:pStyle w:val="12"/>
        <w:keepNext w:val="0"/>
        <w:keepLines w:val="0"/>
        <w:pageBreakBefore w:val="0"/>
        <w:widowControl w:val="0"/>
        <w:kinsoku/>
        <w:wordWrap/>
        <w:overflowPunct/>
        <w:topLinePunct w:val="0"/>
        <w:autoSpaceDE/>
        <w:autoSpaceDN/>
        <w:bidi w:val="0"/>
        <w:adjustRightInd w:val="0"/>
        <w:snapToGrid w:val="0"/>
        <w:spacing w:line="600" w:lineRule="exact"/>
        <w:ind w:right="0" w:rightChars="0" w:firstLine="0" w:firstLineChars="0"/>
        <w:jc w:val="left"/>
        <w:textAlignment w:val="auto"/>
        <w:outlineLvl w:val="9"/>
        <w:rPr>
          <w:rFonts w:hint="default" w:ascii="仿宋" w:hAnsi="仿宋" w:eastAsia="仿宋" w:cs="Times New Roman"/>
          <w:color w:val="auto"/>
          <w:kern w:val="2"/>
          <w:sz w:val="28"/>
          <w:szCs w:val="32"/>
          <w:highlight w:val="none"/>
          <w:lang w:val="en-US" w:eastAsia="zh-CN" w:bidi="ar-SA"/>
        </w:rPr>
      </w:pPr>
      <w:r>
        <w:rPr>
          <w:rFonts w:hint="eastAsia" w:ascii="仿宋" w:hAnsi="仿宋" w:eastAsia="仿宋" w:cs="Times New Roman"/>
          <w:color w:val="auto"/>
          <w:kern w:val="2"/>
          <w:sz w:val="28"/>
          <w:szCs w:val="32"/>
          <w:highlight w:val="none"/>
          <w:lang w:val="en-US" w:eastAsia="zh-CN" w:bidi="ar-SA"/>
        </w:rPr>
        <w:t>十四、国有资本经营预算财政拨款支出决算表</w:t>
      </w:r>
      <w:r>
        <w:rPr>
          <w:rFonts w:hint="eastAsia" w:ascii="仿宋" w:hAnsi="仿宋" w:eastAsia="仿宋" w:cs="Times New Roman"/>
          <w:color w:val="auto"/>
          <w:kern w:val="2"/>
          <w:sz w:val="28"/>
          <w:szCs w:val="32"/>
          <w:highlight w:val="none"/>
          <w:lang w:val="en-US" w:eastAsia="zh-CN" w:bidi="ar-SA"/>
        </w:rPr>
        <w:tab/>
      </w:r>
      <w:r>
        <w:rPr>
          <w:rFonts w:hint="eastAsia" w:ascii="仿宋" w:hAnsi="仿宋" w:eastAsia="仿宋" w:cs="Times New Roman"/>
          <w:color w:val="auto"/>
          <w:kern w:val="2"/>
          <w:sz w:val="28"/>
          <w:szCs w:val="32"/>
          <w:highlight w:val="none"/>
          <w:lang w:val="en-US" w:eastAsia="zh-CN" w:bidi="ar-SA"/>
        </w:rPr>
        <w:t>31</w:t>
      </w:r>
    </w:p>
    <w:p w14:paraId="76D1C1EE">
      <w:pPr>
        <w:widowControl/>
        <w:spacing w:line="440" w:lineRule="exact"/>
        <w:jc w:val="left"/>
        <w:rPr>
          <w:rFonts w:ascii="仿宋" w:hAnsi="仿宋" w:eastAsia="仿宋"/>
          <w:bCs/>
          <w:color w:val="auto"/>
          <w:kern w:val="44"/>
          <w:sz w:val="24"/>
          <w:highlight w:val="none"/>
        </w:rPr>
      </w:pPr>
      <w:bookmarkStart w:id="12" w:name="_Toc15396599"/>
      <w:bookmarkStart w:id="13" w:name="_Toc15377196"/>
      <w:r>
        <w:rPr>
          <w:rFonts w:ascii="仿宋" w:hAnsi="仿宋" w:eastAsia="仿宋"/>
          <w:b/>
          <w:color w:val="auto"/>
          <w:sz w:val="24"/>
          <w:highlight w:val="none"/>
        </w:rPr>
        <w:br w:type="page"/>
      </w:r>
    </w:p>
    <w:p w14:paraId="1B4855C8">
      <w:pPr>
        <w:pStyle w:val="3"/>
        <w:jc w:val="center"/>
        <w:rPr>
          <w:rStyle w:val="26"/>
          <w:rFonts w:ascii="黑体" w:hAnsi="黑体" w:eastAsia="黑体"/>
          <w:b/>
          <w:bCs w:val="0"/>
          <w:color w:val="auto"/>
          <w:highlight w:val="none"/>
        </w:rPr>
      </w:pPr>
      <w:r>
        <w:rPr>
          <w:rFonts w:hint="eastAsia" w:ascii="黑体" w:hAnsi="黑体" w:eastAsia="黑体"/>
          <w:b w:val="0"/>
          <w:color w:val="auto"/>
          <w:highlight w:val="none"/>
        </w:rPr>
        <w:t xml:space="preserve">第一部分 </w:t>
      </w:r>
      <w:r>
        <w:rPr>
          <w:rFonts w:hint="eastAsia" w:ascii="黑体" w:hAnsi="黑体" w:eastAsia="黑体"/>
          <w:b w:val="0"/>
          <w:color w:val="auto"/>
          <w:highlight w:val="none"/>
          <w:lang w:eastAsia="zh-CN"/>
        </w:rPr>
        <w:t>单位</w:t>
      </w:r>
      <w:r>
        <w:rPr>
          <w:rStyle w:val="26"/>
          <w:rFonts w:hint="eastAsia" w:ascii="黑体" w:hAnsi="黑体" w:eastAsia="黑体"/>
          <w:b w:val="0"/>
          <w:bCs w:val="0"/>
          <w:color w:val="auto"/>
          <w:highlight w:val="none"/>
        </w:rPr>
        <w:t>概况</w:t>
      </w:r>
      <w:bookmarkEnd w:id="12"/>
      <w:bookmarkEnd w:id="13"/>
    </w:p>
    <w:p w14:paraId="3AEC9C94">
      <w:pPr>
        <w:widowControl/>
        <w:jc w:val="left"/>
        <w:rPr>
          <w:rFonts w:ascii="黑体" w:eastAsia="黑体"/>
          <w:color w:val="auto"/>
          <w:sz w:val="32"/>
          <w:szCs w:val="32"/>
          <w:highlight w:val="none"/>
        </w:rPr>
      </w:pPr>
    </w:p>
    <w:p w14:paraId="75D4FCC2">
      <w:pPr>
        <w:pStyle w:val="4"/>
        <w:numPr>
          <w:ilvl w:val="0"/>
          <w:numId w:val="2"/>
        </w:numPr>
        <w:rPr>
          <w:rFonts w:hint="eastAsia"/>
          <w:lang w:eastAsia="zh-CN"/>
        </w:rPr>
      </w:pPr>
      <w:bookmarkStart w:id="14" w:name="_Toc15377197"/>
      <w:bookmarkStart w:id="15" w:name="_Toc15396600"/>
      <w:r>
        <w:rPr>
          <w:rStyle w:val="27"/>
          <w:rFonts w:hint="eastAsia" w:ascii="黑体" w:hAnsi="黑体" w:eastAsia="黑体"/>
          <w:b w:val="0"/>
          <w:bCs w:val="0"/>
          <w:color w:val="auto"/>
          <w:highlight w:val="none"/>
        </w:rPr>
        <w:t>职能</w:t>
      </w:r>
      <w:r>
        <w:rPr>
          <w:rStyle w:val="27"/>
          <w:rFonts w:hint="eastAsia" w:ascii="黑体" w:hAnsi="黑体" w:eastAsia="黑体"/>
          <w:b w:val="0"/>
          <w:bCs w:val="0"/>
          <w:color w:val="auto"/>
          <w:highlight w:val="none"/>
          <w:lang w:eastAsia="zh-CN"/>
        </w:rPr>
        <w:t>简介</w:t>
      </w:r>
    </w:p>
    <w:p w14:paraId="1D1EC1ED">
      <w:pPr>
        <w:pStyle w:val="13"/>
        <w:keepNext w:val="0"/>
        <w:keepLines w:val="0"/>
        <w:widowControl/>
        <w:suppressLineNumbers w:val="0"/>
        <w:shd w:val="clear" w:fill="FFFFFF"/>
        <w:spacing w:before="0" w:beforeAutospacing="0" w:after="150" w:afterAutospacing="0" w:line="600" w:lineRule="atLeast"/>
        <w:ind w:left="0" w:right="0" w:firstLine="640"/>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000000"/>
          <w:spacing w:val="0"/>
          <w:sz w:val="32"/>
          <w:szCs w:val="32"/>
          <w:shd w:val="clear" w:fill="FFFFFF"/>
        </w:rPr>
        <w:t>1.贯彻执行公安工作的方针、政策、法律、法规、规章。</w:t>
      </w:r>
    </w:p>
    <w:p w14:paraId="71A947C4">
      <w:pPr>
        <w:pStyle w:val="13"/>
        <w:keepNext w:val="0"/>
        <w:keepLines w:val="0"/>
        <w:widowControl/>
        <w:suppressLineNumbers w:val="0"/>
        <w:shd w:val="clear" w:fill="FFFFFF"/>
        <w:spacing w:before="0" w:beforeAutospacing="0" w:after="150" w:afterAutospacing="0" w:line="600" w:lineRule="atLeast"/>
        <w:ind w:left="0" w:right="0" w:firstLine="632"/>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000000"/>
          <w:spacing w:val="0"/>
          <w:sz w:val="32"/>
          <w:szCs w:val="32"/>
          <w:shd w:val="clear" w:fill="FFFFFF"/>
        </w:rPr>
        <w:t>2.受理公安行政诉讼、行政复议、国家赔偿等案件的报批工作。做好法制建设工作。</w:t>
      </w:r>
    </w:p>
    <w:p w14:paraId="6E0EE8D0">
      <w:pPr>
        <w:pStyle w:val="13"/>
        <w:keepNext w:val="0"/>
        <w:keepLines w:val="0"/>
        <w:widowControl/>
        <w:suppressLineNumbers w:val="0"/>
        <w:shd w:val="clear" w:fill="FFFFFF"/>
        <w:spacing w:before="0" w:beforeAutospacing="0" w:after="150" w:afterAutospacing="0" w:line="600" w:lineRule="atLeast"/>
        <w:ind w:left="0" w:right="0" w:firstLine="632"/>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000000"/>
          <w:spacing w:val="0"/>
          <w:sz w:val="32"/>
          <w:szCs w:val="32"/>
          <w:shd w:val="clear" w:fill="FFFFFF"/>
        </w:rPr>
        <w:t>3.侦破经济犯罪、毒品犯罪、集团犯罪、有组织犯罪和各类刑事案件。</w:t>
      </w:r>
    </w:p>
    <w:p w14:paraId="4BB380B8">
      <w:pPr>
        <w:pStyle w:val="13"/>
        <w:keepNext w:val="0"/>
        <w:keepLines w:val="0"/>
        <w:widowControl/>
        <w:suppressLineNumbers w:val="0"/>
        <w:shd w:val="clear" w:fill="FFFFFF"/>
        <w:spacing w:before="0" w:beforeAutospacing="0" w:after="150" w:afterAutospacing="0" w:line="600" w:lineRule="atLeast"/>
        <w:ind w:left="0" w:right="0" w:firstLine="632"/>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000000"/>
          <w:spacing w:val="0"/>
          <w:sz w:val="32"/>
          <w:szCs w:val="32"/>
          <w:shd w:val="clear" w:fill="FFFFFF"/>
        </w:rPr>
        <w:t>4.协调处置各类治安灾害事故、骚乱和群体性突发事件；负责辖区治安巡逻；担负在经济技术开发区举办的大型活动等方面的安全保卫工作。</w:t>
      </w:r>
    </w:p>
    <w:p w14:paraId="058806C6">
      <w:pPr>
        <w:pStyle w:val="13"/>
        <w:keepNext w:val="0"/>
        <w:keepLines w:val="0"/>
        <w:widowControl/>
        <w:suppressLineNumbers w:val="0"/>
        <w:shd w:val="clear" w:fill="FFFFFF"/>
        <w:spacing w:before="0" w:beforeAutospacing="0" w:after="150" w:afterAutospacing="0" w:line="600" w:lineRule="atLeast"/>
        <w:ind w:left="0" w:right="0" w:firstLine="632"/>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000000"/>
          <w:spacing w:val="0"/>
          <w:sz w:val="32"/>
          <w:szCs w:val="32"/>
          <w:shd w:val="clear" w:fill="FFFFFF"/>
        </w:rPr>
        <w:t>5.查处危害社会治安秩序的行为；依法管理户口、居民身份证、枪支弹药、管制刀具、危险物品、特种行业等工作；依法管理集会、游行、示威活动。</w:t>
      </w:r>
    </w:p>
    <w:p w14:paraId="75957978">
      <w:pPr>
        <w:pStyle w:val="13"/>
        <w:keepNext w:val="0"/>
        <w:keepLines w:val="0"/>
        <w:widowControl/>
        <w:suppressLineNumbers w:val="0"/>
        <w:shd w:val="clear" w:fill="FFFFFF"/>
        <w:spacing w:before="0" w:beforeAutospacing="0" w:after="150" w:afterAutospacing="0" w:line="600" w:lineRule="atLeast"/>
        <w:ind w:left="0" w:right="0" w:firstLine="632"/>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000000"/>
          <w:spacing w:val="0"/>
          <w:sz w:val="32"/>
          <w:szCs w:val="32"/>
          <w:shd w:val="clear" w:fill="FFFFFF"/>
        </w:rPr>
        <w:t>6.按职能实施经济技术开发区消防监督、火灾预防和扑救工作，对易燃物品的消防安全工作实施监督指导。</w:t>
      </w:r>
    </w:p>
    <w:p w14:paraId="708DE30D">
      <w:pPr>
        <w:pStyle w:val="13"/>
        <w:keepNext w:val="0"/>
        <w:keepLines w:val="0"/>
        <w:widowControl/>
        <w:suppressLineNumbers w:val="0"/>
        <w:shd w:val="clear" w:fill="FFFFFF"/>
        <w:spacing w:before="0" w:beforeAutospacing="0" w:after="150" w:afterAutospacing="0" w:line="600" w:lineRule="atLeast"/>
        <w:ind w:left="0" w:right="0" w:firstLine="632"/>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000000"/>
          <w:spacing w:val="0"/>
          <w:sz w:val="32"/>
          <w:szCs w:val="32"/>
          <w:shd w:val="clear" w:fill="FFFFFF"/>
        </w:rPr>
        <w:t>7.指导、参与经济技术开发区公安警卫工作，组织实施对党和国家领导人和重要外宾来经济技术开发区的安全警卫工作。</w:t>
      </w:r>
    </w:p>
    <w:p w14:paraId="4C08055A">
      <w:pPr>
        <w:pStyle w:val="13"/>
        <w:keepNext w:val="0"/>
        <w:keepLines w:val="0"/>
        <w:widowControl/>
        <w:suppressLineNumbers w:val="0"/>
        <w:shd w:val="clear" w:fill="FFFFFF"/>
        <w:spacing w:before="0" w:beforeAutospacing="0" w:after="150" w:afterAutospacing="0" w:line="600" w:lineRule="atLeast"/>
        <w:ind w:left="0" w:right="0" w:firstLine="632"/>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000000"/>
          <w:spacing w:val="0"/>
          <w:sz w:val="32"/>
          <w:szCs w:val="32"/>
          <w:shd w:val="clear" w:fill="FFFFFF"/>
        </w:rPr>
        <w:t>8.依法管理外国人、华侨、港澳台同胞在经济技术开发区的居留、旅行的有关工作。</w:t>
      </w:r>
    </w:p>
    <w:p w14:paraId="73964561">
      <w:pPr>
        <w:pStyle w:val="13"/>
        <w:keepNext w:val="0"/>
        <w:keepLines w:val="0"/>
        <w:widowControl/>
        <w:suppressLineNumbers w:val="0"/>
        <w:shd w:val="clear" w:fill="FFFFFF"/>
        <w:spacing w:before="0" w:beforeAutospacing="0" w:after="150" w:afterAutospacing="0" w:line="600" w:lineRule="atLeast"/>
        <w:ind w:left="0" w:right="0" w:firstLine="632"/>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000000"/>
          <w:spacing w:val="0"/>
          <w:sz w:val="32"/>
          <w:szCs w:val="32"/>
          <w:shd w:val="clear" w:fill="FFFFFF"/>
        </w:rPr>
        <w:t>9.对被判处剥夺政治权利的罪犯执行刑罚。</w:t>
      </w:r>
    </w:p>
    <w:p w14:paraId="1F41F454">
      <w:pPr>
        <w:pStyle w:val="13"/>
        <w:keepNext w:val="0"/>
        <w:keepLines w:val="0"/>
        <w:widowControl/>
        <w:suppressLineNumbers w:val="0"/>
        <w:shd w:val="clear" w:fill="FFFFFF"/>
        <w:spacing w:before="0" w:beforeAutospacing="0" w:after="150" w:afterAutospacing="0" w:line="600" w:lineRule="atLeast"/>
        <w:ind w:left="0" w:right="0" w:firstLine="632"/>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000000"/>
          <w:spacing w:val="0"/>
          <w:sz w:val="32"/>
          <w:szCs w:val="32"/>
          <w:shd w:val="clear" w:fill="FFFFFF"/>
        </w:rPr>
        <w:t>10.负责禁毒、缉毒和戒毒工作，承办禁毒委员会日常</w:t>
      </w:r>
    </w:p>
    <w:p w14:paraId="7F1120AC">
      <w:pPr>
        <w:pStyle w:val="13"/>
        <w:keepNext w:val="0"/>
        <w:keepLines w:val="0"/>
        <w:widowControl/>
        <w:suppressLineNumbers w:val="0"/>
        <w:shd w:val="clear" w:fill="FFFFFF"/>
        <w:spacing w:before="0" w:beforeAutospacing="0" w:after="150" w:afterAutospacing="0" w:line="600" w:lineRule="atLeast"/>
        <w:ind w:left="0" w:right="0" w:firstLine="0"/>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000000"/>
          <w:spacing w:val="0"/>
          <w:sz w:val="32"/>
          <w:szCs w:val="32"/>
          <w:shd w:val="clear" w:fill="FFFFFF"/>
        </w:rPr>
        <w:t>工作。</w:t>
      </w:r>
    </w:p>
    <w:p w14:paraId="4FDAA820">
      <w:pPr>
        <w:pStyle w:val="13"/>
        <w:keepNext w:val="0"/>
        <w:keepLines w:val="0"/>
        <w:widowControl/>
        <w:suppressLineNumbers w:val="0"/>
        <w:shd w:val="clear" w:fill="FFFFFF"/>
        <w:spacing w:before="0" w:beforeAutospacing="0" w:after="150" w:afterAutospacing="0" w:line="600" w:lineRule="atLeast"/>
        <w:ind w:left="0" w:right="0" w:firstLine="632"/>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000000"/>
          <w:spacing w:val="0"/>
          <w:sz w:val="32"/>
          <w:szCs w:val="32"/>
          <w:shd w:val="clear" w:fill="FFFFFF"/>
        </w:rPr>
        <w:t>11.指导、监督机关、社会团体、企事业单位和建设工</w:t>
      </w:r>
    </w:p>
    <w:p w14:paraId="37C08E50">
      <w:pPr>
        <w:pStyle w:val="13"/>
        <w:keepNext w:val="0"/>
        <w:keepLines w:val="0"/>
        <w:widowControl/>
        <w:suppressLineNumbers w:val="0"/>
        <w:shd w:val="clear" w:fill="FFFFFF"/>
        <w:spacing w:before="0" w:beforeAutospacing="0" w:after="150" w:afterAutospacing="0" w:line="600" w:lineRule="atLeast"/>
        <w:ind w:left="0" w:right="0" w:firstLine="0"/>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000000"/>
          <w:spacing w:val="0"/>
          <w:sz w:val="32"/>
          <w:szCs w:val="32"/>
          <w:shd w:val="clear" w:fill="FFFFFF"/>
        </w:rPr>
        <w:t>程的治安保卫工作以及群防群治组织的治安防范工作。</w:t>
      </w:r>
    </w:p>
    <w:p w14:paraId="4C894B24">
      <w:pPr>
        <w:pStyle w:val="13"/>
        <w:keepNext w:val="0"/>
        <w:keepLines w:val="0"/>
        <w:widowControl/>
        <w:suppressLineNumbers w:val="0"/>
        <w:shd w:val="clear" w:fill="FFFFFF"/>
        <w:spacing w:before="0" w:beforeAutospacing="0" w:after="150" w:afterAutospacing="0" w:line="600" w:lineRule="atLeast"/>
        <w:ind w:left="0" w:right="0" w:firstLine="632"/>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000000"/>
          <w:spacing w:val="0"/>
          <w:sz w:val="32"/>
          <w:szCs w:val="32"/>
          <w:shd w:val="clear" w:fill="FFFFFF"/>
        </w:rPr>
        <w:t>12.规划、实施公安通信和网络技术等建设。</w:t>
      </w:r>
    </w:p>
    <w:p w14:paraId="72167C80">
      <w:pPr>
        <w:pStyle w:val="13"/>
        <w:keepNext w:val="0"/>
        <w:keepLines w:val="0"/>
        <w:widowControl/>
        <w:suppressLineNumbers w:val="0"/>
        <w:shd w:val="clear" w:fill="FFFFFF"/>
        <w:spacing w:before="0" w:beforeAutospacing="0" w:after="150" w:afterAutospacing="0" w:line="600" w:lineRule="atLeast"/>
        <w:ind w:left="0" w:right="0" w:firstLine="632"/>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000000"/>
          <w:spacing w:val="0"/>
          <w:sz w:val="32"/>
          <w:szCs w:val="32"/>
          <w:shd w:val="clear" w:fill="FFFFFF"/>
        </w:rPr>
        <w:t>13.分析公安队伍状况，组织、指导、监督公安队伍建设措施的落实；负责民警教育训练和公安宣传工作；按规定权限管理干部，呈报警衔。</w:t>
      </w:r>
    </w:p>
    <w:p w14:paraId="0401BF1D">
      <w:pPr>
        <w:pStyle w:val="13"/>
        <w:keepNext w:val="0"/>
        <w:keepLines w:val="0"/>
        <w:widowControl/>
        <w:suppressLineNumbers w:val="0"/>
        <w:shd w:val="clear" w:fill="FFFFFF"/>
        <w:spacing w:before="0" w:beforeAutospacing="0" w:after="150" w:afterAutospacing="0" w:line="600" w:lineRule="atLeast"/>
        <w:ind w:left="0" w:right="0" w:firstLine="632"/>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000000"/>
          <w:spacing w:val="0"/>
          <w:sz w:val="32"/>
          <w:szCs w:val="32"/>
          <w:shd w:val="clear" w:fill="FFFFFF"/>
        </w:rPr>
        <w:t>14.开展公安纪检监察和警务督察工作；对经济技术开发区公安机关及其人民警察的执法情况进行监督。</w:t>
      </w:r>
    </w:p>
    <w:p w14:paraId="5DABE28D">
      <w:pPr>
        <w:pStyle w:val="13"/>
        <w:keepNext w:val="0"/>
        <w:keepLines w:val="0"/>
        <w:widowControl/>
        <w:suppressLineNumbers w:val="0"/>
        <w:shd w:val="clear" w:fill="FFFFFF"/>
        <w:spacing w:before="0" w:beforeAutospacing="0" w:after="150" w:afterAutospacing="0" w:line="600" w:lineRule="atLeast"/>
        <w:ind w:left="0" w:right="0" w:firstLine="632"/>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000000"/>
          <w:spacing w:val="0"/>
          <w:sz w:val="32"/>
          <w:szCs w:val="32"/>
          <w:shd w:val="clear" w:fill="FFFFFF"/>
        </w:rPr>
        <w:t>15.负责经济技术开发区分局党委的组织建设、党员教育、管理和监督，做好党员发展，指导基层党建工作；负责综合治理、精神文明、双拥、民族、工会、共青团、妇委会等工作。</w:t>
      </w:r>
    </w:p>
    <w:p w14:paraId="1EC03C83">
      <w:pPr>
        <w:pStyle w:val="13"/>
        <w:keepNext w:val="0"/>
        <w:keepLines w:val="0"/>
        <w:widowControl/>
        <w:suppressLineNumbers w:val="0"/>
        <w:shd w:val="clear" w:fill="FFFFFF"/>
        <w:spacing w:before="0" w:beforeAutospacing="0" w:after="150" w:afterAutospacing="0" w:line="600" w:lineRule="atLeast"/>
        <w:ind w:left="0" w:right="0" w:firstLine="632"/>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000000"/>
          <w:spacing w:val="0"/>
          <w:sz w:val="32"/>
          <w:szCs w:val="32"/>
          <w:shd w:val="clear" w:fill="FFFFFF"/>
        </w:rPr>
        <w:t>16.协助经济技术开发区其他行政执法部门的执法活动顺利实施。</w:t>
      </w:r>
    </w:p>
    <w:p w14:paraId="032850B9">
      <w:pPr>
        <w:numPr>
          <w:ilvl w:val="0"/>
          <w:numId w:val="0"/>
        </w:numPr>
        <w:ind w:firstLine="640" w:firstLineChars="200"/>
        <w:rPr>
          <w:rFonts w:hint="eastAsia"/>
        </w:rPr>
      </w:pPr>
      <w:r>
        <w:rPr>
          <w:rFonts w:hint="eastAsia" w:ascii="仿宋" w:hAnsi="仿宋" w:eastAsia="仿宋" w:cs="仿宋"/>
          <w:i w:val="0"/>
          <w:caps w:val="0"/>
          <w:color w:val="000000"/>
          <w:spacing w:val="0"/>
          <w:sz w:val="32"/>
          <w:szCs w:val="32"/>
          <w:shd w:val="clear" w:fill="FFFFFF"/>
        </w:rPr>
        <w:t>17.承办经济技术开发区党委、管委会和市公安局交办的其他事项。</w:t>
      </w:r>
    </w:p>
    <w:p w14:paraId="4E2237D3">
      <w:pPr>
        <w:pStyle w:val="4"/>
        <w:numPr>
          <w:ilvl w:val="0"/>
          <w:numId w:val="0"/>
        </w:numPr>
        <w:rPr>
          <w:rFonts w:hint="eastAsia" w:ascii="黑体" w:hAnsi="黑体" w:eastAsia="黑体"/>
          <w:b w:val="0"/>
          <w:color w:val="auto"/>
          <w:highlight w:val="none"/>
        </w:rPr>
      </w:pPr>
      <w:r>
        <w:rPr>
          <w:rFonts w:hint="eastAsia" w:ascii="黑体" w:hAnsi="黑体" w:eastAsia="黑体"/>
          <w:b w:val="0"/>
          <w:color w:val="auto"/>
          <w:highlight w:val="none"/>
          <w:lang w:val="en-US" w:eastAsia="zh-CN"/>
        </w:rPr>
        <w:t>二、2021年重点</w:t>
      </w:r>
      <w:r>
        <w:rPr>
          <w:rFonts w:hint="eastAsia" w:ascii="黑体" w:hAnsi="黑体" w:eastAsia="黑体"/>
          <w:b w:val="0"/>
          <w:color w:val="auto"/>
          <w:highlight w:val="none"/>
        </w:rPr>
        <w:t>工作</w:t>
      </w:r>
      <w:bookmarkEnd w:id="14"/>
      <w:bookmarkEnd w:id="15"/>
      <w:r>
        <w:rPr>
          <w:rFonts w:hint="eastAsia" w:ascii="黑体" w:hAnsi="黑体" w:eastAsia="黑体"/>
          <w:b w:val="0"/>
          <w:color w:val="auto"/>
          <w:highlight w:val="none"/>
          <w:lang w:eastAsia="zh-CN"/>
        </w:rPr>
        <w:t>完成情况</w:t>
      </w:r>
    </w:p>
    <w:p w14:paraId="40F70BA0">
      <w:pPr>
        <w:widowControl/>
        <w:ind w:firstLine="640" w:firstLineChars="200"/>
        <w:jc w:val="left"/>
        <w:rPr>
          <w:rFonts w:ascii="仿宋" w:hAnsi="仿宋" w:eastAsia="仿宋"/>
          <w:color w:val="auto"/>
          <w:kern w:val="0"/>
          <w:sz w:val="32"/>
          <w:szCs w:val="32"/>
          <w:highlight w:val="none"/>
        </w:rPr>
      </w:pPr>
      <w:r>
        <w:rPr>
          <w:rFonts w:ascii="仿宋_GB2312" w:eastAsia="仿宋_GB2312"/>
          <w:color w:val="000000"/>
          <w:sz w:val="32"/>
          <w:szCs w:val="32"/>
        </w:rPr>
        <w:t>20</w:t>
      </w:r>
      <w:r>
        <w:rPr>
          <w:rFonts w:hint="eastAsia" w:ascii="仿宋_GB2312" w:eastAsia="仿宋_GB2312"/>
          <w:color w:val="000000"/>
          <w:sz w:val="32"/>
          <w:szCs w:val="32"/>
        </w:rPr>
        <w:t>21</w:t>
      </w:r>
      <w:r>
        <w:rPr>
          <w:rFonts w:ascii="仿宋_GB2312" w:eastAsia="仿宋_GB2312"/>
          <w:color w:val="000000"/>
          <w:sz w:val="32"/>
          <w:szCs w:val="32"/>
        </w:rPr>
        <w:t xml:space="preserve"> 年，</w:t>
      </w:r>
      <w:r>
        <w:rPr>
          <w:rFonts w:hint="eastAsia" w:ascii="仿宋_GB2312" w:eastAsia="仿宋_GB2312"/>
          <w:color w:val="000000"/>
          <w:sz w:val="32"/>
          <w:szCs w:val="32"/>
        </w:rPr>
        <w:t>在</w:t>
      </w:r>
      <w:r>
        <w:rPr>
          <w:rFonts w:ascii="仿宋_GB2312" w:eastAsia="仿宋_GB2312"/>
          <w:color w:val="000000"/>
          <w:sz w:val="32"/>
          <w:szCs w:val="32"/>
        </w:rPr>
        <w:t>市公安局党委</w:t>
      </w:r>
      <w:r>
        <w:rPr>
          <w:rFonts w:hint="eastAsia" w:ascii="仿宋_GB2312" w:eastAsia="仿宋_GB2312"/>
          <w:color w:val="000000"/>
          <w:sz w:val="32"/>
          <w:szCs w:val="32"/>
        </w:rPr>
        <w:t>和区党工委</w:t>
      </w:r>
      <w:r>
        <w:rPr>
          <w:rFonts w:ascii="仿宋_GB2312" w:eastAsia="仿宋_GB2312"/>
          <w:color w:val="000000"/>
          <w:sz w:val="32"/>
          <w:szCs w:val="32"/>
        </w:rPr>
        <w:t>、</w:t>
      </w:r>
      <w:r>
        <w:rPr>
          <w:rFonts w:hint="eastAsia" w:ascii="仿宋_GB2312" w:eastAsia="仿宋_GB2312"/>
          <w:color w:val="000000"/>
          <w:sz w:val="32"/>
          <w:szCs w:val="32"/>
        </w:rPr>
        <w:t>管委会</w:t>
      </w:r>
      <w:r>
        <w:rPr>
          <w:rFonts w:ascii="仿宋_GB2312" w:eastAsia="仿宋_GB2312"/>
          <w:color w:val="000000"/>
          <w:sz w:val="32"/>
          <w:szCs w:val="32"/>
        </w:rPr>
        <w:t>的坚强领导下，</w:t>
      </w:r>
      <w:r>
        <w:rPr>
          <w:rFonts w:hint="eastAsia" w:ascii="仿宋_GB2312" w:eastAsia="仿宋_GB2312"/>
          <w:color w:val="000000"/>
          <w:sz w:val="32"/>
          <w:szCs w:val="32"/>
        </w:rPr>
        <w:t>全区</w:t>
      </w:r>
      <w:r>
        <w:rPr>
          <w:rFonts w:ascii="仿宋_GB2312" w:eastAsia="仿宋_GB2312"/>
          <w:color w:val="000000"/>
          <w:sz w:val="32"/>
          <w:szCs w:val="32"/>
        </w:rPr>
        <w:t>公安机关</w:t>
      </w:r>
      <w:r>
        <w:rPr>
          <w:rFonts w:hint="eastAsia" w:ascii="仿宋_GB2312" w:eastAsia="仿宋_GB2312"/>
          <w:color w:val="000000"/>
          <w:sz w:val="32"/>
          <w:szCs w:val="32"/>
        </w:rPr>
        <w:t>以做好建党100周年安保维稳工作为主线，围绕中心、服务大局，统筹推进</w:t>
      </w:r>
      <w:r>
        <w:rPr>
          <w:rFonts w:ascii="仿宋_GB2312" w:eastAsia="仿宋_GB2312"/>
          <w:color w:val="000000"/>
          <w:sz w:val="32"/>
          <w:szCs w:val="32"/>
        </w:rPr>
        <w:t>业务工作和队伍建设，为维护全</w:t>
      </w:r>
      <w:r>
        <w:rPr>
          <w:rFonts w:hint="eastAsia" w:ascii="仿宋_GB2312" w:eastAsia="仿宋_GB2312"/>
          <w:color w:val="000000"/>
          <w:sz w:val="32"/>
          <w:szCs w:val="32"/>
        </w:rPr>
        <w:t>区</w:t>
      </w:r>
      <w:r>
        <w:rPr>
          <w:rFonts w:ascii="仿宋_GB2312" w:eastAsia="仿宋_GB2312"/>
          <w:color w:val="000000"/>
          <w:sz w:val="32"/>
          <w:szCs w:val="32"/>
        </w:rPr>
        <w:t>社会稳定、服务经济社会发展、保障人民群众安居乐业做出了积极贡献</w:t>
      </w:r>
      <w:r>
        <w:rPr>
          <w:rFonts w:hint="eastAsia" w:ascii="仿宋_GB2312" w:eastAsia="仿宋_GB2312"/>
          <w:color w:val="000000"/>
          <w:sz w:val="32"/>
          <w:szCs w:val="32"/>
        </w:rPr>
        <w:t>:</w:t>
      </w:r>
      <w:r>
        <w:rPr>
          <w:rFonts w:hint="eastAsia" w:ascii="楷体" w:hAnsi="楷体" w:eastAsia="楷体" w:cs="楷体"/>
          <w:bCs/>
          <w:color w:val="000000"/>
          <w:sz w:val="32"/>
          <w:szCs w:val="32"/>
        </w:rPr>
        <w:t>一是队伍忠诚锻造呈现崭新面貌。</w:t>
      </w:r>
      <w:r>
        <w:rPr>
          <w:rFonts w:hint="eastAsia" w:ascii="仿宋_GB2312" w:eastAsia="仿宋_GB2312"/>
          <w:color w:val="000000"/>
          <w:sz w:val="32"/>
          <w:szCs w:val="32"/>
        </w:rPr>
        <w:t>扎实开展党史学习教育、队伍教育整顿、“排整提”专项行动，切实筑牢忠诚警魂，进一步根植以人民为中心的发展理念，着力煅造“四个铁一般”过硬公安队伍。</w:t>
      </w:r>
      <w:r>
        <w:rPr>
          <w:rFonts w:ascii="仿宋_GB2312" w:eastAsia="仿宋_GB2312"/>
          <w:color w:val="000000"/>
          <w:sz w:val="32"/>
          <w:szCs w:val="32"/>
        </w:rPr>
        <w:t>全年分局共有2个集体获三等功，8个集体获嘉奖，9名民警获个人三等功，17名民警获个人嘉奖，3名民警荣获市委市政府表彰，5名民警受省级表彰</w:t>
      </w:r>
      <w:r>
        <w:rPr>
          <w:rFonts w:hint="eastAsia" w:ascii="仿宋_GB2312" w:eastAsia="仿宋_GB2312"/>
          <w:color w:val="000000"/>
          <w:sz w:val="32"/>
          <w:szCs w:val="32"/>
        </w:rPr>
        <w:t>,全年工作得到市公安局主要领导肯定性批示7次、区党工委主要领导肯定性批示4次。</w:t>
      </w:r>
      <w:r>
        <w:rPr>
          <w:rFonts w:hint="eastAsia" w:ascii="楷体" w:hAnsi="楷体" w:eastAsia="楷体" w:cs="楷体"/>
          <w:bCs/>
          <w:color w:val="000000"/>
          <w:sz w:val="32"/>
          <w:szCs w:val="32"/>
        </w:rPr>
        <w:t>二是公安业绩质效取得积极进步。</w:t>
      </w:r>
      <w:r>
        <w:rPr>
          <w:rFonts w:hint="eastAsia" w:ascii="仿宋_GB2312" w:eastAsia="仿宋_GB2312"/>
          <w:color w:val="000000"/>
          <w:sz w:val="32"/>
          <w:szCs w:val="32"/>
        </w:rPr>
        <w:t>紧紧围绕年度目标绩效考核任务,有力推进目标绩效考核工作，侦查打处战果成效显著，辖区发案大幅下降，全年破获刑事案件517件，刑事拘留245人，逮捕186人，上网追逃43人，移送起诉313人（民警人均打击数为2.3人，较2019年实现了翻番），</w:t>
      </w:r>
      <w:r>
        <w:rPr>
          <w:rFonts w:hint="eastAsia" w:ascii="仿宋_GB2312" w:hAnsi="仿宋" w:eastAsia="仿宋_GB2312"/>
          <w:color w:val="000000"/>
          <w:sz w:val="32"/>
          <w:szCs w:val="32"/>
        </w:rPr>
        <w:t>成功侦破“陈某军故意杀人案”“许某辉非法储存爆炸物案”“刘某诈骗案”“唐某林寻衅滋事案”“冯某等人系列抢劫案”等多起大要案件</w:t>
      </w:r>
      <w:r>
        <w:rPr>
          <w:rFonts w:hint="eastAsia" w:ascii="仿宋_GB2312" w:eastAsia="仿宋_GB2312"/>
          <w:color w:val="000000"/>
          <w:sz w:val="32"/>
          <w:szCs w:val="32"/>
        </w:rPr>
        <w:t>。2021年，分局在区县绩效考核中获“二等奖”，“kPI”关键指标排名进入全市一流方阵。</w:t>
      </w:r>
      <w:r>
        <w:rPr>
          <w:rFonts w:hint="eastAsia" w:ascii="楷体" w:hAnsi="楷体" w:eastAsia="楷体" w:cs="楷体"/>
          <w:bCs/>
          <w:color w:val="000000"/>
          <w:sz w:val="32"/>
          <w:szCs w:val="32"/>
        </w:rPr>
        <w:t>三是社会治安大局持续稳中向好。</w:t>
      </w:r>
      <w:r>
        <w:rPr>
          <w:rFonts w:hint="eastAsia" w:ascii="仿宋_GB2312" w:eastAsia="仿宋_GB2312"/>
          <w:color w:val="000000"/>
          <w:sz w:val="32"/>
          <w:szCs w:val="32"/>
        </w:rPr>
        <w:t>成功稳控辖区涉军、民师、征地拆迁等重点群体，积极为市渠河饮用水取水口北移工程及附属工程、蜂巢能源、凤台高架桥、生态防洪堤、高铁维修站等重点工程有序推进保驾护航，5项省级工程如期顺利施工。同时以“疫情当前、警察向前”的责任担当，精准排查涉疫风险，全力护航疫苗接种，在抗击疫情大考中经受住了严峻考验。</w:t>
      </w:r>
      <w:r>
        <w:rPr>
          <w:rFonts w:hint="eastAsia" w:ascii="楷体" w:hAnsi="楷体" w:eastAsia="楷体" w:cs="楷体"/>
          <w:bCs/>
          <w:color w:val="000000"/>
          <w:sz w:val="32"/>
          <w:szCs w:val="32"/>
        </w:rPr>
        <w:t>四是基层基础建设迈出坚定步伐。</w:t>
      </w:r>
      <w:r>
        <w:rPr>
          <w:rFonts w:hint="eastAsia" w:ascii="仿宋_GB2312" w:eastAsia="仿宋_GB2312"/>
          <w:color w:val="000000"/>
          <w:sz w:val="32"/>
          <w:szCs w:val="32"/>
        </w:rPr>
        <w:t>得到了区党工委、管委会大力支持，争取到7000余平方米的公安技术用房1处，预算资金2300余万元用于公安业务技术用房建设；预算资金2000余万元用于智慧警务建设；投入105万元修缮新桥派出所和完善各派出所防护设施，基层基础建设进一步夯实。</w:t>
      </w:r>
      <w:r>
        <w:rPr>
          <w:rFonts w:ascii="仿宋" w:hAnsi="仿宋" w:eastAsia="仿宋"/>
          <w:color w:val="auto"/>
          <w:sz w:val="32"/>
          <w:szCs w:val="32"/>
          <w:highlight w:val="none"/>
        </w:rPr>
        <w:br w:type="page"/>
      </w:r>
    </w:p>
    <w:p w14:paraId="6710E541">
      <w:pPr>
        <w:pStyle w:val="3"/>
        <w:ind w:right="440"/>
        <w:jc w:val="center"/>
        <w:rPr>
          <w:rStyle w:val="26"/>
          <w:rFonts w:ascii="黑体" w:hAnsi="黑体" w:eastAsia="黑体"/>
          <w:b w:val="0"/>
          <w:bCs/>
          <w:color w:val="auto"/>
          <w:highlight w:val="none"/>
        </w:rPr>
      </w:pPr>
      <w:bookmarkStart w:id="16" w:name="_Toc15377204"/>
      <w:bookmarkStart w:id="17" w:name="_Toc15396602"/>
      <w:r>
        <w:rPr>
          <w:rFonts w:hint="eastAsia" w:ascii="黑体" w:hAnsi="黑体" w:eastAsia="黑体"/>
          <w:b w:val="0"/>
          <w:bCs/>
          <w:color w:val="auto"/>
          <w:highlight w:val="none"/>
        </w:rPr>
        <w:t xml:space="preserve">第二部分 </w:t>
      </w:r>
      <w:r>
        <w:rPr>
          <w:rFonts w:hint="eastAsia" w:ascii="黑体" w:hAnsi="黑体" w:eastAsia="黑体"/>
          <w:b w:val="0"/>
          <w:bCs/>
          <w:color w:val="auto"/>
          <w:highlight w:val="none"/>
          <w:lang w:val="en-US" w:eastAsia="zh-CN"/>
        </w:rPr>
        <w:t>2021年度</w:t>
      </w:r>
      <w:r>
        <w:rPr>
          <w:rStyle w:val="26"/>
          <w:rFonts w:hint="eastAsia" w:ascii="黑体" w:hAnsi="黑体" w:eastAsia="黑体"/>
          <w:b w:val="0"/>
          <w:bCs/>
          <w:color w:val="auto"/>
          <w:highlight w:val="none"/>
          <w:lang w:eastAsia="zh-CN"/>
        </w:rPr>
        <w:t>单位</w:t>
      </w:r>
      <w:r>
        <w:rPr>
          <w:rStyle w:val="26"/>
          <w:rFonts w:hint="eastAsia" w:ascii="黑体" w:hAnsi="黑体" w:eastAsia="黑体"/>
          <w:b w:val="0"/>
          <w:bCs/>
          <w:color w:val="auto"/>
          <w:highlight w:val="none"/>
        </w:rPr>
        <w:t>决算情况说明</w:t>
      </w:r>
      <w:bookmarkEnd w:id="16"/>
      <w:bookmarkEnd w:id="17"/>
    </w:p>
    <w:p w14:paraId="1D0E3DC0">
      <w:pPr>
        <w:rPr>
          <w:color w:val="auto"/>
          <w:highlight w:val="none"/>
        </w:rPr>
      </w:pPr>
    </w:p>
    <w:p w14:paraId="7F1A0513">
      <w:pPr>
        <w:pStyle w:val="25"/>
        <w:numPr>
          <w:ilvl w:val="0"/>
          <w:numId w:val="3"/>
        </w:numPr>
        <w:spacing w:line="600" w:lineRule="exact"/>
        <w:ind w:firstLineChars="0"/>
        <w:outlineLvl w:val="1"/>
        <w:rPr>
          <w:rStyle w:val="27"/>
          <w:rFonts w:ascii="黑体" w:hAnsi="黑体" w:eastAsia="黑体"/>
          <w:b w:val="0"/>
          <w:color w:val="auto"/>
          <w:highlight w:val="none"/>
        </w:rPr>
      </w:pPr>
      <w:bookmarkStart w:id="18" w:name="_Toc15396603"/>
      <w:bookmarkStart w:id="19" w:name="_Toc15377205"/>
      <w:r>
        <w:rPr>
          <w:rFonts w:hint="eastAsia" w:ascii="黑体" w:hAnsi="黑体" w:eastAsia="黑体"/>
          <w:color w:val="auto"/>
          <w:sz w:val="32"/>
          <w:szCs w:val="32"/>
          <w:highlight w:val="none"/>
        </w:rPr>
        <w:t>收</w:t>
      </w:r>
      <w:r>
        <w:rPr>
          <w:rStyle w:val="27"/>
          <w:rFonts w:hint="eastAsia" w:ascii="黑体" w:hAnsi="黑体" w:eastAsia="黑体"/>
          <w:b w:val="0"/>
          <w:color w:val="auto"/>
          <w:highlight w:val="none"/>
        </w:rPr>
        <w:t>入支出决算总体情况说明</w:t>
      </w:r>
      <w:bookmarkEnd w:id="18"/>
      <w:bookmarkEnd w:id="19"/>
    </w:p>
    <w:p w14:paraId="217DF70D">
      <w:pPr>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年度收、支总计</w:t>
      </w:r>
      <w:r>
        <w:rPr>
          <w:rFonts w:hint="eastAsia" w:ascii="仿宋" w:hAnsi="仿宋" w:eastAsia="仿宋"/>
          <w:color w:val="auto"/>
          <w:sz w:val="32"/>
          <w:szCs w:val="32"/>
          <w:highlight w:val="none"/>
          <w:lang w:val="en-US" w:eastAsia="zh-CN"/>
        </w:rPr>
        <w:t>4734.68</w:t>
      </w:r>
      <w:r>
        <w:rPr>
          <w:rFonts w:hint="eastAsia" w:ascii="仿宋" w:hAnsi="仿宋" w:eastAsia="仿宋"/>
          <w:color w:val="auto"/>
          <w:sz w:val="32"/>
          <w:szCs w:val="32"/>
          <w:highlight w:val="none"/>
        </w:rPr>
        <w:t>万元。与20</w:t>
      </w:r>
      <w:r>
        <w:rPr>
          <w:rFonts w:hint="eastAsia" w:ascii="仿宋" w:hAnsi="仿宋" w:eastAsia="仿宋"/>
          <w:color w:val="auto"/>
          <w:sz w:val="32"/>
          <w:szCs w:val="32"/>
          <w:highlight w:val="none"/>
          <w:lang w:val="en-US" w:eastAsia="zh-CN"/>
        </w:rPr>
        <w:t>20</w:t>
      </w:r>
      <w:r>
        <w:rPr>
          <w:rFonts w:hint="eastAsia" w:ascii="仿宋" w:hAnsi="仿宋" w:eastAsia="仿宋"/>
          <w:color w:val="auto"/>
          <w:sz w:val="32"/>
          <w:szCs w:val="32"/>
          <w:highlight w:val="none"/>
        </w:rPr>
        <w:t>年相比，收、支总计各增加</w:t>
      </w:r>
      <w:r>
        <w:rPr>
          <w:rFonts w:hint="eastAsia" w:ascii="仿宋" w:hAnsi="仿宋" w:eastAsia="仿宋"/>
          <w:color w:val="auto"/>
          <w:sz w:val="32"/>
          <w:szCs w:val="32"/>
          <w:highlight w:val="none"/>
          <w:lang w:val="en-US" w:eastAsia="zh-CN"/>
        </w:rPr>
        <w:t>213.75</w:t>
      </w:r>
      <w:r>
        <w:rPr>
          <w:rFonts w:hint="eastAsia" w:ascii="仿宋" w:hAnsi="仿宋" w:eastAsia="仿宋"/>
          <w:color w:val="auto"/>
          <w:sz w:val="32"/>
          <w:szCs w:val="32"/>
          <w:highlight w:val="none"/>
        </w:rPr>
        <w:t>万元，增长</w:t>
      </w:r>
      <w:r>
        <w:rPr>
          <w:rFonts w:hint="eastAsia" w:ascii="仿宋" w:hAnsi="仿宋" w:eastAsia="仿宋"/>
          <w:color w:val="auto"/>
          <w:sz w:val="32"/>
          <w:szCs w:val="32"/>
          <w:highlight w:val="none"/>
          <w:lang w:val="en-US" w:eastAsia="zh-CN"/>
        </w:rPr>
        <w:t>4.7</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olor w:val="000000"/>
          <w:sz w:val="32"/>
          <w:szCs w:val="32"/>
          <w:lang w:eastAsia="zh-CN"/>
        </w:rPr>
        <w:t>项目经费增加。</w:t>
      </w:r>
    </w:p>
    <w:p w14:paraId="4C914548">
      <w:pPr>
        <w:spacing w:line="600" w:lineRule="exact"/>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（图</w:t>
      </w:r>
      <w:r>
        <w:rPr>
          <w:rFonts w:ascii="仿宋" w:hAnsi="仿宋" w:eastAsia="仿宋"/>
          <w:color w:val="auto"/>
          <w:sz w:val="32"/>
          <w:szCs w:val="32"/>
          <w:highlight w:val="none"/>
        </w:rPr>
        <w:t>1</w:t>
      </w:r>
      <w:r>
        <w:rPr>
          <w:rFonts w:hint="eastAsia" w:ascii="仿宋" w:hAnsi="仿宋" w:eastAsia="仿宋"/>
          <w:color w:val="auto"/>
          <w:sz w:val="32"/>
          <w:szCs w:val="32"/>
          <w:highlight w:val="none"/>
        </w:rPr>
        <w:t>：收、支决算总计变动情况图）（柱状图）</w:t>
      </w:r>
    </w:p>
    <w:p w14:paraId="68960CD5">
      <w:pPr>
        <w:pStyle w:val="6"/>
        <w:rPr>
          <w:rFonts w:hint="eastAsia" w:eastAsia="仿宋"/>
          <w:lang w:eastAsia="zh-CN"/>
        </w:rPr>
      </w:pPr>
      <w:r>
        <w:rPr>
          <w:rFonts w:hint="eastAsia" w:eastAsia="仿宋"/>
          <w:lang w:eastAsia="zh-CN"/>
        </w:rPr>
        <w:drawing>
          <wp:inline distT="0" distB="0" distL="114300" distR="114300">
            <wp:extent cx="5080000" cy="3810000"/>
            <wp:effectExtent l="4445" t="4445" r="20955" b="1460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358946DE">
      <w:pPr>
        <w:pStyle w:val="6"/>
      </w:pPr>
    </w:p>
    <w:p w14:paraId="654AE0D0">
      <w:pPr>
        <w:spacing w:line="600" w:lineRule="exact"/>
        <w:ind w:firstLine="640" w:firstLineChars="200"/>
        <w:jc w:val="left"/>
        <w:rPr>
          <w:rFonts w:ascii="仿宋_GB2312" w:eastAsia="仿宋_GB2312"/>
          <w:color w:val="auto"/>
          <w:sz w:val="32"/>
          <w:szCs w:val="32"/>
          <w:highlight w:val="none"/>
        </w:rPr>
      </w:pPr>
    </w:p>
    <w:p w14:paraId="0EDD62D1">
      <w:pPr>
        <w:pStyle w:val="25"/>
        <w:numPr>
          <w:ilvl w:val="0"/>
          <w:numId w:val="3"/>
        </w:numPr>
        <w:spacing w:line="600" w:lineRule="exact"/>
        <w:ind w:firstLineChars="0"/>
        <w:outlineLvl w:val="1"/>
        <w:rPr>
          <w:rStyle w:val="27"/>
          <w:rFonts w:ascii="黑体" w:hAnsi="黑体" w:eastAsia="黑体"/>
          <w:b w:val="0"/>
          <w:color w:val="auto"/>
          <w:highlight w:val="none"/>
        </w:rPr>
      </w:pPr>
      <w:bookmarkStart w:id="20" w:name="_Toc15377206"/>
      <w:bookmarkStart w:id="21" w:name="_Toc15396604"/>
      <w:r>
        <w:rPr>
          <w:rFonts w:hint="eastAsia" w:ascii="黑体" w:hAnsi="黑体" w:eastAsia="黑体"/>
          <w:color w:val="auto"/>
          <w:sz w:val="32"/>
          <w:szCs w:val="32"/>
          <w:highlight w:val="none"/>
        </w:rPr>
        <w:t>收</w:t>
      </w:r>
      <w:r>
        <w:rPr>
          <w:rStyle w:val="27"/>
          <w:rFonts w:hint="eastAsia" w:ascii="黑体" w:hAnsi="黑体" w:eastAsia="黑体"/>
          <w:b w:val="0"/>
          <w:color w:val="auto"/>
          <w:highlight w:val="none"/>
        </w:rPr>
        <w:t>入决算情况说明</w:t>
      </w:r>
      <w:bookmarkEnd w:id="20"/>
      <w:bookmarkEnd w:id="21"/>
    </w:p>
    <w:p w14:paraId="27A8231E">
      <w:pPr>
        <w:spacing w:line="600" w:lineRule="exact"/>
        <w:ind w:firstLine="640" w:firstLineChars="200"/>
        <w:outlineLvl w:val="1"/>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年本年收入合计</w:t>
      </w:r>
      <w:r>
        <w:rPr>
          <w:rFonts w:hint="eastAsia" w:ascii="仿宋" w:hAnsi="仿宋" w:eastAsia="仿宋"/>
          <w:color w:val="auto"/>
          <w:sz w:val="32"/>
          <w:szCs w:val="32"/>
          <w:highlight w:val="none"/>
          <w:lang w:val="en-US" w:eastAsia="zh-CN"/>
        </w:rPr>
        <w:t>4346.93</w:t>
      </w:r>
      <w:r>
        <w:rPr>
          <w:rFonts w:hint="eastAsia" w:ascii="仿宋" w:hAnsi="仿宋" w:eastAsia="仿宋"/>
          <w:color w:val="auto"/>
          <w:sz w:val="32"/>
          <w:szCs w:val="32"/>
          <w:highlight w:val="none"/>
        </w:rPr>
        <w:t>万元，其中：一般公共预算财政拨款收入</w:t>
      </w:r>
      <w:r>
        <w:rPr>
          <w:rFonts w:hint="eastAsia" w:ascii="仿宋" w:hAnsi="仿宋" w:eastAsia="仿宋"/>
          <w:color w:val="auto"/>
          <w:sz w:val="32"/>
          <w:szCs w:val="32"/>
          <w:highlight w:val="none"/>
          <w:lang w:val="en-US" w:eastAsia="zh-CN"/>
        </w:rPr>
        <w:t>3159.11</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72.67</w:t>
      </w:r>
      <w:r>
        <w:rPr>
          <w:rFonts w:ascii="仿宋" w:hAnsi="仿宋" w:eastAsia="仿宋"/>
          <w:color w:val="auto"/>
          <w:sz w:val="32"/>
          <w:szCs w:val="32"/>
          <w:highlight w:val="none"/>
        </w:rPr>
        <w:t>%</w:t>
      </w:r>
      <w:r>
        <w:rPr>
          <w:rFonts w:hint="eastAsia" w:ascii="仿宋" w:hAnsi="仿宋" w:eastAsia="仿宋"/>
          <w:color w:val="auto"/>
          <w:sz w:val="32"/>
          <w:szCs w:val="32"/>
          <w:highlight w:val="none"/>
        </w:rPr>
        <w:t>；政府性基金预算财政拨款收入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eastAsia="zh-CN"/>
        </w:rPr>
        <w:t>国有资本经营预算财政拨款收入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；上级补助收入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；事业收入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；经营收入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；附属单位上缴收入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；其他收入</w:t>
      </w:r>
      <w:r>
        <w:rPr>
          <w:rFonts w:hint="eastAsia" w:ascii="仿宋" w:hAnsi="仿宋" w:eastAsia="仿宋"/>
          <w:color w:val="auto"/>
          <w:sz w:val="32"/>
          <w:szCs w:val="32"/>
          <w:highlight w:val="none"/>
          <w:lang w:val="en-US" w:eastAsia="zh-CN"/>
        </w:rPr>
        <w:t>1187.82</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27.33</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p>
    <w:p w14:paraId="35A0F7FB">
      <w:pPr>
        <w:spacing w:line="600" w:lineRule="exact"/>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（图2：收入决算结构图）（饼状图）</w:t>
      </w:r>
    </w:p>
    <w:p w14:paraId="2120164F">
      <w:pPr>
        <w:pStyle w:val="6"/>
        <w:rPr>
          <w:rFonts w:hint="eastAsia" w:eastAsia="仿宋"/>
          <w:lang w:eastAsia="zh-CN"/>
        </w:rPr>
      </w:pPr>
      <w:r>
        <w:rPr>
          <w:rFonts w:hint="eastAsia" w:eastAsia="仿宋"/>
          <w:lang w:eastAsia="zh-CN"/>
        </w:rPr>
        <w:drawing>
          <wp:inline distT="0" distB="0" distL="114300" distR="114300">
            <wp:extent cx="5080000" cy="3810000"/>
            <wp:effectExtent l="4445" t="4445" r="20955" b="1460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00F5690C">
      <w:pPr>
        <w:spacing w:line="600" w:lineRule="exact"/>
        <w:ind w:firstLine="640" w:firstLineChars="200"/>
        <w:rPr>
          <w:rFonts w:ascii="仿宋_GB2312" w:eastAsia="仿宋_GB2312"/>
          <w:color w:val="auto"/>
          <w:sz w:val="32"/>
          <w:szCs w:val="32"/>
          <w:highlight w:val="none"/>
        </w:rPr>
      </w:pPr>
    </w:p>
    <w:p w14:paraId="42C38CF4">
      <w:pPr>
        <w:pStyle w:val="25"/>
        <w:numPr>
          <w:ilvl w:val="0"/>
          <w:numId w:val="3"/>
        </w:numPr>
        <w:spacing w:line="600" w:lineRule="exact"/>
        <w:ind w:firstLineChars="0"/>
        <w:outlineLvl w:val="1"/>
        <w:rPr>
          <w:rStyle w:val="27"/>
          <w:rFonts w:ascii="黑体" w:hAnsi="黑体" w:eastAsia="黑体"/>
          <w:b w:val="0"/>
          <w:color w:val="auto"/>
          <w:highlight w:val="none"/>
        </w:rPr>
      </w:pPr>
      <w:bookmarkStart w:id="22" w:name="_Toc15396605"/>
      <w:bookmarkStart w:id="23" w:name="_Toc15377207"/>
      <w:r>
        <w:rPr>
          <w:rFonts w:hint="eastAsia" w:ascii="黑体" w:hAnsi="黑体" w:eastAsia="黑体"/>
          <w:color w:val="auto"/>
          <w:sz w:val="32"/>
          <w:szCs w:val="32"/>
          <w:highlight w:val="none"/>
        </w:rPr>
        <w:t>支</w:t>
      </w:r>
      <w:r>
        <w:rPr>
          <w:rStyle w:val="27"/>
          <w:rFonts w:hint="eastAsia" w:ascii="黑体" w:hAnsi="黑体" w:eastAsia="黑体"/>
          <w:b w:val="0"/>
          <w:color w:val="auto"/>
          <w:highlight w:val="none"/>
        </w:rPr>
        <w:t>出决算情况说明</w:t>
      </w:r>
      <w:bookmarkEnd w:id="22"/>
      <w:bookmarkEnd w:id="23"/>
    </w:p>
    <w:p w14:paraId="2DA382D5">
      <w:pPr>
        <w:spacing w:line="600" w:lineRule="exact"/>
        <w:ind w:firstLine="640" w:firstLineChars="200"/>
        <w:outlineLvl w:val="1"/>
        <w:rPr>
          <w:rFonts w:ascii="仿宋" w:hAnsi="仿宋" w:eastAsia="仿宋"/>
          <w:b/>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年本年支出合计</w:t>
      </w:r>
      <w:r>
        <w:rPr>
          <w:rFonts w:hint="eastAsia" w:ascii="仿宋" w:hAnsi="仿宋" w:eastAsia="仿宋"/>
          <w:color w:val="auto"/>
          <w:sz w:val="32"/>
          <w:szCs w:val="32"/>
          <w:highlight w:val="none"/>
          <w:lang w:val="en-US" w:eastAsia="zh-CN"/>
        </w:rPr>
        <w:t>4630.89</w:t>
      </w:r>
      <w:r>
        <w:rPr>
          <w:rFonts w:hint="eastAsia" w:ascii="仿宋" w:hAnsi="仿宋" w:eastAsia="仿宋"/>
          <w:color w:val="auto"/>
          <w:sz w:val="32"/>
          <w:szCs w:val="32"/>
          <w:highlight w:val="none"/>
        </w:rPr>
        <w:t>万元，其中：基本支出</w:t>
      </w:r>
      <w:r>
        <w:rPr>
          <w:rFonts w:hint="eastAsia" w:ascii="仿宋" w:hAnsi="仿宋" w:eastAsia="仿宋"/>
          <w:color w:val="auto"/>
          <w:sz w:val="32"/>
          <w:szCs w:val="32"/>
          <w:highlight w:val="none"/>
          <w:lang w:val="en-US" w:eastAsia="zh-CN"/>
        </w:rPr>
        <w:t>3043.56</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65.72</w:t>
      </w:r>
      <w:r>
        <w:rPr>
          <w:rFonts w:ascii="仿宋" w:hAnsi="仿宋" w:eastAsia="仿宋"/>
          <w:color w:val="auto"/>
          <w:sz w:val="32"/>
          <w:szCs w:val="32"/>
          <w:highlight w:val="none"/>
        </w:rPr>
        <w:t>%</w:t>
      </w:r>
      <w:r>
        <w:rPr>
          <w:rFonts w:hint="eastAsia" w:ascii="仿宋" w:hAnsi="仿宋" w:eastAsia="仿宋"/>
          <w:color w:val="auto"/>
          <w:sz w:val="32"/>
          <w:szCs w:val="32"/>
          <w:highlight w:val="none"/>
        </w:rPr>
        <w:t>；项目支出</w:t>
      </w:r>
      <w:r>
        <w:rPr>
          <w:rFonts w:hint="eastAsia" w:ascii="仿宋" w:hAnsi="仿宋" w:eastAsia="仿宋"/>
          <w:color w:val="auto"/>
          <w:sz w:val="32"/>
          <w:szCs w:val="32"/>
          <w:highlight w:val="none"/>
          <w:lang w:val="en-US" w:eastAsia="zh-CN"/>
        </w:rPr>
        <w:t>1587.33</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34.28</w:t>
      </w:r>
      <w:r>
        <w:rPr>
          <w:rFonts w:ascii="仿宋" w:hAnsi="仿宋" w:eastAsia="仿宋"/>
          <w:color w:val="auto"/>
          <w:sz w:val="32"/>
          <w:szCs w:val="32"/>
          <w:highlight w:val="none"/>
        </w:rPr>
        <w:t>%</w:t>
      </w:r>
      <w:r>
        <w:rPr>
          <w:rFonts w:hint="eastAsia" w:ascii="仿宋" w:hAnsi="仿宋" w:eastAsia="仿宋"/>
          <w:color w:val="auto"/>
          <w:sz w:val="32"/>
          <w:szCs w:val="32"/>
          <w:highlight w:val="none"/>
        </w:rPr>
        <w:t>；上缴上级支出</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；经营支出</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；对附属单位补助支出</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p>
    <w:p w14:paraId="3470F513">
      <w:pPr>
        <w:spacing w:line="600" w:lineRule="exact"/>
        <w:ind w:firstLine="640"/>
        <w:rPr>
          <w:rFonts w:ascii="仿宋" w:hAnsi="仿宋" w:eastAsia="仿宋"/>
          <w:color w:val="auto"/>
          <w:sz w:val="32"/>
          <w:szCs w:val="32"/>
          <w:highlight w:val="none"/>
          <w:shd w:val="pct10" w:color="auto" w:fill="FFFFFF"/>
        </w:rPr>
      </w:pPr>
    </w:p>
    <w:p w14:paraId="5E6C6856">
      <w:pPr>
        <w:spacing w:line="600" w:lineRule="exact"/>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（图3：支出决算结构图）（饼状图）</w:t>
      </w:r>
    </w:p>
    <w:p w14:paraId="67B211E5">
      <w:pPr>
        <w:pStyle w:val="6"/>
        <w:rPr>
          <w:rFonts w:hint="eastAsia" w:eastAsia="仿宋"/>
          <w:lang w:eastAsia="zh-CN"/>
        </w:rPr>
      </w:pPr>
      <w:r>
        <w:rPr>
          <w:rFonts w:hint="eastAsia" w:eastAsia="仿宋"/>
          <w:lang w:eastAsia="zh-CN"/>
        </w:rPr>
        <w:drawing>
          <wp:inline distT="0" distB="0" distL="114300" distR="114300">
            <wp:extent cx="5080000" cy="3810000"/>
            <wp:effectExtent l="4445" t="4445" r="20955" b="14605"/>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51B43DC">
      <w:pPr>
        <w:spacing w:line="600" w:lineRule="exact"/>
        <w:ind w:firstLine="640" w:firstLineChars="200"/>
        <w:rPr>
          <w:rFonts w:ascii="仿宋_GB2312" w:eastAsia="仿宋_GB2312"/>
          <w:color w:val="auto"/>
          <w:sz w:val="32"/>
          <w:szCs w:val="32"/>
          <w:highlight w:val="none"/>
        </w:rPr>
      </w:pPr>
    </w:p>
    <w:p w14:paraId="33DF1CA2">
      <w:pPr>
        <w:spacing w:line="600" w:lineRule="exact"/>
        <w:ind w:firstLine="640" w:firstLineChars="200"/>
        <w:outlineLvl w:val="1"/>
        <w:rPr>
          <w:rStyle w:val="27"/>
          <w:rFonts w:ascii="黑体" w:hAnsi="黑体" w:eastAsia="黑体"/>
          <w:b w:val="0"/>
          <w:color w:val="auto"/>
          <w:highlight w:val="none"/>
        </w:rPr>
      </w:pPr>
      <w:bookmarkStart w:id="24" w:name="_Toc15377208"/>
      <w:bookmarkStart w:id="25" w:name="_Toc15396606"/>
      <w:r>
        <w:rPr>
          <w:rFonts w:hint="eastAsia" w:ascii="黑体" w:hAnsi="黑体" w:eastAsia="黑体"/>
          <w:color w:val="auto"/>
          <w:sz w:val="32"/>
          <w:szCs w:val="32"/>
          <w:highlight w:val="none"/>
        </w:rPr>
        <w:t>四、财</w:t>
      </w:r>
      <w:r>
        <w:rPr>
          <w:rStyle w:val="27"/>
          <w:rFonts w:hint="eastAsia" w:ascii="黑体" w:hAnsi="黑体" w:eastAsia="黑体"/>
          <w:b w:val="0"/>
          <w:color w:val="auto"/>
          <w:highlight w:val="none"/>
        </w:rPr>
        <w:t>政拨款收入支出决算总体情况说明</w:t>
      </w:r>
      <w:bookmarkEnd w:id="24"/>
      <w:bookmarkEnd w:id="25"/>
    </w:p>
    <w:p w14:paraId="6D9E16A3">
      <w:pPr>
        <w:spacing w:line="600" w:lineRule="exact"/>
        <w:ind w:firstLine="640"/>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年财政拨款收、支总计</w:t>
      </w:r>
      <w:r>
        <w:rPr>
          <w:rFonts w:hint="eastAsia" w:ascii="仿宋" w:hAnsi="仿宋" w:eastAsia="仿宋"/>
          <w:color w:val="auto"/>
          <w:sz w:val="32"/>
          <w:szCs w:val="32"/>
          <w:highlight w:val="none"/>
          <w:lang w:val="en-US" w:eastAsia="zh-CN"/>
        </w:rPr>
        <w:t>3159.11</w:t>
      </w:r>
      <w:r>
        <w:rPr>
          <w:rFonts w:hint="eastAsia" w:ascii="仿宋" w:hAnsi="仿宋" w:eastAsia="仿宋"/>
          <w:color w:val="auto"/>
          <w:sz w:val="32"/>
          <w:szCs w:val="32"/>
          <w:highlight w:val="none"/>
        </w:rPr>
        <w:t>万元。与</w:t>
      </w: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20</w:t>
      </w:r>
      <w:r>
        <w:rPr>
          <w:rFonts w:hint="eastAsia" w:ascii="仿宋" w:hAnsi="仿宋" w:eastAsia="仿宋"/>
          <w:color w:val="auto"/>
          <w:sz w:val="32"/>
          <w:szCs w:val="32"/>
          <w:highlight w:val="none"/>
        </w:rPr>
        <w:t>年相比，财政拨款收、支总计增加</w:t>
      </w:r>
      <w:r>
        <w:rPr>
          <w:rFonts w:hint="eastAsia" w:ascii="仿宋" w:hAnsi="仿宋" w:eastAsia="仿宋"/>
          <w:color w:val="auto"/>
          <w:sz w:val="32"/>
          <w:szCs w:val="32"/>
          <w:highlight w:val="none"/>
          <w:lang w:val="en-US" w:eastAsia="zh-CN"/>
        </w:rPr>
        <w:t>184.35</w:t>
      </w:r>
      <w:r>
        <w:rPr>
          <w:rFonts w:hint="eastAsia" w:ascii="仿宋" w:hAnsi="仿宋" w:eastAsia="仿宋"/>
          <w:color w:val="auto"/>
          <w:sz w:val="32"/>
          <w:szCs w:val="32"/>
          <w:highlight w:val="none"/>
        </w:rPr>
        <w:t>万元，增长</w:t>
      </w:r>
      <w:r>
        <w:rPr>
          <w:rFonts w:hint="eastAsia" w:ascii="仿宋" w:hAnsi="仿宋" w:eastAsia="仿宋"/>
          <w:color w:val="auto"/>
          <w:sz w:val="32"/>
          <w:szCs w:val="32"/>
          <w:highlight w:val="none"/>
          <w:lang w:val="en-US" w:eastAsia="zh-CN"/>
        </w:rPr>
        <w:t>6.20</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eastAsia="zh-CN"/>
        </w:rPr>
        <w:t>公共安全支出中的行政运行较</w:t>
      </w:r>
      <w:r>
        <w:rPr>
          <w:rFonts w:hint="eastAsia" w:ascii="仿宋" w:hAnsi="仿宋" w:eastAsia="仿宋"/>
          <w:color w:val="auto"/>
          <w:sz w:val="32"/>
          <w:szCs w:val="32"/>
          <w:highlight w:val="none"/>
          <w:lang w:val="en-US" w:eastAsia="zh-CN"/>
        </w:rPr>
        <w:t>2020年有所增长。</w:t>
      </w:r>
    </w:p>
    <w:p w14:paraId="5EF84B36">
      <w:pPr>
        <w:spacing w:line="600" w:lineRule="exact"/>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（图4：财政拨款收、支决算总计变动情况）（柱状图）</w:t>
      </w:r>
    </w:p>
    <w:p w14:paraId="7E0C5C73">
      <w:pPr>
        <w:pStyle w:val="6"/>
        <w:rPr>
          <w:rFonts w:hint="eastAsia" w:eastAsia="仿宋"/>
          <w:lang w:eastAsia="zh-CN"/>
        </w:rPr>
      </w:pPr>
      <w:r>
        <w:rPr>
          <w:rFonts w:hint="eastAsia" w:eastAsia="仿宋"/>
          <w:lang w:eastAsia="zh-CN"/>
        </w:rPr>
        <w:drawing>
          <wp:inline distT="0" distB="0" distL="114300" distR="114300">
            <wp:extent cx="5080000" cy="3810000"/>
            <wp:effectExtent l="4445" t="4445" r="20955" b="14605"/>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73AD2F3">
      <w:pPr>
        <w:spacing w:line="600" w:lineRule="exact"/>
        <w:ind w:firstLine="640"/>
        <w:rPr>
          <w:rFonts w:ascii="仿宋" w:hAnsi="仿宋" w:eastAsia="仿宋"/>
          <w:b/>
          <w:color w:val="auto"/>
          <w:sz w:val="32"/>
          <w:szCs w:val="32"/>
          <w:highlight w:val="none"/>
        </w:rPr>
      </w:pPr>
    </w:p>
    <w:p w14:paraId="2B6DD389">
      <w:pPr>
        <w:spacing w:line="600" w:lineRule="exact"/>
        <w:ind w:firstLine="640" w:firstLineChars="200"/>
        <w:outlineLvl w:val="1"/>
        <w:rPr>
          <w:rStyle w:val="27"/>
          <w:rFonts w:ascii="黑体" w:hAnsi="黑体" w:eastAsia="黑体"/>
          <w:b w:val="0"/>
          <w:color w:val="auto"/>
          <w:highlight w:val="none"/>
        </w:rPr>
      </w:pPr>
      <w:bookmarkStart w:id="26" w:name="_Toc15396607"/>
      <w:bookmarkStart w:id="27" w:name="_Toc15377209"/>
      <w:r>
        <w:rPr>
          <w:rFonts w:hint="eastAsia" w:ascii="黑体" w:hAnsi="黑体" w:eastAsia="黑体"/>
          <w:color w:val="auto"/>
          <w:sz w:val="32"/>
          <w:szCs w:val="32"/>
          <w:highlight w:val="none"/>
        </w:rPr>
        <w:t>五、</w:t>
      </w:r>
      <w:r>
        <w:rPr>
          <w:rFonts w:hint="eastAsia" w:ascii="黑体" w:hAnsi="黑体" w:eastAsia="黑体"/>
          <w:b/>
          <w:color w:val="auto"/>
          <w:sz w:val="32"/>
          <w:szCs w:val="32"/>
          <w:highlight w:val="none"/>
        </w:rPr>
        <w:t>一</w:t>
      </w:r>
      <w:r>
        <w:rPr>
          <w:rStyle w:val="27"/>
          <w:rFonts w:hint="eastAsia" w:ascii="黑体" w:hAnsi="黑体" w:eastAsia="黑体"/>
          <w:b w:val="0"/>
          <w:color w:val="auto"/>
          <w:highlight w:val="none"/>
        </w:rPr>
        <w:t>般公共预算财政拨款支出决算情况说明</w:t>
      </w:r>
      <w:bookmarkEnd w:id="26"/>
      <w:bookmarkEnd w:id="27"/>
    </w:p>
    <w:p w14:paraId="6F7263B5">
      <w:pPr>
        <w:spacing w:line="600" w:lineRule="exact"/>
        <w:ind w:firstLine="643" w:firstLineChars="200"/>
        <w:outlineLvl w:val="2"/>
        <w:rPr>
          <w:rFonts w:ascii="仿宋" w:hAnsi="仿宋" w:eastAsia="仿宋"/>
          <w:b/>
          <w:color w:val="auto"/>
          <w:sz w:val="32"/>
          <w:szCs w:val="32"/>
          <w:highlight w:val="none"/>
        </w:rPr>
      </w:pPr>
      <w:bookmarkStart w:id="28" w:name="_Toc15377210"/>
      <w:r>
        <w:rPr>
          <w:rFonts w:hint="eastAsia" w:ascii="仿宋" w:hAnsi="仿宋" w:eastAsia="仿宋"/>
          <w:b/>
          <w:color w:val="auto"/>
          <w:sz w:val="32"/>
          <w:szCs w:val="32"/>
          <w:highlight w:val="none"/>
        </w:rPr>
        <w:t>（一）一般公共预算财政拨款支出决算总体情况</w:t>
      </w:r>
      <w:bookmarkEnd w:id="28"/>
    </w:p>
    <w:p w14:paraId="75AE6E72">
      <w:pPr>
        <w:spacing w:line="60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年一般公共预算财政拨款支出</w:t>
      </w:r>
      <w:r>
        <w:rPr>
          <w:rFonts w:hint="eastAsia" w:ascii="仿宋" w:hAnsi="仿宋" w:eastAsia="仿宋"/>
          <w:color w:val="auto"/>
          <w:sz w:val="32"/>
          <w:szCs w:val="32"/>
          <w:highlight w:val="none"/>
          <w:lang w:val="en-US" w:eastAsia="zh-CN"/>
        </w:rPr>
        <w:t>3243.97</w:t>
      </w:r>
      <w:r>
        <w:rPr>
          <w:rFonts w:hint="eastAsia" w:ascii="仿宋" w:hAnsi="仿宋" w:eastAsia="仿宋"/>
          <w:color w:val="auto"/>
          <w:sz w:val="32"/>
          <w:szCs w:val="32"/>
          <w:highlight w:val="none"/>
        </w:rPr>
        <w:t>万元，占本年支出合计的</w:t>
      </w:r>
      <w:r>
        <w:rPr>
          <w:rFonts w:hint="eastAsia" w:ascii="仿宋" w:hAnsi="仿宋" w:eastAsia="仿宋"/>
          <w:color w:val="auto"/>
          <w:sz w:val="32"/>
          <w:szCs w:val="32"/>
          <w:highlight w:val="none"/>
          <w:lang w:val="en-US" w:eastAsia="zh-CN"/>
        </w:rPr>
        <w:t>70.05</w:t>
      </w:r>
      <w:r>
        <w:rPr>
          <w:rFonts w:ascii="仿宋" w:hAnsi="仿宋" w:eastAsia="仿宋"/>
          <w:color w:val="auto"/>
          <w:sz w:val="32"/>
          <w:szCs w:val="32"/>
          <w:highlight w:val="none"/>
        </w:rPr>
        <w:t>%</w:t>
      </w:r>
      <w:r>
        <w:rPr>
          <w:rFonts w:hint="eastAsia" w:ascii="仿宋" w:hAnsi="仿宋" w:eastAsia="仿宋"/>
          <w:color w:val="auto"/>
          <w:sz w:val="32"/>
          <w:szCs w:val="32"/>
          <w:highlight w:val="none"/>
        </w:rPr>
        <w:t>。与</w:t>
      </w: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20</w:t>
      </w:r>
      <w:r>
        <w:rPr>
          <w:rFonts w:hint="eastAsia" w:ascii="仿宋" w:hAnsi="仿宋" w:eastAsia="仿宋"/>
          <w:color w:val="auto"/>
          <w:sz w:val="32"/>
          <w:szCs w:val="32"/>
          <w:highlight w:val="none"/>
        </w:rPr>
        <w:t>年相比，一般公共预算财政拨款</w:t>
      </w:r>
      <w:r>
        <w:rPr>
          <w:rFonts w:hint="eastAsia" w:ascii="仿宋" w:hAnsi="仿宋" w:eastAsia="仿宋"/>
          <w:color w:val="auto"/>
          <w:sz w:val="32"/>
          <w:szCs w:val="32"/>
          <w:highlight w:val="none"/>
          <w:lang w:eastAsia="zh-CN"/>
        </w:rPr>
        <w:t>支出</w:t>
      </w:r>
      <w:r>
        <w:rPr>
          <w:rFonts w:hint="eastAsia" w:ascii="仿宋" w:hAnsi="仿宋" w:eastAsia="仿宋"/>
          <w:color w:val="auto"/>
          <w:sz w:val="32"/>
          <w:szCs w:val="32"/>
          <w:highlight w:val="none"/>
        </w:rPr>
        <w:t>增加</w:t>
      </w:r>
      <w:r>
        <w:rPr>
          <w:rFonts w:hint="eastAsia" w:ascii="仿宋" w:hAnsi="仿宋" w:eastAsia="仿宋"/>
          <w:color w:val="auto"/>
          <w:sz w:val="32"/>
          <w:szCs w:val="32"/>
          <w:highlight w:val="none"/>
          <w:lang w:val="en-US" w:eastAsia="zh-CN"/>
        </w:rPr>
        <w:t>259.57</w:t>
      </w:r>
      <w:r>
        <w:rPr>
          <w:rFonts w:hint="eastAsia" w:ascii="仿宋" w:hAnsi="仿宋" w:eastAsia="仿宋"/>
          <w:color w:val="auto"/>
          <w:sz w:val="32"/>
          <w:szCs w:val="32"/>
          <w:highlight w:val="none"/>
        </w:rPr>
        <w:t>万元，增长</w:t>
      </w:r>
      <w:r>
        <w:rPr>
          <w:rFonts w:hint="eastAsia" w:ascii="仿宋" w:hAnsi="仿宋" w:eastAsia="仿宋"/>
          <w:color w:val="auto"/>
          <w:sz w:val="32"/>
          <w:szCs w:val="32"/>
          <w:highlight w:val="none"/>
          <w:lang w:val="en-US" w:eastAsia="zh-CN"/>
        </w:rPr>
        <w:t>8.70</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eastAsia="zh-CN"/>
        </w:rPr>
        <w:t>公共安全支出较</w:t>
      </w:r>
      <w:r>
        <w:rPr>
          <w:rFonts w:hint="eastAsia" w:ascii="仿宋" w:hAnsi="仿宋" w:eastAsia="仿宋"/>
          <w:color w:val="auto"/>
          <w:sz w:val="32"/>
          <w:szCs w:val="32"/>
          <w:highlight w:val="none"/>
          <w:lang w:val="en-US" w:eastAsia="zh-CN"/>
        </w:rPr>
        <w:t>2020年有所增长。</w:t>
      </w:r>
    </w:p>
    <w:p w14:paraId="5BA216E9">
      <w:pPr>
        <w:spacing w:line="600" w:lineRule="exact"/>
        <w:ind w:firstLine="640" w:firstLineChars="200"/>
        <w:rPr>
          <w:rFonts w:ascii="仿宋" w:hAnsi="仿宋" w:eastAsia="仿宋"/>
          <w:color w:val="auto"/>
          <w:sz w:val="32"/>
          <w:szCs w:val="32"/>
          <w:highlight w:val="none"/>
        </w:rPr>
      </w:pPr>
    </w:p>
    <w:p w14:paraId="2B2385E6">
      <w:pPr>
        <w:spacing w:line="600" w:lineRule="exact"/>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（图5：一般公共预算财政拨款支出决算变动情况）（柱状图）</w:t>
      </w:r>
    </w:p>
    <w:p w14:paraId="11E2D73C">
      <w:pPr>
        <w:pStyle w:val="6"/>
        <w:rPr>
          <w:rFonts w:hint="eastAsia" w:eastAsia="仿宋"/>
          <w:lang w:eastAsia="zh-CN"/>
        </w:rPr>
      </w:pPr>
      <w:r>
        <w:rPr>
          <w:rFonts w:hint="eastAsia" w:eastAsia="仿宋"/>
          <w:lang w:eastAsia="zh-CN"/>
        </w:rPr>
        <w:drawing>
          <wp:inline distT="0" distB="0" distL="114300" distR="114300">
            <wp:extent cx="5080000" cy="3810000"/>
            <wp:effectExtent l="4445" t="4445" r="20955" b="1460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924E3FD">
      <w:pPr>
        <w:spacing w:line="600" w:lineRule="exact"/>
        <w:ind w:firstLine="640" w:firstLineChars="200"/>
        <w:rPr>
          <w:rFonts w:ascii="仿宋" w:hAnsi="仿宋" w:eastAsia="仿宋"/>
          <w:color w:val="auto"/>
          <w:sz w:val="32"/>
          <w:szCs w:val="32"/>
          <w:highlight w:val="none"/>
        </w:rPr>
      </w:pPr>
    </w:p>
    <w:p w14:paraId="175EBB42">
      <w:pPr>
        <w:spacing w:line="600" w:lineRule="exact"/>
        <w:ind w:firstLine="643" w:firstLineChars="200"/>
        <w:outlineLvl w:val="2"/>
        <w:rPr>
          <w:rFonts w:ascii="仿宋" w:hAnsi="仿宋" w:eastAsia="仿宋"/>
          <w:b/>
          <w:color w:val="auto"/>
          <w:sz w:val="32"/>
          <w:szCs w:val="32"/>
          <w:highlight w:val="none"/>
        </w:rPr>
      </w:pPr>
      <w:bookmarkStart w:id="29" w:name="_Toc15377211"/>
      <w:r>
        <w:rPr>
          <w:rFonts w:hint="eastAsia" w:ascii="仿宋" w:hAnsi="仿宋" w:eastAsia="仿宋"/>
          <w:b/>
          <w:color w:val="auto"/>
          <w:sz w:val="32"/>
          <w:szCs w:val="32"/>
          <w:highlight w:val="none"/>
        </w:rPr>
        <w:t>（二）一般公共预算财政拨款支出决算结构情况</w:t>
      </w:r>
      <w:bookmarkEnd w:id="29"/>
    </w:p>
    <w:p w14:paraId="143F3E02">
      <w:pPr>
        <w:spacing w:line="600" w:lineRule="exact"/>
        <w:ind w:firstLine="640"/>
        <w:rPr>
          <w:rFonts w:hint="eastAsia" w:ascii="仿宋" w:hAnsi="仿宋" w:eastAsia="仿宋"/>
          <w:b/>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年一般公共预算财政拨款支出</w:t>
      </w:r>
      <w:r>
        <w:rPr>
          <w:rFonts w:hint="eastAsia" w:ascii="仿宋" w:hAnsi="仿宋" w:eastAsia="仿宋"/>
          <w:color w:val="auto"/>
          <w:sz w:val="32"/>
          <w:szCs w:val="32"/>
          <w:highlight w:val="none"/>
          <w:lang w:val="en-US" w:eastAsia="zh-CN"/>
        </w:rPr>
        <w:t>3243.97</w:t>
      </w:r>
      <w:r>
        <w:rPr>
          <w:rFonts w:hint="eastAsia" w:ascii="仿宋" w:hAnsi="仿宋" w:eastAsia="仿宋"/>
          <w:color w:val="auto"/>
          <w:sz w:val="32"/>
          <w:szCs w:val="32"/>
          <w:highlight w:val="none"/>
        </w:rPr>
        <w:t>万元，主要用于以下方面</w:t>
      </w:r>
      <w:r>
        <w:rPr>
          <w:rFonts w:ascii="仿宋" w:hAnsi="仿宋" w:eastAsia="仿宋"/>
          <w:color w:val="auto"/>
          <w:sz w:val="32"/>
          <w:szCs w:val="32"/>
          <w:highlight w:val="none"/>
        </w:rPr>
        <w:t>:</w:t>
      </w:r>
      <w:r>
        <w:rPr>
          <w:rFonts w:hint="eastAsia" w:ascii="仿宋" w:hAnsi="仿宋" w:eastAsia="仿宋"/>
          <w:b/>
          <w:color w:val="auto"/>
          <w:sz w:val="32"/>
          <w:szCs w:val="32"/>
          <w:highlight w:val="none"/>
          <w:lang w:eastAsia="zh-CN"/>
        </w:rPr>
        <w:t>公共安全支出</w:t>
      </w:r>
      <w:r>
        <w:rPr>
          <w:rFonts w:hint="eastAsia" w:ascii="仿宋" w:hAnsi="仿宋" w:eastAsia="仿宋"/>
          <w:b/>
          <w:color w:val="auto"/>
          <w:sz w:val="32"/>
          <w:szCs w:val="32"/>
          <w:highlight w:val="none"/>
        </w:rPr>
        <w:t>（类）</w:t>
      </w:r>
      <w:r>
        <w:rPr>
          <w:rFonts w:hint="eastAsia" w:ascii="仿宋" w:hAnsi="仿宋" w:eastAsia="仿宋"/>
          <w:color w:val="auto"/>
          <w:sz w:val="32"/>
          <w:szCs w:val="32"/>
          <w:highlight w:val="none"/>
        </w:rPr>
        <w:t>支出</w:t>
      </w:r>
      <w:r>
        <w:rPr>
          <w:rFonts w:hint="eastAsia" w:ascii="仿宋" w:hAnsi="仿宋" w:eastAsia="仿宋"/>
          <w:color w:val="auto"/>
          <w:sz w:val="32"/>
          <w:szCs w:val="32"/>
          <w:highlight w:val="none"/>
          <w:lang w:val="en-US" w:eastAsia="zh-CN"/>
        </w:rPr>
        <w:t>2775.34</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85.56</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color w:val="auto"/>
          <w:sz w:val="32"/>
          <w:szCs w:val="32"/>
          <w:highlight w:val="none"/>
        </w:rPr>
        <w:t>社会保障和就业（类）</w:t>
      </w:r>
      <w:r>
        <w:rPr>
          <w:rFonts w:hint="eastAsia" w:ascii="仿宋" w:hAnsi="仿宋" w:eastAsia="仿宋"/>
          <w:color w:val="auto"/>
          <w:sz w:val="32"/>
          <w:szCs w:val="32"/>
          <w:highlight w:val="none"/>
        </w:rPr>
        <w:t>支出</w:t>
      </w:r>
      <w:r>
        <w:rPr>
          <w:rFonts w:hint="eastAsia" w:ascii="仿宋" w:hAnsi="仿宋" w:eastAsia="仿宋"/>
          <w:color w:val="auto"/>
          <w:sz w:val="32"/>
          <w:szCs w:val="32"/>
          <w:highlight w:val="none"/>
          <w:lang w:val="en-US" w:eastAsia="zh-CN"/>
        </w:rPr>
        <w:t>170.05</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5.24</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rPr>
        <w:t>卫生健康支出</w:t>
      </w:r>
      <w:r>
        <w:rPr>
          <w:rFonts w:hint="eastAsia" w:ascii="仿宋" w:hAnsi="仿宋" w:eastAsia="仿宋"/>
          <w:color w:val="auto"/>
          <w:sz w:val="32"/>
          <w:szCs w:val="32"/>
          <w:highlight w:val="none"/>
          <w:lang w:val="en-US" w:eastAsia="zh-CN"/>
        </w:rPr>
        <w:t>101.11</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3.12</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color w:val="auto"/>
          <w:sz w:val="32"/>
          <w:szCs w:val="32"/>
          <w:highlight w:val="none"/>
        </w:rPr>
        <w:t>住房保障支出</w:t>
      </w:r>
      <w:r>
        <w:rPr>
          <w:rFonts w:hint="eastAsia" w:ascii="仿宋" w:hAnsi="仿宋" w:eastAsia="仿宋"/>
          <w:color w:val="auto"/>
          <w:sz w:val="32"/>
          <w:szCs w:val="32"/>
          <w:highlight w:val="none"/>
          <w:lang w:val="en-US" w:eastAsia="zh-CN"/>
        </w:rPr>
        <w:t>197.22</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6.08</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p>
    <w:p w14:paraId="15515136">
      <w:pPr>
        <w:spacing w:line="600" w:lineRule="exact"/>
        <w:ind w:firstLine="640"/>
        <w:rPr>
          <w:rFonts w:ascii="仿宋" w:hAnsi="仿宋" w:eastAsia="仿宋"/>
          <w:color w:val="auto"/>
          <w:sz w:val="32"/>
          <w:szCs w:val="32"/>
          <w:highlight w:val="none"/>
        </w:rPr>
      </w:pPr>
    </w:p>
    <w:p w14:paraId="3A1541BF">
      <w:pPr>
        <w:spacing w:line="600" w:lineRule="exact"/>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（图6：一般公共预算财政拨款支出决算结构）（饼状图）</w:t>
      </w:r>
    </w:p>
    <w:p w14:paraId="0E2EC6BC">
      <w:pPr>
        <w:pStyle w:val="6"/>
        <w:rPr>
          <w:rFonts w:hint="eastAsia" w:eastAsia="仿宋"/>
          <w:lang w:eastAsia="zh-CN"/>
        </w:rPr>
      </w:pPr>
      <w:r>
        <w:rPr>
          <w:rFonts w:hint="eastAsia" w:eastAsia="仿宋"/>
          <w:lang w:eastAsia="zh-CN"/>
        </w:rPr>
        <w:drawing>
          <wp:inline distT="0" distB="0" distL="114300" distR="114300">
            <wp:extent cx="5080000" cy="3810000"/>
            <wp:effectExtent l="4445" t="4445" r="20955" b="14605"/>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79DF647">
      <w:pPr>
        <w:spacing w:line="600" w:lineRule="exact"/>
        <w:ind w:firstLine="640" w:firstLineChars="200"/>
        <w:rPr>
          <w:rFonts w:ascii="仿宋" w:hAnsi="仿宋" w:eastAsia="仿宋"/>
          <w:color w:val="auto"/>
          <w:sz w:val="32"/>
          <w:szCs w:val="32"/>
          <w:highlight w:val="none"/>
        </w:rPr>
      </w:pPr>
    </w:p>
    <w:p w14:paraId="03C27561">
      <w:pPr>
        <w:spacing w:line="600" w:lineRule="exact"/>
        <w:ind w:firstLine="643" w:firstLineChars="200"/>
        <w:outlineLvl w:val="2"/>
        <w:rPr>
          <w:rFonts w:ascii="仿宋" w:hAnsi="仿宋" w:eastAsia="仿宋"/>
          <w:b/>
          <w:color w:val="auto"/>
          <w:sz w:val="32"/>
          <w:szCs w:val="32"/>
          <w:highlight w:val="none"/>
        </w:rPr>
      </w:pPr>
      <w:bookmarkStart w:id="30" w:name="_Toc15377212"/>
      <w:r>
        <w:rPr>
          <w:rFonts w:hint="eastAsia" w:ascii="仿宋" w:hAnsi="仿宋" w:eastAsia="仿宋"/>
          <w:b/>
          <w:color w:val="auto"/>
          <w:sz w:val="32"/>
          <w:szCs w:val="32"/>
          <w:highlight w:val="none"/>
        </w:rPr>
        <w:t>（三）一般公共预算财政拨款支出决算具体情况</w:t>
      </w:r>
      <w:bookmarkEnd w:id="30"/>
    </w:p>
    <w:p w14:paraId="5075CFC3">
      <w:pPr>
        <w:spacing w:line="600" w:lineRule="exact"/>
        <w:ind w:firstLine="643" w:firstLineChars="200"/>
        <w:outlineLvl w:val="2"/>
        <w:rPr>
          <w:rFonts w:ascii="仿宋" w:hAnsi="仿宋" w:eastAsia="仿宋"/>
          <w:color w:val="auto"/>
          <w:sz w:val="32"/>
          <w:szCs w:val="32"/>
          <w:highlight w:val="none"/>
        </w:rPr>
      </w:pPr>
      <w:bookmarkStart w:id="31" w:name="_Toc15378460"/>
      <w:bookmarkStart w:id="32" w:name="_Toc15377213"/>
      <w:bookmarkStart w:id="33" w:name="_Toc15377444"/>
      <w:r>
        <w:rPr>
          <w:rFonts w:hint="eastAsia" w:ascii="仿宋" w:hAnsi="仿宋" w:eastAsia="仿宋"/>
          <w:b/>
          <w:color w:val="auto"/>
          <w:sz w:val="32"/>
          <w:szCs w:val="32"/>
          <w:highlight w:val="none"/>
        </w:rPr>
        <w:t>20</w:t>
      </w:r>
      <w:r>
        <w:rPr>
          <w:rFonts w:hint="eastAsia" w:ascii="仿宋" w:hAnsi="仿宋" w:eastAsia="仿宋"/>
          <w:b/>
          <w:color w:val="auto"/>
          <w:sz w:val="32"/>
          <w:szCs w:val="32"/>
          <w:highlight w:val="none"/>
          <w:lang w:val="en-US" w:eastAsia="zh-CN"/>
        </w:rPr>
        <w:t>21</w:t>
      </w:r>
      <w:r>
        <w:rPr>
          <w:rFonts w:hint="eastAsia" w:ascii="仿宋" w:hAnsi="仿宋" w:eastAsia="仿宋"/>
          <w:b/>
          <w:color w:val="auto"/>
          <w:sz w:val="32"/>
          <w:szCs w:val="32"/>
          <w:highlight w:val="none"/>
        </w:rPr>
        <w:t>年</w:t>
      </w:r>
      <w:r>
        <w:rPr>
          <w:rFonts w:hint="eastAsia" w:ascii="仿宋" w:hAnsi="仿宋" w:eastAsia="仿宋"/>
          <w:b/>
          <w:color w:val="auto"/>
          <w:sz w:val="32"/>
          <w:szCs w:val="32"/>
          <w:highlight w:val="none"/>
          <w:lang w:eastAsia="zh-CN"/>
        </w:rPr>
        <w:t>一</w:t>
      </w:r>
      <w:r>
        <w:rPr>
          <w:rFonts w:hint="eastAsia" w:ascii="仿宋" w:hAnsi="仿宋" w:eastAsia="仿宋"/>
          <w:b/>
          <w:color w:val="auto"/>
          <w:sz w:val="32"/>
          <w:szCs w:val="32"/>
          <w:highlight w:val="none"/>
        </w:rPr>
        <w:t>般公共预算支出决算数为</w:t>
      </w:r>
      <w:r>
        <w:rPr>
          <w:rFonts w:hint="eastAsia" w:ascii="仿宋" w:hAnsi="仿宋" w:eastAsia="仿宋"/>
          <w:b/>
          <w:color w:val="auto"/>
          <w:sz w:val="32"/>
          <w:szCs w:val="32"/>
          <w:highlight w:val="none"/>
          <w:lang w:val="en-US" w:eastAsia="zh-CN"/>
        </w:rPr>
        <w:t>3243.97</w:t>
      </w:r>
      <w:r>
        <w:rPr>
          <w:rFonts w:hint="eastAsia" w:ascii="仿宋" w:hAnsi="仿宋" w:eastAsia="仿宋"/>
          <w:color w:val="auto"/>
          <w:sz w:val="32"/>
          <w:szCs w:val="32"/>
          <w:highlight w:val="none"/>
        </w:rPr>
        <w:t>，</w:t>
      </w:r>
      <w:r>
        <w:rPr>
          <w:rStyle w:val="16"/>
          <w:rFonts w:hint="eastAsia" w:ascii="仿宋" w:hAnsi="仿宋" w:eastAsia="仿宋"/>
          <w:bCs/>
          <w:color w:val="auto"/>
          <w:sz w:val="32"/>
          <w:szCs w:val="32"/>
          <w:highlight w:val="none"/>
        </w:rPr>
        <w:t>完成预算</w:t>
      </w:r>
      <w:r>
        <w:rPr>
          <w:rStyle w:val="16"/>
          <w:rFonts w:hint="eastAsia" w:ascii="仿宋" w:hAnsi="仿宋" w:eastAsia="仿宋"/>
          <w:bCs/>
          <w:color w:val="auto"/>
          <w:sz w:val="32"/>
          <w:szCs w:val="32"/>
          <w:highlight w:val="none"/>
          <w:lang w:val="en-US" w:eastAsia="zh-CN"/>
        </w:rPr>
        <w:t>100</w:t>
      </w:r>
      <w:r>
        <w:rPr>
          <w:rStyle w:val="16"/>
          <w:rFonts w:ascii="仿宋" w:hAnsi="仿宋" w:eastAsia="仿宋"/>
          <w:bCs/>
          <w:color w:val="auto"/>
          <w:sz w:val="32"/>
          <w:szCs w:val="32"/>
          <w:highlight w:val="none"/>
        </w:rPr>
        <w:t>%</w:t>
      </w:r>
      <w:r>
        <w:rPr>
          <w:rStyle w:val="16"/>
          <w:rFonts w:hint="eastAsia" w:ascii="仿宋" w:hAnsi="仿宋" w:eastAsia="仿宋"/>
          <w:bCs/>
          <w:color w:val="auto"/>
          <w:sz w:val="32"/>
          <w:szCs w:val="32"/>
          <w:highlight w:val="none"/>
        </w:rPr>
        <w:t>。其中：</w:t>
      </w:r>
      <w:bookmarkEnd w:id="31"/>
      <w:bookmarkEnd w:id="32"/>
      <w:bookmarkEnd w:id="33"/>
    </w:p>
    <w:p w14:paraId="3A8B4702">
      <w:pPr>
        <w:spacing w:line="600" w:lineRule="exact"/>
        <w:ind w:firstLine="643" w:firstLineChars="200"/>
        <w:rPr>
          <w:rFonts w:ascii="仿宋" w:hAnsi="仿宋" w:eastAsia="仿宋"/>
          <w:b/>
          <w:color w:val="auto"/>
          <w:sz w:val="32"/>
          <w:szCs w:val="32"/>
          <w:highlight w:val="none"/>
        </w:rPr>
      </w:pPr>
      <w:r>
        <w:rPr>
          <w:rStyle w:val="16"/>
          <w:rFonts w:ascii="仿宋" w:hAnsi="仿宋" w:eastAsia="仿宋"/>
          <w:bCs/>
          <w:color w:val="auto"/>
          <w:sz w:val="32"/>
          <w:szCs w:val="32"/>
          <w:highlight w:val="none"/>
        </w:rPr>
        <w:t>1.</w:t>
      </w:r>
      <w:r>
        <w:rPr>
          <w:rFonts w:hint="eastAsia" w:ascii="仿宋" w:hAnsi="仿宋" w:eastAsia="仿宋"/>
          <w:b/>
          <w:color w:val="000000"/>
          <w:sz w:val="32"/>
          <w:szCs w:val="32"/>
        </w:rPr>
        <w:t>公共安全支出（类）公安（款）行政运行（项）</w:t>
      </w:r>
      <w:r>
        <w:rPr>
          <w:rStyle w:val="16"/>
          <w:rFonts w:ascii="仿宋" w:hAnsi="仿宋" w:eastAsia="仿宋"/>
          <w:bCs/>
          <w:color w:val="auto"/>
          <w:sz w:val="32"/>
          <w:szCs w:val="32"/>
          <w:highlight w:val="none"/>
        </w:rPr>
        <w:t>:</w:t>
      </w:r>
      <w:r>
        <w:rPr>
          <w:rStyle w:val="16"/>
          <w:rFonts w:ascii="仿宋" w:hAnsi="仿宋" w:eastAsia="仿宋"/>
          <w:b w:val="0"/>
          <w:bCs/>
          <w:color w:val="auto"/>
          <w:sz w:val="32"/>
          <w:szCs w:val="32"/>
          <w:highlight w:val="none"/>
        </w:rPr>
        <w:t xml:space="preserve"> </w:t>
      </w:r>
      <w:r>
        <w:rPr>
          <w:rStyle w:val="16"/>
          <w:rFonts w:hint="eastAsia" w:ascii="仿宋" w:hAnsi="仿宋" w:eastAsia="仿宋"/>
          <w:b w:val="0"/>
          <w:bCs/>
          <w:color w:val="auto"/>
          <w:sz w:val="32"/>
          <w:szCs w:val="32"/>
          <w:highlight w:val="none"/>
        </w:rPr>
        <w:t>支出决算为</w:t>
      </w:r>
      <w:r>
        <w:rPr>
          <w:rStyle w:val="16"/>
          <w:rFonts w:hint="eastAsia" w:ascii="仿宋" w:hAnsi="仿宋" w:eastAsia="仿宋"/>
          <w:b w:val="0"/>
          <w:bCs/>
          <w:color w:val="auto"/>
          <w:sz w:val="32"/>
          <w:szCs w:val="32"/>
          <w:highlight w:val="none"/>
          <w:lang w:val="en-US" w:eastAsia="zh-CN"/>
        </w:rPr>
        <w:t>2574.93</w:t>
      </w:r>
      <w:r>
        <w:rPr>
          <w:rStyle w:val="16"/>
          <w:rFonts w:hint="eastAsia" w:ascii="仿宋" w:hAnsi="仿宋" w:eastAsia="仿宋"/>
          <w:b w:val="0"/>
          <w:bCs/>
          <w:color w:val="auto"/>
          <w:sz w:val="32"/>
          <w:szCs w:val="32"/>
          <w:highlight w:val="none"/>
        </w:rPr>
        <w:t>万元，完成预算</w:t>
      </w:r>
      <w:r>
        <w:rPr>
          <w:rStyle w:val="16"/>
          <w:rFonts w:hint="eastAsia" w:ascii="仿宋" w:hAnsi="仿宋" w:eastAsia="仿宋"/>
          <w:b w:val="0"/>
          <w:bCs/>
          <w:color w:val="auto"/>
          <w:sz w:val="32"/>
          <w:szCs w:val="32"/>
          <w:highlight w:val="none"/>
          <w:lang w:val="en-US" w:eastAsia="zh-CN"/>
        </w:rPr>
        <w:t>100</w:t>
      </w:r>
      <w:r>
        <w:rPr>
          <w:rStyle w:val="16"/>
          <w:rFonts w:ascii="仿宋" w:hAnsi="仿宋" w:eastAsia="仿宋"/>
          <w:b w:val="0"/>
          <w:bCs/>
          <w:color w:val="auto"/>
          <w:sz w:val="32"/>
          <w:szCs w:val="32"/>
          <w:highlight w:val="none"/>
        </w:rPr>
        <w:t>%</w:t>
      </w:r>
      <w:r>
        <w:rPr>
          <w:rStyle w:val="16"/>
          <w:rFonts w:hint="eastAsia" w:ascii="仿宋" w:hAnsi="仿宋" w:eastAsia="仿宋"/>
          <w:b w:val="0"/>
          <w:bCs/>
          <w:color w:val="auto"/>
          <w:sz w:val="32"/>
          <w:szCs w:val="32"/>
          <w:highlight w:val="none"/>
        </w:rPr>
        <w:t>，决算数等于预算数。</w:t>
      </w:r>
    </w:p>
    <w:p w14:paraId="2E30DDB2">
      <w:pPr>
        <w:spacing w:line="600" w:lineRule="exact"/>
        <w:ind w:firstLine="643" w:firstLineChars="200"/>
        <w:rPr>
          <w:rFonts w:ascii="仿宋" w:hAnsi="仿宋" w:eastAsia="仿宋"/>
          <w:b/>
          <w:color w:val="auto"/>
          <w:sz w:val="32"/>
          <w:szCs w:val="32"/>
          <w:highlight w:val="none"/>
        </w:rPr>
      </w:pPr>
      <w:r>
        <w:rPr>
          <w:rStyle w:val="16"/>
          <w:rFonts w:ascii="仿宋" w:hAnsi="仿宋" w:eastAsia="仿宋"/>
          <w:bCs/>
          <w:color w:val="auto"/>
          <w:sz w:val="32"/>
          <w:szCs w:val="32"/>
          <w:highlight w:val="none"/>
        </w:rPr>
        <w:t>2.</w:t>
      </w:r>
      <w:r>
        <w:rPr>
          <w:rFonts w:hint="eastAsia" w:ascii="仿宋" w:hAnsi="仿宋" w:eastAsia="仿宋"/>
          <w:b/>
          <w:color w:val="000000"/>
          <w:sz w:val="32"/>
          <w:szCs w:val="32"/>
        </w:rPr>
        <w:t>公共安全支出（类）公安（款）一般行政管理事务（项）</w:t>
      </w:r>
      <w:r>
        <w:rPr>
          <w:rStyle w:val="16"/>
          <w:rFonts w:ascii="仿宋" w:hAnsi="仿宋" w:eastAsia="仿宋"/>
          <w:bCs/>
          <w:color w:val="auto"/>
          <w:sz w:val="32"/>
          <w:szCs w:val="32"/>
          <w:highlight w:val="none"/>
        </w:rPr>
        <w:t>:</w:t>
      </w:r>
      <w:r>
        <w:rPr>
          <w:rStyle w:val="16"/>
          <w:rFonts w:ascii="仿宋" w:hAnsi="仿宋" w:eastAsia="仿宋"/>
          <w:b w:val="0"/>
          <w:bCs/>
          <w:color w:val="auto"/>
          <w:sz w:val="32"/>
          <w:szCs w:val="32"/>
          <w:highlight w:val="none"/>
        </w:rPr>
        <w:t xml:space="preserve"> </w:t>
      </w:r>
      <w:r>
        <w:rPr>
          <w:rStyle w:val="16"/>
          <w:rFonts w:hint="eastAsia" w:ascii="仿宋" w:hAnsi="仿宋" w:eastAsia="仿宋"/>
          <w:b w:val="0"/>
          <w:bCs/>
          <w:color w:val="auto"/>
          <w:sz w:val="32"/>
          <w:szCs w:val="32"/>
          <w:highlight w:val="none"/>
        </w:rPr>
        <w:t>支出决算为</w:t>
      </w:r>
      <w:r>
        <w:rPr>
          <w:rStyle w:val="16"/>
          <w:rFonts w:hint="eastAsia" w:ascii="仿宋" w:hAnsi="仿宋" w:eastAsia="仿宋"/>
          <w:b w:val="0"/>
          <w:bCs/>
          <w:color w:val="auto"/>
          <w:sz w:val="32"/>
          <w:szCs w:val="32"/>
          <w:highlight w:val="none"/>
          <w:lang w:val="en-US" w:eastAsia="zh-CN"/>
        </w:rPr>
        <w:t>200.41</w:t>
      </w:r>
      <w:r>
        <w:rPr>
          <w:rStyle w:val="16"/>
          <w:rFonts w:hint="eastAsia" w:ascii="仿宋" w:hAnsi="仿宋" w:eastAsia="仿宋"/>
          <w:b w:val="0"/>
          <w:bCs/>
          <w:color w:val="auto"/>
          <w:sz w:val="32"/>
          <w:szCs w:val="32"/>
          <w:highlight w:val="none"/>
        </w:rPr>
        <w:t>万元，完成预算</w:t>
      </w:r>
      <w:r>
        <w:rPr>
          <w:rStyle w:val="16"/>
          <w:rFonts w:hint="eastAsia" w:ascii="仿宋" w:hAnsi="仿宋" w:eastAsia="仿宋"/>
          <w:b w:val="0"/>
          <w:bCs/>
          <w:color w:val="auto"/>
          <w:sz w:val="32"/>
          <w:szCs w:val="32"/>
          <w:highlight w:val="none"/>
          <w:lang w:val="en-US" w:eastAsia="zh-CN"/>
        </w:rPr>
        <w:t>100</w:t>
      </w:r>
      <w:r>
        <w:rPr>
          <w:rStyle w:val="16"/>
          <w:rFonts w:ascii="仿宋" w:hAnsi="仿宋" w:eastAsia="仿宋"/>
          <w:b w:val="0"/>
          <w:bCs/>
          <w:color w:val="auto"/>
          <w:sz w:val="32"/>
          <w:szCs w:val="32"/>
          <w:highlight w:val="none"/>
        </w:rPr>
        <w:t>%</w:t>
      </w:r>
      <w:r>
        <w:rPr>
          <w:rStyle w:val="16"/>
          <w:rFonts w:hint="eastAsia" w:ascii="仿宋" w:hAnsi="仿宋" w:eastAsia="仿宋"/>
          <w:b w:val="0"/>
          <w:bCs/>
          <w:color w:val="auto"/>
          <w:sz w:val="32"/>
          <w:szCs w:val="32"/>
          <w:highlight w:val="none"/>
        </w:rPr>
        <w:t>，决算数等于预算数。</w:t>
      </w:r>
    </w:p>
    <w:p w14:paraId="76D667DF">
      <w:pPr>
        <w:spacing w:line="600" w:lineRule="exact"/>
        <w:ind w:firstLine="643" w:firstLineChars="200"/>
        <w:rPr>
          <w:rFonts w:ascii="仿宋" w:hAnsi="仿宋" w:eastAsia="仿宋"/>
          <w:b/>
          <w:color w:val="auto"/>
          <w:sz w:val="32"/>
          <w:szCs w:val="32"/>
          <w:highlight w:val="none"/>
        </w:rPr>
      </w:pPr>
      <w:r>
        <w:rPr>
          <w:rStyle w:val="16"/>
          <w:rFonts w:ascii="仿宋" w:hAnsi="仿宋" w:eastAsia="仿宋"/>
          <w:bCs/>
          <w:color w:val="auto"/>
          <w:sz w:val="32"/>
          <w:szCs w:val="32"/>
          <w:highlight w:val="none"/>
        </w:rPr>
        <w:t>3.</w:t>
      </w:r>
      <w:r>
        <w:rPr>
          <w:rFonts w:hint="eastAsia" w:ascii="仿宋" w:hAnsi="仿宋" w:eastAsia="仿宋"/>
          <w:b/>
          <w:color w:val="000000"/>
          <w:sz w:val="32"/>
          <w:szCs w:val="32"/>
        </w:rPr>
        <w:t>社会保障和就业（类）行政事业单位养老支出（款）行政单位离退休（项）</w:t>
      </w:r>
      <w:r>
        <w:rPr>
          <w:rStyle w:val="16"/>
          <w:rFonts w:ascii="仿宋" w:hAnsi="仿宋" w:eastAsia="仿宋"/>
          <w:bCs/>
          <w:color w:val="auto"/>
          <w:sz w:val="32"/>
          <w:szCs w:val="32"/>
          <w:highlight w:val="none"/>
        </w:rPr>
        <w:t>:</w:t>
      </w:r>
      <w:r>
        <w:rPr>
          <w:rStyle w:val="16"/>
          <w:rFonts w:ascii="仿宋" w:hAnsi="仿宋" w:eastAsia="仿宋"/>
          <w:b w:val="0"/>
          <w:bCs/>
          <w:color w:val="auto"/>
          <w:sz w:val="32"/>
          <w:szCs w:val="32"/>
          <w:highlight w:val="none"/>
        </w:rPr>
        <w:t xml:space="preserve"> </w:t>
      </w:r>
      <w:r>
        <w:rPr>
          <w:rStyle w:val="16"/>
          <w:rFonts w:hint="eastAsia" w:ascii="仿宋" w:hAnsi="仿宋" w:eastAsia="仿宋"/>
          <w:b w:val="0"/>
          <w:bCs/>
          <w:color w:val="auto"/>
          <w:sz w:val="32"/>
          <w:szCs w:val="32"/>
          <w:highlight w:val="none"/>
        </w:rPr>
        <w:t>支出决算为</w:t>
      </w:r>
      <w:r>
        <w:rPr>
          <w:rStyle w:val="16"/>
          <w:rFonts w:hint="eastAsia" w:ascii="仿宋" w:hAnsi="仿宋" w:eastAsia="仿宋"/>
          <w:b w:val="0"/>
          <w:bCs/>
          <w:color w:val="auto"/>
          <w:sz w:val="32"/>
          <w:szCs w:val="32"/>
          <w:highlight w:val="none"/>
          <w:lang w:val="en-US" w:eastAsia="zh-CN"/>
        </w:rPr>
        <w:t>3.66</w:t>
      </w:r>
      <w:r>
        <w:rPr>
          <w:rStyle w:val="16"/>
          <w:rFonts w:hint="eastAsia" w:ascii="仿宋" w:hAnsi="仿宋" w:eastAsia="仿宋"/>
          <w:b w:val="0"/>
          <w:bCs/>
          <w:color w:val="auto"/>
          <w:sz w:val="32"/>
          <w:szCs w:val="32"/>
          <w:highlight w:val="none"/>
        </w:rPr>
        <w:t>万元，完成预算</w:t>
      </w:r>
      <w:r>
        <w:rPr>
          <w:rStyle w:val="16"/>
          <w:rFonts w:hint="eastAsia" w:ascii="仿宋" w:hAnsi="仿宋" w:eastAsia="仿宋"/>
          <w:b w:val="0"/>
          <w:bCs/>
          <w:color w:val="auto"/>
          <w:sz w:val="32"/>
          <w:szCs w:val="32"/>
          <w:highlight w:val="none"/>
          <w:lang w:val="en-US" w:eastAsia="zh-CN"/>
        </w:rPr>
        <w:t>100</w:t>
      </w:r>
      <w:r>
        <w:rPr>
          <w:rStyle w:val="16"/>
          <w:rFonts w:ascii="仿宋" w:hAnsi="仿宋" w:eastAsia="仿宋"/>
          <w:b w:val="0"/>
          <w:bCs/>
          <w:color w:val="auto"/>
          <w:sz w:val="32"/>
          <w:szCs w:val="32"/>
          <w:highlight w:val="none"/>
        </w:rPr>
        <w:t>%</w:t>
      </w:r>
      <w:r>
        <w:rPr>
          <w:rStyle w:val="16"/>
          <w:rFonts w:hint="eastAsia" w:ascii="仿宋" w:hAnsi="仿宋" w:eastAsia="仿宋"/>
          <w:b w:val="0"/>
          <w:bCs/>
          <w:color w:val="auto"/>
          <w:sz w:val="32"/>
          <w:szCs w:val="32"/>
          <w:highlight w:val="none"/>
        </w:rPr>
        <w:t>，决算数等于预算数。</w:t>
      </w:r>
    </w:p>
    <w:p w14:paraId="19075EFC">
      <w:pPr>
        <w:spacing w:line="600" w:lineRule="exact"/>
        <w:ind w:firstLine="643" w:firstLineChars="200"/>
        <w:rPr>
          <w:rFonts w:ascii="仿宋" w:hAnsi="仿宋" w:eastAsia="仿宋"/>
          <w:b/>
          <w:color w:val="auto"/>
          <w:sz w:val="32"/>
          <w:szCs w:val="32"/>
          <w:highlight w:val="none"/>
        </w:rPr>
      </w:pPr>
      <w:r>
        <w:rPr>
          <w:rStyle w:val="16"/>
          <w:rFonts w:ascii="仿宋" w:hAnsi="仿宋" w:eastAsia="仿宋"/>
          <w:bCs/>
          <w:color w:val="auto"/>
          <w:sz w:val="32"/>
          <w:szCs w:val="32"/>
          <w:highlight w:val="none"/>
        </w:rPr>
        <w:t>4.</w:t>
      </w:r>
      <w:r>
        <w:rPr>
          <w:rFonts w:hint="eastAsia" w:ascii="仿宋" w:hAnsi="仿宋" w:eastAsia="仿宋"/>
          <w:b/>
          <w:color w:val="000000"/>
          <w:sz w:val="32"/>
          <w:szCs w:val="32"/>
        </w:rPr>
        <w:t>社会保障和就业（类）行政事业单位养老支出（款）机关事业单位基本养老保险缴费支出（项）</w:t>
      </w:r>
      <w:r>
        <w:rPr>
          <w:rStyle w:val="16"/>
          <w:rFonts w:ascii="仿宋" w:hAnsi="仿宋" w:eastAsia="仿宋"/>
          <w:bCs/>
          <w:color w:val="auto"/>
          <w:sz w:val="32"/>
          <w:szCs w:val="32"/>
          <w:highlight w:val="none"/>
        </w:rPr>
        <w:t>:</w:t>
      </w:r>
      <w:r>
        <w:rPr>
          <w:rStyle w:val="16"/>
          <w:rFonts w:ascii="仿宋" w:hAnsi="仿宋" w:eastAsia="仿宋"/>
          <w:b w:val="0"/>
          <w:bCs/>
          <w:color w:val="auto"/>
          <w:sz w:val="32"/>
          <w:szCs w:val="32"/>
          <w:highlight w:val="none"/>
        </w:rPr>
        <w:t xml:space="preserve"> </w:t>
      </w:r>
      <w:r>
        <w:rPr>
          <w:rStyle w:val="16"/>
          <w:rFonts w:hint="eastAsia" w:ascii="仿宋" w:hAnsi="仿宋" w:eastAsia="仿宋"/>
          <w:b w:val="0"/>
          <w:bCs/>
          <w:color w:val="auto"/>
          <w:sz w:val="32"/>
          <w:szCs w:val="32"/>
          <w:highlight w:val="none"/>
        </w:rPr>
        <w:t>支出决算为</w:t>
      </w:r>
      <w:r>
        <w:rPr>
          <w:rStyle w:val="16"/>
          <w:rFonts w:hint="eastAsia" w:ascii="仿宋" w:hAnsi="仿宋" w:eastAsia="仿宋"/>
          <w:b w:val="0"/>
          <w:bCs/>
          <w:color w:val="auto"/>
          <w:sz w:val="32"/>
          <w:szCs w:val="32"/>
          <w:highlight w:val="none"/>
          <w:lang w:val="en-US" w:eastAsia="zh-CN"/>
        </w:rPr>
        <w:t>166.39</w:t>
      </w:r>
      <w:r>
        <w:rPr>
          <w:rStyle w:val="16"/>
          <w:rFonts w:hint="eastAsia" w:ascii="仿宋" w:hAnsi="仿宋" w:eastAsia="仿宋"/>
          <w:b w:val="0"/>
          <w:bCs/>
          <w:color w:val="auto"/>
          <w:sz w:val="32"/>
          <w:szCs w:val="32"/>
          <w:highlight w:val="none"/>
        </w:rPr>
        <w:t>万元，完成预算</w:t>
      </w:r>
      <w:r>
        <w:rPr>
          <w:rStyle w:val="16"/>
          <w:rFonts w:hint="eastAsia" w:ascii="仿宋" w:hAnsi="仿宋" w:eastAsia="仿宋"/>
          <w:b w:val="0"/>
          <w:bCs/>
          <w:color w:val="auto"/>
          <w:sz w:val="32"/>
          <w:szCs w:val="32"/>
          <w:highlight w:val="none"/>
          <w:lang w:val="en-US" w:eastAsia="zh-CN"/>
        </w:rPr>
        <w:t>100</w:t>
      </w:r>
      <w:r>
        <w:rPr>
          <w:rStyle w:val="16"/>
          <w:rFonts w:ascii="仿宋" w:hAnsi="仿宋" w:eastAsia="仿宋"/>
          <w:b w:val="0"/>
          <w:bCs/>
          <w:color w:val="auto"/>
          <w:sz w:val="32"/>
          <w:szCs w:val="32"/>
          <w:highlight w:val="none"/>
        </w:rPr>
        <w:t>%</w:t>
      </w:r>
      <w:r>
        <w:rPr>
          <w:rStyle w:val="16"/>
          <w:rFonts w:hint="eastAsia" w:ascii="仿宋" w:hAnsi="仿宋" w:eastAsia="仿宋"/>
          <w:b w:val="0"/>
          <w:bCs/>
          <w:color w:val="auto"/>
          <w:sz w:val="32"/>
          <w:szCs w:val="32"/>
          <w:highlight w:val="none"/>
        </w:rPr>
        <w:t>，决算数等于预算数。</w:t>
      </w:r>
    </w:p>
    <w:p w14:paraId="5D926393">
      <w:pPr>
        <w:spacing w:line="600" w:lineRule="exact"/>
        <w:ind w:firstLine="643" w:firstLineChars="200"/>
        <w:rPr>
          <w:rFonts w:ascii="仿宋" w:hAnsi="仿宋" w:eastAsia="仿宋"/>
          <w:b/>
          <w:color w:val="auto"/>
          <w:sz w:val="32"/>
          <w:szCs w:val="32"/>
          <w:highlight w:val="none"/>
        </w:rPr>
      </w:pPr>
      <w:r>
        <w:rPr>
          <w:rStyle w:val="16"/>
          <w:rFonts w:ascii="仿宋" w:hAnsi="仿宋" w:eastAsia="仿宋"/>
          <w:bCs/>
          <w:color w:val="auto"/>
          <w:sz w:val="32"/>
          <w:szCs w:val="32"/>
          <w:highlight w:val="none"/>
        </w:rPr>
        <w:t>5.</w:t>
      </w:r>
      <w:r>
        <w:rPr>
          <w:rFonts w:hint="eastAsia" w:ascii="仿宋" w:hAnsi="仿宋" w:eastAsia="仿宋"/>
          <w:b/>
          <w:bCs/>
          <w:color w:val="000000"/>
          <w:sz w:val="32"/>
          <w:szCs w:val="32"/>
        </w:rPr>
        <w:t>卫生健康支出（类）行政事业单位医疗（款）行政单位医疗（项）</w:t>
      </w:r>
      <w:r>
        <w:rPr>
          <w:rStyle w:val="16"/>
          <w:rFonts w:ascii="仿宋" w:hAnsi="仿宋" w:eastAsia="仿宋"/>
          <w:bCs/>
          <w:color w:val="auto"/>
          <w:sz w:val="32"/>
          <w:szCs w:val="32"/>
          <w:highlight w:val="none"/>
        </w:rPr>
        <w:t>:</w:t>
      </w:r>
      <w:r>
        <w:rPr>
          <w:rStyle w:val="16"/>
          <w:rFonts w:ascii="仿宋" w:hAnsi="仿宋" w:eastAsia="仿宋"/>
          <w:b w:val="0"/>
          <w:bCs/>
          <w:color w:val="auto"/>
          <w:sz w:val="32"/>
          <w:szCs w:val="32"/>
          <w:highlight w:val="none"/>
        </w:rPr>
        <w:t xml:space="preserve"> </w:t>
      </w:r>
      <w:r>
        <w:rPr>
          <w:rStyle w:val="16"/>
          <w:rFonts w:hint="eastAsia" w:ascii="仿宋" w:hAnsi="仿宋" w:eastAsia="仿宋"/>
          <w:b w:val="0"/>
          <w:bCs/>
          <w:color w:val="auto"/>
          <w:sz w:val="32"/>
          <w:szCs w:val="32"/>
          <w:highlight w:val="none"/>
        </w:rPr>
        <w:t>支出决算为</w:t>
      </w:r>
      <w:r>
        <w:rPr>
          <w:rStyle w:val="16"/>
          <w:rFonts w:hint="eastAsia" w:ascii="仿宋" w:hAnsi="仿宋" w:eastAsia="仿宋"/>
          <w:b w:val="0"/>
          <w:bCs/>
          <w:color w:val="auto"/>
          <w:sz w:val="32"/>
          <w:szCs w:val="32"/>
          <w:highlight w:val="none"/>
          <w:lang w:val="en-US" w:eastAsia="zh-CN"/>
        </w:rPr>
        <w:t>99.75</w:t>
      </w:r>
      <w:r>
        <w:rPr>
          <w:rStyle w:val="16"/>
          <w:rFonts w:hint="eastAsia" w:ascii="仿宋" w:hAnsi="仿宋" w:eastAsia="仿宋"/>
          <w:b w:val="0"/>
          <w:bCs/>
          <w:color w:val="auto"/>
          <w:sz w:val="32"/>
          <w:szCs w:val="32"/>
          <w:highlight w:val="none"/>
        </w:rPr>
        <w:t>万元，完成预算</w:t>
      </w:r>
      <w:r>
        <w:rPr>
          <w:rStyle w:val="16"/>
          <w:rFonts w:hint="eastAsia" w:ascii="仿宋" w:hAnsi="仿宋" w:eastAsia="仿宋"/>
          <w:b w:val="0"/>
          <w:bCs/>
          <w:color w:val="auto"/>
          <w:sz w:val="32"/>
          <w:szCs w:val="32"/>
          <w:highlight w:val="none"/>
          <w:lang w:val="en-US" w:eastAsia="zh-CN"/>
        </w:rPr>
        <w:t>100</w:t>
      </w:r>
      <w:r>
        <w:rPr>
          <w:rStyle w:val="16"/>
          <w:rFonts w:ascii="仿宋" w:hAnsi="仿宋" w:eastAsia="仿宋"/>
          <w:b w:val="0"/>
          <w:bCs/>
          <w:color w:val="auto"/>
          <w:sz w:val="32"/>
          <w:szCs w:val="32"/>
          <w:highlight w:val="none"/>
        </w:rPr>
        <w:t>%</w:t>
      </w:r>
      <w:r>
        <w:rPr>
          <w:rStyle w:val="16"/>
          <w:rFonts w:hint="eastAsia" w:ascii="仿宋" w:hAnsi="仿宋" w:eastAsia="仿宋"/>
          <w:b w:val="0"/>
          <w:bCs/>
          <w:color w:val="auto"/>
          <w:sz w:val="32"/>
          <w:szCs w:val="32"/>
          <w:highlight w:val="none"/>
        </w:rPr>
        <w:t>，决算数等于预算数。</w:t>
      </w:r>
    </w:p>
    <w:p w14:paraId="1B307582">
      <w:pPr>
        <w:spacing w:line="600" w:lineRule="exact"/>
        <w:ind w:firstLine="643" w:firstLineChars="200"/>
        <w:rPr>
          <w:rFonts w:ascii="仿宋" w:hAnsi="仿宋" w:eastAsia="仿宋"/>
          <w:b/>
          <w:color w:val="auto"/>
          <w:sz w:val="32"/>
          <w:szCs w:val="32"/>
          <w:highlight w:val="none"/>
        </w:rPr>
      </w:pPr>
      <w:r>
        <w:rPr>
          <w:rStyle w:val="16"/>
          <w:rFonts w:ascii="仿宋" w:hAnsi="仿宋" w:eastAsia="仿宋"/>
          <w:bCs/>
          <w:color w:val="auto"/>
          <w:sz w:val="32"/>
          <w:szCs w:val="32"/>
          <w:highlight w:val="none"/>
        </w:rPr>
        <w:t>6.</w:t>
      </w:r>
      <w:r>
        <w:rPr>
          <w:rFonts w:hint="eastAsia" w:ascii="仿宋" w:hAnsi="仿宋" w:eastAsia="仿宋"/>
          <w:b/>
          <w:bCs/>
          <w:color w:val="000000"/>
          <w:sz w:val="32"/>
          <w:szCs w:val="32"/>
        </w:rPr>
        <w:t>卫生健康支出（类）行政事业单位医疗（款）其他医疗救助支出（项）</w:t>
      </w:r>
      <w:r>
        <w:rPr>
          <w:rStyle w:val="16"/>
          <w:rFonts w:ascii="仿宋" w:hAnsi="仿宋" w:eastAsia="仿宋"/>
          <w:bCs/>
          <w:color w:val="auto"/>
          <w:sz w:val="32"/>
          <w:szCs w:val="32"/>
          <w:highlight w:val="none"/>
        </w:rPr>
        <w:t>:</w:t>
      </w:r>
      <w:r>
        <w:rPr>
          <w:rStyle w:val="16"/>
          <w:rFonts w:hint="eastAsia" w:ascii="仿宋" w:hAnsi="仿宋" w:eastAsia="仿宋"/>
          <w:b w:val="0"/>
          <w:bCs/>
          <w:color w:val="auto"/>
          <w:sz w:val="32"/>
          <w:szCs w:val="32"/>
          <w:highlight w:val="none"/>
        </w:rPr>
        <w:t>支出决算为</w:t>
      </w:r>
      <w:r>
        <w:rPr>
          <w:rStyle w:val="16"/>
          <w:rFonts w:hint="eastAsia" w:ascii="仿宋" w:hAnsi="仿宋" w:eastAsia="仿宋"/>
          <w:b w:val="0"/>
          <w:bCs/>
          <w:color w:val="auto"/>
          <w:sz w:val="32"/>
          <w:szCs w:val="32"/>
          <w:highlight w:val="none"/>
          <w:lang w:val="en-US" w:eastAsia="zh-CN"/>
        </w:rPr>
        <w:t>1.36</w:t>
      </w:r>
      <w:r>
        <w:rPr>
          <w:rStyle w:val="16"/>
          <w:rFonts w:hint="eastAsia" w:ascii="仿宋" w:hAnsi="仿宋" w:eastAsia="仿宋"/>
          <w:b w:val="0"/>
          <w:bCs/>
          <w:color w:val="auto"/>
          <w:sz w:val="32"/>
          <w:szCs w:val="32"/>
          <w:highlight w:val="none"/>
        </w:rPr>
        <w:t>万元，完成预算</w:t>
      </w:r>
      <w:r>
        <w:rPr>
          <w:rStyle w:val="16"/>
          <w:rFonts w:hint="eastAsia" w:ascii="仿宋" w:hAnsi="仿宋" w:eastAsia="仿宋"/>
          <w:b w:val="0"/>
          <w:bCs/>
          <w:color w:val="auto"/>
          <w:sz w:val="32"/>
          <w:szCs w:val="32"/>
          <w:highlight w:val="none"/>
          <w:lang w:val="en-US" w:eastAsia="zh-CN"/>
        </w:rPr>
        <w:t>100</w:t>
      </w:r>
      <w:r>
        <w:rPr>
          <w:rStyle w:val="16"/>
          <w:rFonts w:ascii="仿宋" w:hAnsi="仿宋" w:eastAsia="仿宋"/>
          <w:b w:val="0"/>
          <w:bCs/>
          <w:color w:val="auto"/>
          <w:sz w:val="32"/>
          <w:szCs w:val="32"/>
          <w:highlight w:val="none"/>
        </w:rPr>
        <w:t>%</w:t>
      </w:r>
      <w:r>
        <w:rPr>
          <w:rStyle w:val="16"/>
          <w:rFonts w:hint="eastAsia" w:ascii="仿宋" w:hAnsi="仿宋" w:eastAsia="仿宋"/>
          <w:b w:val="0"/>
          <w:bCs/>
          <w:color w:val="auto"/>
          <w:sz w:val="32"/>
          <w:szCs w:val="32"/>
          <w:highlight w:val="none"/>
        </w:rPr>
        <w:t>，决算数等于预算数。</w:t>
      </w:r>
    </w:p>
    <w:p w14:paraId="7D93E51B">
      <w:pPr>
        <w:spacing w:line="600" w:lineRule="exact"/>
        <w:ind w:firstLine="643" w:firstLineChars="200"/>
        <w:rPr>
          <w:rFonts w:ascii="仿宋" w:hAnsi="仿宋" w:eastAsia="仿宋"/>
          <w:b/>
          <w:color w:val="auto"/>
          <w:sz w:val="32"/>
          <w:szCs w:val="32"/>
          <w:highlight w:val="none"/>
        </w:rPr>
      </w:pPr>
      <w:r>
        <w:rPr>
          <w:rStyle w:val="16"/>
          <w:rFonts w:hint="eastAsia" w:ascii="仿宋" w:hAnsi="仿宋" w:eastAsia="仿宋"/>
          <w:bCs/>
          <w:color w:val="000000"/>
          <w:sz w:val="32"/>
          <w:szCs w:val="32"/>
        </w:rPr>
        <w:t>7</w:t>
      </w:r>
      <w:r>
        <w:rPr>
          <w:rStyle w:val="16"/>
          <w:rFonts w:ascii="仿宋" w:hAnsi="仿宋" w:eastAsia="仿宋"/>
          <w:bCs/>
          <w:color w:val="000000"/>
          <w:sz w:val="32"/>
          <w:szCs w:val="32"/>
        </w:rPr>
        <w:t>.</w:t>
      </w:r>
      <w:r>
        <w:rPr>
          <w:rFonts w:hint="eastAsia" w:ascii="仿宋" w:hAnsi="仿宋" w:eastAsia="仿宋"/>
          <w:b/>
          <w:bCs/>
          <w:color w:val="000000"/>
          <w:sz w:val="32"/>
          <w:szCs w:val="32"/>
        </w:rPr>
        <w:t>住房保障支出（类）住房改革支出（款）住房公积金（项）</w:t>
      </w:r>
      <w:r>
        <w:rPr>
          <w:rStyle w:val="16"/>
          <w:rFonts w:ascii="仿宋" w:hAnsi="仿宋" w:eastAsia="仿宋"/>
          <w:bCs/>
          <w:color w:val="000000"/>
          <w:sz w:val="32"/>
          <w:szCs w:val="32"/>
        </w:rPr>
        <w:t>:</w:t>
      </w:r>
      <w:r>
        <w:rPr>
          <w:rStyle w:val="16"/>
          <w:rFonts w:ascii="仿宋" w:hAnsi="仿宋" w:eastAsia="仿宋"/>
          <w:b w:val="0"/>
          <w:bCs/>
          <w:color w:val="000000"/>
          <w:sz w:val="32"/>
          <w:szCs w:val="32"/>
        </w:rPr>
        <w:t xml:space="preserve"> </w:t>
      </w:r>
      <w:r>
        <w:rPr>
          <w:rStyle w:val="16"/>
          <w:rFonts w:hint="eastAsia" w:ascii="仿宋" w:hAnsi="仿宋" w:eastAsia="仿宋"/>
          <w:b w:val="0"/>
          <w:bCs/>
          <w:color w:val="auto"/>
          <w:sz w:val="32"/>
          <w:szCs w:val="32"/>
          <w:highlight w:val="none"/>
        </w:rPr>
        <w:t>支出决算为</w:t>
      </w:r>
      <w:r>
        <w:rPr>
          <w:rStyle w:val="16"/>
          <w:rFonts w:hint="eastAsia" w:ascii="仿宋" w:hAnsi="仿宋" w:eastAsia="仿宋"/>
          <w:b w:val="0"/>
          <w:bCs/>
          <w:color w:val="auto"/>
          <w:sz w:val="32"/>
          <w:szCs w:val="32"/>
          <w:highlight w:val="none"/>
          <w:lang w:val="en-US" w:eastAsia="zh-CN"/>
        </w:rPr>
        <w:t>197.22</w:t>
      </w:r>
      <w:r>
        <w:rPr>
          <w:rStyle w:val="16"/>
          <w:rFonts w:hint="eastAsia" w:ascii="仿宋" w:hAnsi="仿宋" w:eastAsia="仿宋"/>
          <w:b w:val="0"/>
          <w:bCs/>
          <w:color w:val="auto"/>
          <w:sz w:val="32"/>
          <w:szCs w:val="32"/>
          <w:highlight w:val="none"/>
        </w:rPr>
        <w:t>万元，完成预算</w:t>
      </w:r>
      <w:r>
        <w:rPr>
          <w:rStyle w:val="16"/>
          <w:rFonts w:hint="eastAsia" w:ascii="仿宋" w:hAnsi="仿宋" w:eastAsia="仿宋"/>
          <w:b w:val="0"/>
          <w:bCs/>
          <w:color w:val="auto"/>
          <w:sz w:val="32"/>
          <w:szCs w:val="32"/>
          <w:highlight w:val="none"/>
          <w:lang w:val="en-US" w:eastAsia="zh-CN"/>
        </w:rPr>
        <w:t>100</w:t>
      </w:r>
      <w:r>
        <w:rPr>
          <w:rStyle w:val="16"/>
          <w:rFonts w:ascii="仿宋" w:hAnsi="仿宋" w:eastAsia="仿宋"/>
          <w:b w:val="0"/>
          <w:bCs/>
          <w:color w:val="auto"/>
          <w:sz w:val="32"/>
          <w:szCs w:val="32"/>
          <w:highlight w:val="none"/>
        </w:rPr>
        <w:t>%</w:t>
      </w:r>
      <w:r>
        <w:rPr>
          <w:rStyle w:val="16"/>
          <w:rFonts w:hint="eastAsia" w:ascii="仿宋" w:hAnsi="仿宋" w:eastAsia="仿宋"/>
          <w:b w:val="0"/>
          <w:bCs/>
          <w:color w:val="auto"/>
          <w:sz w:val="32"/>
          <w:szCs w:val="32"/>
          <w:highlight w:val="none"/>
        </w:rPr>
        <w:t>，决算数等于预算数。</w:t>
      </w:r>
    </w:p>
    <w:p w14:paraId="491CED9A">
      <w:pPr>
        <w:spacing w:line="600" w:lineRule="exact"/>
        <w:ind w:firstLine="643" w:firstLineChars="200"/>
        <w:rPr>
          <w:rFonts w:ascii="仿宋" w:hAnsi="仿宋" w:eastAsia="仿宋"/>
          <w:b/>
          <w:color w:val="auto"/>
          <w:sz w:val="32"/>
          <w:szCs w:val="32"/>
          <w:highlight w:val="none"/>
        </w:rPr>
      </w:pPr>
      <w:r>
        <w:rPr>
          <w:rStyle w:val="16"/>
          <w:rFonts w:hint="eastAsia" w:ascii="仿宋" w:hAnsi="仿宋" w:eastAsia="仿宋"/>
          <w:bCs/>
          <w:color w:val="000000"/>
          <w:sz w:val="32"/>
          <w:szCs w:val="32"/>
          <w:lang w:val="en-US" w:eastAsia="zh-CN"/>
        </w:rPr>
        <w:t>8.</w:t>
      </w:r>
      <w:r>
        <w:rPr>
          <w:rFonts w:hint="eastAsia" w:ascii="仿宋" w:hAnsi="仿宋" w:eastAsia="仿宋"/>
          <w:b/>
          <w:bCs/>
          <w:color w:val="000000"/>
          <w:sz w:val="32"/>
          <w:szCs w:val="32"/>
          <w:lang w:eastAsia="zh-CN"/>
        </w:rPr>
        <w:t>其他支出</w:t>
      </w:r>
      <w:r>
        <w:rPr>
          <w:rFonts w:hint="eastAsia" w:ascii="仿宋" w:hAnsi="仿宋" w:eastAsia="仿宋"/>
          <w:b/>
          <w:bCs/>
          <w:color w:val="000000"/>
          <w:sz w:val="32"/>
          <w:szCs w:val="32"/>
        </w:rPr>
        <w:t>（类）</w:t>
      </w:r>
      <w:r>
        <w:rPr>
          <w:rFonts w:hint="eastAsia" w:ascii="仿宋" w:hAnsi="仿宋" w:eastAsia="仿宋"/>
          <w:b/>
          <w:bCs/>
          <w:color w:val="000000"/>
          <w:sz w:val="32"/>
          <w:szCs w:val="32"/>
          <w:lang w:eastAsia="zh-CN"/>
        </w:rPr>
        <w:t>其他支出</w:t>
      </w:r>
      <w:r>
        <w:rPr>
          <w:rFonts w:hint="eastAsia" w:ascii="仿宋" w:hAnsi="仿宋" w:eastAsia="仿宋"/>
          <w:b/>
          <w:bCs/>
          <w:color w:val="000000"/>
          <w:sz w:val="32"/>
          <w:szCs w:val="32"/>
        </w:rPr>
        <w:t>（款）</w:t>
      </w:r>
      <w:r>
        <w:rPr>
          <w:rFonts w:hint="eastAsia" w:ascii="仿宋" w:hAnsi="仿宋" w:eastAsia="仿宋"/>
          <w:b/>
          <w:bCs/>
          <w:color w:val="000000"/>
          <w:sz w:val="32"/>
          <w:szCs w:val="32"/>
          <w:lang w:eastAsia="zh-CN"/>
        </w:rPr>
        <w:t>其他支出</w:t>
      </w:r>
      <w:r>
        <w:rPr>
          <w:rFonts w:hint="eastAsia" w:ascii="仿宋" w:hAnsi="仿宋" w:eastAsia="仿宋"/>
          <w:b/>
          <w:bCs/>
          <w:color w:val="000000"/>
          <w:sz w:val="32"/>
          <w:szCs w:val="32"/>
        </w:rPr>
        <w:t>（项）</w:t>
      </w:r>
      <w:r>
        <w:rPr>
          <w:rStyle w:val="16"/>
          <w:rFonts w:ascii="仿宋" w:hAnsi="仿宋" w:eastAsia="仿宋"/>
          <w:bCs/>
          <w:color w:val="000000"/>
          <w:sz w:val="32"/>
          <w:szCs w:val="32"/>
        </w:rPr>
        <w:t>:</w:t>
      </w:r>
      <w:r>
        <w:rPr>
          <w:rStyle w:val="16"/>
          <w:rFonts w:ascii="仿宋" w:hAnsi="仿宋" w:eastAsia="仿宋"/>
          <w:b w:val="0"/>
          <w:bCs/>
          <w:color w:val="000000"/>
          <w:sz w:val="32"/>
          <w:szCs w:val="32"/>
        </w:rPr>
        <w:t xml:space="preserve"> </w:t>
      </w:r>
      <w:r>
        <w:rPr>
          <w:rStyle w:val="16"/>
          <w:rFonts w:hint="eastAsia" w:ascii="仿宋" w:hAnsi="仿宋" w:eastAsia="仿宋"/>
          <w:b w:val="0"/>
          <w:bCs/>
          <w:color w:val="auto"/>
          <w:sz w:val="32"/>
          <w:szCs w:val="32"/>
          <w:highlight w:val="none"/>
        </w:rPr>
        <w:t>支出决算为</w:t>
      </w:r>
      <w:r>
        <w:rPr>
          <w:rStyle w:val="16"/>
          <w:rFonts w:hint="eastAsia" w:ascii="仿宋" w:hAnsi="仿宋" w:eastAsia="仿宋"/>
          <w:b w:val="0"/>
          <w:bCs/>
          <w:color w:val="auto"/>
          <w:sz w:val="32"/>
          <w:szCs w:val="32"/>
          <w:highlight w:val="none"/>
          <w:lang w:val="en-US" w:eastAsia="zh-CN"/>
        </w:rPr>
        <w:t>0.25</w:t>
      </w:r>
      <w:r>
        <w:rPr>
          <w:rStyle w:val="16"/>
          <w:rFonts w:hint="eastAsia" w:ascii="仿宋" w:hAnsi="仿宋" w:eastAsia="仿宋"/>
          <w:b w:val="0"/>
          <w:bCs/>
          <w:color w:val="auto"/>
          <w:sz w:val="32"/>
          <w:szCs w:val="32"/>
          <w:highlight w:val="none"/>
        </w:rPr>
        <w:t>万元，完成预算</w:t>
      </w:r>
      <w:r>
        <w:rPr>
          <w:rStyle w:val="16"/>
          <w:rFonts w:hint="eastAsia" w:ascii="仿宋" w:hAnsi="仿宋" w:eastAsia="仿宋"/>
          <w:b w:val="0"/>
          <w:bCs/>
          <w:color w:val="auto"/>
          <w:sz w:val="32"/>
          <w:szCs w:val="32"/>
          <w:highlight w:val="none"/>
          <w:lang w:val="en-US" w:eastAsia="zh-CN"/>
        </w:rPr>
        <w:t>100</w:t>
      </w:r>
      <w:r>
        <w:rPr>
          <w:rStyle w:val="16"/>
          <w:rFonts w:ascii="仿宋" w:hAnsi="仿宋" w:eastAsia="仿宋"/>
          <w:b w:val="0"/>
          <w:bCs/>
          <w:color w:val="auto"/>
          <w:sz w:val="32"/>
          <w:szCs w:val="32"/>
          <w:highlight w:val="none"/>
        </w:rPr>
        <w:t>%</w:t>
      </w:r>
      <w:r>
        <w:rPr>
          <w:rStyle w:val="16"/>
          <w:rFonts w:hint="eastAsia" w:ascii="仿宋" w:hAnsi="仿宋" w:eastAsia="仿宋"/>
          <w:b w:val="0"/>
          <w:bCs/>
          <w:color w:val="auto"/>
          <w:sz w:val="32"/>
          <w:szCs w:val="32"/>
          <w:highlight w:val="none"/>
        </w:rPr>
        <w:t>，决算数等于预算数。</w:t>
      </w:r>
    </w:p>
    <w:p w14:paraId="7634C88C">
      <w:pPr>
        <w:spacing w:line="600" w:lineRule="exact"/>
        <w:ind w:firstLine="640"/>
        <w:rPr>
          <w:rFonts w:ascii="仿宋" w:hAnsi="仿宋" w:eastAsia="仿宋"/>
          <w:b/>
          <w:color w:val="auto"/>
          <w:sz w:val="32"/>
          <w:szCs w:val="32"/>
          <w:highlight w:val="none"/>
        </w:rPr>
      </w:pPr>
    </w:p>
    <w:p w14:paraId="7660A738">
      <w:pPr>
        <w:tabs>
          <w:tab w:val="right" w:pos="8306"/>
        </w:tabs>
        <w:spacing w:line="600" w:lineRule="exact"/>
        <w:ind w:firstLine="640"/>
        <w:outlineLvl w:val="1"/>
        <w:rPr>
          <w:rStyle w:val="27"/>
          <w:color w:val="auto"/>
          <w:highlight w:val="none"/>
        </w:rPr>
      </w:pPr>
      <w:bookmarkStart w:id="34" w:name="_Toc15377214"/>
      <w:bookmarkStart w:id="35" w:name="_Toc15396608"/>
      <w:r>
        <w:rPr>
          <w:rFonts w:hint="eastAsia" w:ascii="黑体" w:eastAsia="黑体"/>
          <w:color w:val="auto"/>
          <w:sz w:val="32"/>
          <w:szCs w:val="32"/>
          <w:highlight w:val="none"/>
        </w:rPr>
        <w:t>六</w:t>
      </w:r>
      <w:r>
        <w:rPr>
          <w:rFonts w:hint="eastAsia" w:ascii="黑体" w:eastAsia="黑体"/>
          <w:b/>
          <w:color w:val="auto"/>
          <w:sz w:val="32"/>
          <w:szCs w:val="32"/>
          <w:highlight w:val="none"/>
        </w:rPr>
        <w:t>、</w:t>
      </w:r>
      <w:r>
        <w:rPr>
          <w:rFonts w:hint="eastAsia" w:ascii="黑体" w:hAnsi="黑体" w:eastAsia="黑体"/>
          <w:b/>
          <w:color w:val="auto"/>
          <w:sz w:val="32"/>
          <w:szCs w:val="32"/>
          <w:highlight w:val="none"/>
        </w:rPr>
        <w:t>一</w:t>
      </w:r>
      <w:r>
        <w:rPr>
          <w:rStyle w:val="27"/>
          <w:rFonts w:hint="eastAsia" w:ascii="黑体" w:hAnsi="黑体" w:eastAsia="黑体"/>
          <w:b w:val="0"/>
          <w:color w:val="auto"/>
          <w:highlight w:val="none"/>
        </w:rPr>
        <w:t>般公共预算财政拨款基本支出决算情况说明</w:t>
      </w:r>
      <w:bookmarkEnd w:id="34"/>
      <w:bookmarkEnd w:id="35"/>
      <w:r>
        <w:rPr>
          <w:rStyle w:val="27"/>
          <w:rFonts w:ascii="黑体" w:hAnsi="黑体" w:eastAsia="黑体"/>
          <w:b w:val="0"/>
          <w:color w:val="auto"/>
          <w:highlight w:val="none"/>
        </w:rPr>
        <w:tab/>
      </w:r>
    </w:p>
    <w:p w14:paraId="48D04624">
      <w:pPr>
        <w:spacing w:line="600" w:lineRule="exact"/>
        <w:ind w:firstLine="645"/>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年一般公共预算财政拨款基本支出</w:t>
      </w:r>
      <w:r>
        <w:rPr>
          <w:rFonts w:hint="eastAsia" w:ascii="仿宋" w:hAnsi="仿宋" w:eastAsia="仿宋"/>
          <w:color w:val="auto"/>
          <w:sz w:val="32"/>
          <w:szCs w:val="32"/>
          <w:highlight w:val="none"/>
          <w:lang w:val="en-US" w:eastAsia="zh-CN"/>
        </w:rPr>
        <w:t>3043.56</w:t>
      </w:r>
      <w:r>
        <w:rPr>
          <w:rFonts w:hint="eastAsia" w:ascii="仿宋" w:hAnsi="仿宋" w:eastAsia="仿宋"/>
          <w:color w:val="auto"/>
          <w:sz w:val="32"/>
          <w:szCs w:val="32"/>
          <w:highlight w:val="none"/>
        </w:rPr>
        <w:t>万元，其中：</w:t>
      </w:r>
    </w:p>
    <w:p w14:paraId="329E3641">
      <w:pPr>
        <w:spacing w:line="600" w:lineRule="exact"/>
        <w:ind w:firstLine="645"/>
        <w:rPr>
          <w:rFonts w:ascii="仿宋" w:hAnsi="仿宋" w:eastAsia="仿宋"/>
          <w:color w:val="auto"/>
          <w:sz w:val="32"/>
          <w:szCs w:val="32"/>
          <w:highlight w:val="none"/>
        </w:rPr>
      </w:pPr>
      <w:r>
        <w:rPr>
          <w:rFonts w:hint="eastAsia" w:ascii="仿宋" w:hAnsi="仿宋" w:eastAsia="仿宋"/>
          <w:color w:val="auto"/>
          <w:sz w:val="32"/>
          <w:szCs w:val="32"/>
          <w:highlight w:val="none"/>
        </w:rPr>
        <w:t>人员经费</w:t>
      </w:r>
      <w:r>
        <w:rPr>
          <w:rFonts w:hint="eastAsia" w:ascii="仿宋" w:hAnsi="仿宋" w:eastAsia="仿宋"/>
          <w:color w:val="auto"/>
          <w:sz w:val="32"/>
          <w:szCs w:val="32"/>
          <w:highlight w:val="none"/>
          <w:lang w:val="en-US" w:eastAsia="zh-CN"/>
        </w:rPr>
        <w:t>2496.64</w:t>
      </w:r>
      <w:r>
        <w:rPr>
          <w:rFonts w:hint="eastAsia" w:ascii="仿宋" w:hAnsi="仿宋" w:eastAsia="仿宋"/>
          <w:color w:val="auto"/>
          <w:sz w:val="32"/>
          <w:szCs w:val="32"/>
          <w:highlight w:val="none"/>
        </w:rPr>
        <w:t>万元，主要包括：基本工资、津贴补贴、奖金、伙食补助费、绩效工资、机关事业单位基本养老保险缴费、职业年金缴费、其他社会保障缴费、其他工资福利支出、生活补助、医疗费补助、奖励金、住房公积金、其他对个人和家庭的补助支出等。</w:t>
      </w:r>
      <w:r>
        <w:rPr>
          <w:rFonts w:ascii="仿宋" w:hAnsi="仿宋" w:eastAsia="仿宋"/>
          <w:color w:val="auto"/>
          <w:sz w:val="32"/>
          <w:szCs w:val="32"/>
          <w:highlight w:val="none"/>
        </w:rPr>
        <w:br w:type="textWrapping"/>
      </w:r>
      <w:r>
        <w:rPr>
          <w:rFonts w:hint="eastAsia" w:ascii="仿宋" w:hAnsi="仿宋" w:eastAsia="仿宋"/>
          <w:color w:val="auto"/>
          <w:sz w:val="32"/>
          <w:szCs w:val="32"/>
          <w:highlight w:val="none"/>
        </w:rPr>
        <w:t>　　公用经费</w:t>
      </w:r>
      <w:r>
        <w:rPr>
          <w:rFonts w:hint="eastAsia" w:ascii="仿宋" w:hAnsi="仿宋" w:eastAsia="仿宋"/>
          <w:color w:val="auto"/>
          <w:sz w:val="32"/>
          <w:szCs w:val="32"/>
          <w:highlight w:val="none"/>
          <w:lang w:val="en-US" w:eastAsia="zh-CN"/>
        </w:rPr>
        <w:t>546.93</w:t>
      </w:r>
      <w:r>
        <w:rPr>
          <w:rFonts w:hint="eastAsia" w:ascii="仿宋" w:hAnsi="仿宋" w:eastAsia="仿宋"/>
          <w:color w:val="auto"/>
          <w:sz w:val="32"/>
          <w:szCs w:val="32"/>
          <w:highlight w:val="none"/>
        </w:rPr>
        <w:t>万元，主要包括：办公费、印刷费、咨询费、水费、电费、邮电费、物业管理费、差旅费、维修（护）费、租赁费、会议费、培训费、公务接待费、劳务费、委托业务费、工会经费、福利费、公务用车运行维护费、其他交通费、其他商品和服务支出、办公设备购置、专用设备购置、信息网络及软件购置更新、其他资本性支出等。</w:t>
      </w:r>
    </w:p>
    <w:p w14:paraId="0C2306BB">
      <w:pPr>
        <w:spacing w:line="600" w:lineRule="exact"/>
        <w:ind w:firstLine="640"/>
        <w:rPr>
          <w:rFonts w:ascii="仿宋" w:hAnsi="仿宋" w:eastAsia="仿宋"/>
          <w:b/>
          <w:color w:val="auto"/>
          <w:sz w:val="32"/>
          <w:szCs w:val="32"/>
          <w:highlight w:val="none"/>
        </w:rPr>
      </w:pPr>
    </w:p>
    <w:p w14:paraId="3C6A5608">
      <w:pPr>
        <w:spacing w:line="600" w:lineRule="exact"/>
        <w:ind w:firstLine="640"/>
        <w:outlineLvl w:val="1"/>
        <w:rPr>
          <w:rStyle w:val="27"/>
          <w:rFonts w:ascii="黑体" w:hAnsi="黑体" w:eastAsia="黑体"/>
          <w:b w:val="0"/>
          <w:color w:val="auto"/>
          <w:highlight w:val="none"/>
        </w:rPr>
      </w:pPr>
      <w:bookmarkStart w:id="36" w:name="_Toc15396609"/>
      <w:bookmarkStart w:id="37" w:name="_Toc15377215"/>
      <w:r>
        <w:rPr>
          <w:rFonts w:hint="eastAsia" w:ascii="黑体" w:eastAsia="黑体"/>
          <w:color w:val="auto"/>
          <w:sz w:val="32"/>
          <w:szCs w:val="32"/>
          <w:highlight w:val="none"/>
        </w:rPr>
        <w:t>七、</w:t>
      </w:r>
      <w:r>
        <w:rPr>
          <w:rStyle w:val="27"/>
          <w:rFonts w:hint="eastAsia" w:ascii="黑体" w:hAnsi="黑体" w:eastAsia="黑体"/>
          <w:color w:val="auto"/>
          <w:highlight w:val="none"/>
        </w:rPr>
        <w:t>“</w:t>
      </w:r>
      <w:r>
        <w:rPr>
          <w:rStyle w:val="27"/>
          <w:rFonts w:hint="eastAsia" w:ascii="黑体" w:hAnsi="黑体" w:eastAsia="黑体"/>
          <w:b w:val="0"/>
          <w:color w:val="auto"/>
          <w:highlight w:val="none"/>
        </w:rPr>
        <w:t>三公”经费财政拨款支出决算情况说明</w:t>
      </w:r>
      <w:bookmarkEnd w:id="36"/>
      <w:bookmarkEnd w:id="37"/>
    </w:p>
    <w:p w14:paraId="22621147">
      <w:pPr>
        <w:spacing w:line="600" w:lineRule="exact"/>
        <w:ind w:firstLine="640"/>
        <w:outlineLvl w:val="2"/>
        <w:rPr>
          <w:rFonts w:ascii="仿宋" w:hAnsi="仿宋" w:eastAsia="仿宋"/>
          <w:b/>
          <w:color w:val="auto"/>
          <w:sz w:val="32"/>
          <w:szCs w:val="32"/>
          <w:highlight w:val="none"/>
        </w:rPr>
      </w:pPr>
      <w:bookmarkStart w:id="38" w:name="_Toc15377216"/>
      <w:r>
        <w:rPr>
          <w:rFonts w:hint="eastAsia" w:ascii="仿宋" w:hAnsi="仿宋" w:eastAsia="仿宋"/>
          <w:b/>
          <w:color w:val="auto"/>
          <w:sz w:val="32"/>
          <w:szCs w:val="32"/>
          <w:highlight w:val="none"/>
        </w:rPr>
        <w:t>（一）“三公”经费财政拨款支出决算总体情况说明</w:t>
      </w:r>
      <w:bookmarkEnd w:id="38"/>
    </w:p>
    <w:p w14:paraId="76E1EC77">
      <w:pPr>
        <w:spacing w:line="600" w:lineRule="exact"/>
        <w:ind w:firstLine="640"/>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年“三公”经费财政拨款支出决算为</w:t>
      </w:r>
      <w:r>
        <w:rPr>
          <w:rFonts w:hint="eastAsia" w:ascii="仿宋" w:hAnsi="仿宋" w:eastAsia="仿宋"/>
          <w:color w:val="auto"/>
          <w:sz w:val="32"/>
          <w:szCs w:val="32"/>
          <w:highlight w:val="none"/>
          <w:lang w:val="en-US" w:eastAsia="zh-CN"/>
        </w:rPr>
        <w:t>14.51</w:t>
      </w:r>
      <w:r>
        <w:rPr>
          <w:rFonts w:hint="eastAsia" w:ascii="仿宋" w:hAnsi="仿宋" w:eastAsia="仿宋"/>
          <w:color w:val="auto"/>
          <w:sz w:val="32"/>
          <w:szCs w:val="32"/>
          <w:highlight w:val="none"/>
        </w:rPr>
        <w:t>万元，完成预算</w:t>
      </w:r>
      <w:r>
        <w:rPr>
          <w:rFonts w:hint="eastAsia" w:ascii="仿宋" w:hAnsi="仿宋" w:eastAsia="仿宋"/>
          <w:color w:val="auto"/>
          <w:sz w:val="32"/>
          <w:szCs w:val="32"/>
          <w:highlight w:val="none"/>
          <w:lang w:val="en-US" w:eastAsia="zh-CN"/>
        </w:rPr>
        <w:t>97.12</w:t>
      </w:r>
      <w:r>
        <w:rPr>
          <w:rFonts w:ascii="仿宋" w:hAnsi="仿宋" w:eastAsia="仿宋"/>
          <w:color w:val="auto"/>
          <w:sz w:val="32"/>
          <w:szCs w:val="32"/>
          <w:highlight w:val="none"/>
        </w:rPr>
        <w:t>%</w:t>
      </w:r>
      <w:r>
        <w:rPr>
          <w:rFonts w:hint="eastAsia" w:ascii="仿宋" w:hAnsi="仿宋" w:eastAsia="仿宋"/>
          <w:color w:val="auto"/>
          <w:sz w:val="32"/>
          <w:szCs w:val="32"/>
          <w:highlight w:val="none"/>
        </w:rPr>
        <w:t>，决算数小于预算数的主要原因是</w:t>
      </w:r>
      <w:r>
        <w:rPr>
          <w:rFonts w:hint="eastAsia" w:ascii="仿宋" w:hAnsi="仿宋" w:eastAsia="仿宋"/>
          <w:color w:val="auto"/>
          <w:sz w:val="32"/>
          <w:szCs w:val="32"/>
          <w:highlight w:val="none"/>
          <w:lang w:eastAsia="zh-CN"/>
        </w:rPr>
        <w:t>厉行节约，减少了公务接待费的支出</w:t>
      </w:r>
      <w:r>
        <w:rPr>
          <w:rFonts w:hint="eastAsia" w:ascii="仿宋" w:hAnsi="仿宋" w:eastAsia="仿宋"/>
          <w:color w:val="auto"/>
          <w:sz w:val="32"/>
          <w:szCs w:val="32"/>
          <w:highlight w:val="none"/>
        </w:rPr>
        <w:t>。</w:t>
      </w:r>
    </w:p>
    <w:p w14:paraId="13D0DDA3">
      <w:pPr>
        <w:spacing w:line="600" w:lineRule="exact"/>
        <w:ind w:firstLine="640"/>
        <w:rPr>
          <w:rFonts w:ascii="仿宋" w:hAnsi="仿宋" w:eastAsia="仿宋"/>
          <w:b/>
          <w:color w:val="auto"/>
          <w:sz w:val="32"/>
          <w:szCs w:val="32"/>
          <w:highlight w:val="none"/>
        </w:rPr>
      </w:pPr>
      <w:r>
        <w:rPr>
          <w:rFonts w:hint="eastAsia" w:ascii="仿宋" w:hAnsi="仿宋" w:eastAsia="仿宋"/>
          <w:b/>
          <w:color w:val="auto"/>
          <w:sz w:val="32"/>
          <w:szCs w:val="32"/>
          <w:highlight w:val="none"/>
        </w:rPr>
        <w:t>（注：上述“预算”口径为调整预算数，包括</w:t>
      </w:r>
      <w:r>
        <w:rPr>
          <w:rFonts w:hint="eastAsia" w:ascii="仿宋" w:hAnsi="仿宋" w:eastAsia="仿宋"/>
          <w:b/>
          <w:color w:val="auto"/>
          <w:sz w:val="32"/>
          <w:szCs w:val="32"/>
          <w:highlight w:val="none"/>
          <w:lang w:eastAsia="zh-CN"/>
        </w:rPr>
        <w:t>一般公共预算和</w:t>
      </w:r>
      <w:r>
        <w:rPr>
          <w:rFonts w:hint="eastAsia" w:ascii="仿宋" w:hAnsi="仿宋" w:eastAsia="仿宋"/>
          <w:b/>
          <w:color w:val="auto"/>
          <w:sz w:val="32"/>
          <w:szCs w:val="32"/>
          <w:highlight w:val="none"/>
        </w:rPr>
        <w:t>政府性基金</w:t>
      </w:r>
      <w:r>
        <w:rPr>
          <w:rFonts w:hint="eastAsia" w:ascii="仿宋" w:hAnsi="仿宋" w:eastAsia="仿宋"/>
          <w:b/>
          <w:color w:val="auto"/>
          <w:sz w:val="32"/>
          <w:szCs w:val="32"/>
          <w:highlight w:val="none"/>
          <w:lang w:eastAsia="zh-CN"/>
        </w:rPr>
        <w:t>预算财政拨款</w:t>
      </w:r>
      <w:r>
        <w:rPr>
          <w:rFonts w:hint="eastAsia" w:ascii="仿宋" w:hAnsi="仿宋" w:eastAsia="仿宋"/>
          <w:b/>
          <w:color w:val="auto"/>
          <w:sz w:val="32"/>
          <w:szCs w:val="32"/>
          <w:highlight w:val="none"/>
        </w:rPr>
        <w:t>支出决算情况。）</w:t>
      </w:r>
    </w:p>
    <w:p w14:paraId="2553DDA4">
      <w:pPr>
        <w:spacing w:line="600" w:lineRule="exact"/>
        <w:ind w:firstLine="640"/>
        <w:outlineLvl w:val="2"/>
        <w:rPr>
          <w:rFonts w:ascii="仿宋" w:hAnsi="仿宋" w:eastAsia="仿宋"/>
          <w:b/>
          <w:color w:val="auto"/>
          <w:sz w:val="32"/>
          <w:szCs w:val="32"/>
          <w:highlight w:val="none"/>
        </w:rPr>
      </w:pPr>
      <w:bookmarkStart w:id="39" w:name="_Toc15377217"/>
      <w:r>
        <w:rPr>
          <w:rFonts w:hint="eastAsia" w:ascii="仿宋" w:hAnsi="仿宋" w:eastAsia="仿宋"/>
          <w:b/>
          <w:color w:val="auto"/>
          <w:sz w:val="32"/>
          <w:szCs w:val="32"/>
          <w:highlight w:val="none"/>
        </w:rPr>
        <w:t>（二）“三公”经费财政拨款支出决算具体情况说明</w:t>
      </w:r>
      <w:bookmarkEnd w:id="39"/>
    </w:p>
    <w:p w14:paraId="16802F03">
      <w:pPr>
        <w:spacing w:line="600" w:lineRule="exact"/>
        <w:ind w:firstLine="640"/>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年“三公”经费财政拨款支出决算中，因公出国（境）费支出决算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；公务用车购置及运行维护费支出决算</w:t>
      </w:r>
      <w:r>
        <w:rPr>
          <w:rFonts w:hint="eastAsia" w:ascii="仿宋" w:hAnsi="仿宋" w:eastAsia="仿宋"/>
          <w:color w:val="auto"/>
          <w:sz w:val="32"/>
          <w:szCs w:val="32"/>
          <w:highlight w:val="none"/>
          <w:lang w:val="en-US" w:eastAsia="zh-CN"/>
        </w:rPr>
        <w:t>14.40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99.24</w:t>
      </w:r>
      <w:r>
        <w:rPr>
          <w:rFonts w:ascii="仿宋" w:hAnsi="仿宋" w:eastAsia="仿宋"/>
          <w:color w:val="auto"/>
          <w:sz w:val="32"/>
          <w:szCs w:val="32"/>
          <w:highlight w:val="none"/>
        </w:rPr>
        <w:t>%</w:t>
      </w:r>
      <w:r>
        <w:rPr>
          <w:rFonts w:hint="eastAsia" w:ascii="仿宋" w:hAnsi="仿宋" w:eastAsia="仿宋"/>
          <w:color w:val="auto"/>
          <w:sz w:val="32"/>
          <w:szCs w:val="32"/>
          <w:highlight w:val="none"/>
        </w:rPr>
        <w:t>；公务接待费支出决算</w:t>
      </w:r>
      <w:r>
        <w:rPr>
          <w:rFonts w:hint="eastAsia" w:ascii="仿宋" w:hAnsi="仿宋" w:eastAsia="仿宋"/>
          <w:color w:val="auto"/>
          <w:sz w:val="32"/>
          <w:szCs w:val="32"/>
          <w:highlight w:val="none"/>
          <w:lang w:val="en-US" w:eastAsia="zh-CN"/>
        </w:rPr>
        <w:t>0.11</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0.76</w:t>
      </w:r>
      <w:r>
        <w:rPr>
          <w:rFonts w:ascii="仿宋" w:hAnsi="仿宋" w:eastAsia="仿宋"/>
          <w:color w:val="auto"/>
          <w:sz w:val="32"/>
          <w:szCs w:val="32"/>
          <w:highlight w:val="none"/>
        </w:rPr>
        <w:t>%</w:t>
      </w:r>
      <w:r>
        <w:rPr>
          <w:rFonts w:hint="eastAsia" w:ascii="仿宋" w:hAnsi="仿宋" w:eastAsia="仿宋"/>
          <w:color w:val="auto"/>
          <w:sz w:val="32"/>
          <w:szCs w:val="32"/>
          <w:highlight w:val="none"/>
        </w:rPr>
        <w:t>。具体情况如下：</w:t>
      </w:r>
    </w:p>
    <w:p w14:paraId="080B68EA">
      <w:pPr>
        <w:spacing w:line="600" w:lineRule="exact"/>
        <w:ind w:firstLine="64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（图7：“三公”经费财政拨款支出结构）（饼状图）</w:t>
      </w:r>
    </w:p>
    <w:p w14:paraId="5C7DE298">
      <w:pPr>
        <w:pStyle w:val="6"/>
        <w:rPr>
          <w:rFonts w:hint="eastAsia" w:eastAsia="仿宋"/>
          <w:lang w:eastAsia="zh-CN"/>
        </w:rPr>
      </w:pPr>
      <w:r>
        <w:rPr>
          <w:rFonts w:hint="eastAsia" w:eastAsia="仿宋"/>
          <w:lang w:eastAsia="zh-CN"/>
        </w:rPr>
        <w:drawing>
          <wp:inline distT="0" distB="0" distL="114300" distR="114300">
            <wp:extent cx="5080000" cy="3810000"/>
            <wp:effectExtent l="4445" t="4445" r="20955" b="14605"/>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E19D7EE">
      <w:pPr>
        <w:spacing w:line="600" w:lineRule="exact"/>
        <w:ind w:firstLine="640"/>
        <w:rPr>
          <w:rFonts w:ascii="仿宋_GB2312" w:eastAsia="仿宋_GB2312"/>
          <w:color w:val="auto"/>
          <w:sz w:val="32"/>
          <w:szCs w:val="32"/>
          <w:highlight w:val="none"/>
          <w:lang w:val="en-US"/>
        </w:rPr>
      </w:pPr>
      <w:r>
        <w:rPr>
          <w:rFonts w:ascii="仿宋_GB2312" w:eastAsia="仿宋_GB2312"/>
          <w:b/>
          <w:color w:val="auto"/>
          <w:sz w:val="32"/>
          <w:szCs w:val="32"/>
          <w:highlight w:val="none"/>
        </w:rPr>
        <w:t>1.</w:t>
      </w:r>
      <w:r>
        <w:rPr>
          <w:rFonts w:hint="eastAsia" w:ascii="仿宋_GB2312" w:eastAsia="仿宋_GB2312"/>
          <w:b/>
          <w:color w:val="auto"/>
          <w:sz w:val="32"/>
          <w:szCs w:val="32"/>
          <w:highlight w:val="none"/>
        </w:rPr>
        <w:t>因公出国（境）经费支出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Style w:val="16"/>
          <w:rFonts w:hint="eastAsia" w:ascii="仿宋" w:hAnsi="仿宋" w:eastAsia="仿宋"/>
          <w:b w:val="0"/>
          <w:bCs/>
          <w:color w:val="auto"/>
          <w:sz w:val="32"/>
          <w:szCs w:val="32"/>
          <w:highlight w:val="none"/>
        </w:rPr>
        <w:t>完成预算</w:t>
      </w:r>
      <w:r>
        <w:rPr>
          <w:rStyle w:val="16"/>
          <w:rFonts w:hint="eastAsia" w:ascii="仿宋" w:hAnsi="仿宋" w:eastAsia="仿宋"/>
          <w:b w:val="0"/>
          <w:bCs/>
          <w:color w:val="auto"/>
          <w:sz w:val="32"/>
          <w:szCs w:val="32"/>
          <w:highlight w:val="none"/>
          <w:lang w:val="en-US" w:eastAsia="zh-CN"/>
        </w:rPr>
        <w:t>0</w:t>
      </w:r>
      <w:r>
        <w:rPr>
          <w:rStyle w:val="16"/>
          <w:rFonts w:ascii="仿宋" w:hAnsi="仿宋" w:eastAsia="仿宋"/>
          <w:b w:val="0"/>
          <w:bCs/>
          <w:color w:val="auto"/>
          <w:sz w:val="32"/>
          <w:szCs w:val="32"/>
          <w:highlight w:val="none"/>
        </w:rPr>
        <w:t>%</w:t>
      </w:r>
      <w:r>
        <w:rPr>
          <w:rStyle w:val="16"/>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全年安排因公出国（境）团组</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次，出国（境）</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人。因公出国（境）支出决算比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20</w:t>
      </w:r>
      <w:r>
        <w:rPr>
          <w:rFonts w:hint="eastAsia" w:ascii="仿宋_GB2312" w:eastAsia="仿宋_GB2312"/>
          <w:color w:val="auto"/>
          <w:sz w:val="32"/>
          <w:szCs w:val="32"/>
          <w:highlight w:val="none"/>
        </w:rPr>
        <w:t>年增加</w:t>
      </w:r>
      <w:r>
        <w:rPr>
          <w:rFonts w:ascii="仿宋_GB2312" w:eastAsia="仿宋_GB2312"/>
          <w:color w:val="auto"/>
          <w:sz w:val="32"/>
          <w:szCs w:val="32"/>
          <w:highlight w:val="none"/>
        </w:rPr>
        <w:t>/</w:t>
      </w:r>
      <w:r>
        <w:rPr>
          <w:rFonts w:hint="eastAsia" w:ascii="仿宋_GB2312" w:eastAsia="仿宋_GB2312"/>
          <w:color w:val="auto"/>
          <w:sz w:val="32"/>
          <w:szCs w:val="32"/>
          <w:highlight w:val="none"/>
        </w:rPr>
        <w:t>减少</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万元，增长</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下降</w:t>
      </w:r>
      <w:r>
        <w:rPr>
          <w:rFonts w:hint="eastAsia" w:ascii="仿宋_GB2312" w:eastAsia="仿宋_GB2312"/>
          <w:color w:val="auto"/>
          <w:sz w:val="32"/>
          <w:szCs w:val="32"/>
          <w:highlight w:val="none"/>
          <w:lang w:val="en-US" w:eastAsia="zh-CN"/>
        </w:rPr>
        <w:t>0</w:t>
      </w:r>
      <w:r>
        <w:rPr>
          <w:rFonts w:ascii="仿宋_GB2312" w:eastAsia="仿宋_GB2312"/>
          <w:color w:val="auto"/>
          <w:sz w:val="32"/>
          <w:szCs w:val="32"/>
          <w:highlight w:val="none"/>
        </w:rPr>
        <w:t>%</w:t>
      </w:r>
      <w:r>
        <w:rPr>
          <w:rFonts w:hint="eastAsia" w:ascii="仿宋_GB2312" w:eastAsia="仿宋_GB2312"/>
          <w:color w:val="auto"/>
          <w:sz w:val="32"/>
          <w:szCs w:val="32"/>
          <w:highlight w:val="none"/>
        </w:rPr>
        <w:t>。</w:t>
      </w:r>
    </w:p>
    <w:p w14:paraId="139D1436">
      <w:pPr>
        <w:spacing w:line="600" w:lineRule="exact"/>
        <w:ind w:firstLine="640"/>
        <w:rPr>
          <w:rFonts w:ascii="仿宋_GB2312" w:eastAsia="仿宋_GB2312"/>
          <w:b/>
          <w:color w:val="auto"/>
          <w:sz w:val="32"/>
          <w:szCs w:val="32"/>
          <w:highlight w:val="none"/>
        </w:rPr>
      </w:pPr>
      <w:r>
        <w:rPr>
          <w:rFonts w:ascii="仿宋_GB2312" w:eastAsia="仿宋_GB2312"/>
          <w:b/>
          <w:color w:val="auto"/>
          <w:sz w:val="32"/>
          <w:szCs w:val="32"/>
          <w:highlight w:val="none"/>
        </w:rPr>
        <w:t>2.</w:t>
      </w:r>
      <w:r>
        <w:rPr>
          <w:rFonts w:hint="eastAsia" w:ascii="仿宋_GB2312" w:eastAsia="仿宋_GB2312"/>
          <w:b/>
          <w:color w:val="auto"/>
          <w:sz w:val="32"/>
          <w:szCs w:val="32"/>
          <w:highlight w:val="none"/>
        </w:rPr>
        <w:t>公务用车购置及运行维护费支出</w:t>
      </w:r>
      <w:r>
        <w:rPr>
          <w:rFonts w:hint="eastAsia" w:ascii="仿宋_GB2312" w:eastAsia="仿宋_GB2312"/>
          <w:color w:val="auto"/>
          <w:sz w:val="32"/>
          <w:szCs w:val="32"/>
          <w:highlight w:val="none"/>
          <w:lang w:val="en-US" w:eastAsia="zh-CN"/>
        </w:rPr>
        <w:t>14.40</w:t>
      </w:r>
      <w:r>
        <w:rPr>
          <w:rFonts w:hint="eastAsia" w:ascii="仿宋_GB2312" w:eastAsia="仿宋_GB2312"/>
          <w:color w:val="auto"/>
          <w:sz w:val="32"/>
          <w:szCs w:val="32"/>
          <w:highlight w:val="none"/>
        </w:rPr>
        <w:t>万元,</w:t>
      </w:r>
      <w:r>
        <w:rPr>
          <w:rStyle w:val="16"/>
          <w:rFonts w:hint="eastAsia" w:ascii="仿宋" w:hAnsi="仿宋" w:eastAsia="仿宋"/>
          <w:b w:val="0"/>
          <w:bCs/>
          <w:color w:val="auto"/>
          <w:sz w:val="32"/>
          <w:szCs w:val="32"/>
          <w:highlight w:val="none"/>
        </w:rPr>
        <w:t>完成预算</w:t>
      </w:r>
      <w:r>
        <w:rPr>
          <w:rStyle w:val="16"/>
          <w:rFonts w:hint="eastAsia" w:ascii="仿宋" w:hAnsi="仿宋" w:eastAsia="仿宋"/>
          <w:b w:val="0"/>
          <w:bCs/>
          <w:color w:val="auto"/>
          <w:sz w:val="32"/>
          <w:szCs w:val="32"/>
          <w:highlight w:val="none"/>
          <w:lang w:val="en-US" w:eastAsia="zh-CN"/>
        </w:rPr>
        <w:t>100</w:t>
      </w:r>
      <w:r>
        <w:rPr>
          <w:rStyle w:val="16"/>
          <w:rFonts w:ascii="仿宋" w:hAnsi="仿宋" w:eastAsia="仿宋"/>
          <w:b w:val="0"/>
          <w:bCs/>
          <w:color w:val="auto"/>
          <w:sz w:val="32"/>
          <w:szCs w:val="32"/>
          <w:highlight w:val="none"/>
        </w:rPr>
        <w:t>%</w:t>
      </w:r>
      <w:r>
        <w:rPr>
          <w:rStyle w:val="16"/>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公务用车购置及运行维护费支出决算比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20</w:t>
      </w:r>
      <w:r>
        <w:rPr>
          <w:rFonts w:hint="eastAsia" w:ascii="仿宋_GB2312" w:eastAsia="仿宋_GB2312"/>
          <w:color w:val="auto"/>
          <w:sz w:val="32"/>
          <w:szCs w:val="32"/>
          <w:highlight w:val="none"/>
        </w:rPr>
        <w:t>年增加</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万元，增长</w:t>
      </w:r>
      <w:r>
        <w:rPr>
          <w:rFonts w:hint="eastAsia" w:ascii="仿宋_GB2312" w:eastAsia="仿宋_GB2312"/>
          <w:color w:val="auto"/>
          <w:sz w:val="32"/>
          <w:szCs w:val="32"/>
          <w:highlight w:val="none"/>
          <w:lang w:val="en-US" w:eastAsia="zh-CN"/>
        </w:rPr>
        <w:t>0</w:t>
      </w:r>
      <w:r>
        <w:rPr>
          <w:rFonts w:ascii="仿宋_GB2312" w:eastAsia="仿宋_GB2312"/>
          <w:color w:val="auto"/>
          <w:sz w:val="32"/>
          <w:szCs w:val="32"/>
          <w:highlight w:val="none"/>
        </w:rPr>
        <w:t>%</w:t>
      </w:r>
      <w:r>
        <w:rPr>
          <w:rFonts w:hint="eastAsia" w:ascii="仿宋_GB2312" w:eastAsia="仿宋_GB2312"/>
          <w:color w:val="auto"/>
          <w:sz w:val="32"/>
          <w:szCs w:val="32"/>
          <w:highlight w:val="none"/>
        </w:rPr>
        <w:t>。</w:t>
      </w:r>
    </w:p>
    <w:p w14:paraId="0ED85D0F">
      <w:pPr>
        <w:spacing w:line="600" w:lineRule="exact"/>
        <w:ind w:firstLine="640" w:firstLineChars="200"/>
        <w:rPr>
          <w:rFonts w:ascii="仿宋_GB2312" w:eastAsia="仿宋_GB2312"/>
          <w:b/>
          <w:color w:val="auto"/>
          <w:sz w:val="32"/>
          <w:szCs w:val="32"/>
          <w:highlight w:val="none"/>
        </w:rPr>
      </w:pPr>
      <w:r>
        <w:rPr>
          <w:rFonts w:hint="eastAsia" w:ascii="仿宋_GB2312" w:eastAsia="仿宋_GB2312"/>
          <w:color w:val="auto"/>
          <w:sz w:val="32"/>
          <w:szCs w:val="32"/>
          <w:highlight w:val="none"/>
        </w:rPr>
        <w:t>其中：</w:t>
      </w:r>
      <w:r>
        <w:rPr>
          <w:rFonts w:hint="eastAsia" w:ascii="仿宋_GB2312" w:eastAsia="仿宋_GB2312"/>
          <w:b/>
          <w:color w:val="auto"/>
          <w:sz w:val="32"/>
          <w:szCs w:val="32"/>
          <w:highlight w:val="none"/>
        </w:rPr>
        <w:t>公务用车购置支出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万元。全年按规定更新购置公务用车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辆，其中：轿车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万元，越野车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万元，载客汽车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万元。截至</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月底，单位共有公务用车</w:t>
      </w:r>
      <w:r>
        <w:rPr>
          <w:rFonts w:hint="eastAsia" w:ascii="仿宋_GB2312" w:eastAsia="仿宋_GB2312"/>
          <w:color w:val="auto"/>
          <w:sz w:val="32"/>
          <w:szCs w:val="32"/>
          <w:highlight w:val="none"/>
          <w:lang w:val="en-US" w:eastAsia="zh-CN"/>
        </w:rPr>
        <w:t>14</w:t>
      </w:r>
      <w:r>
        <w:rPr>
          <w:rFonts w:hint="eastAsia" w:ascii="仿宋_GB2312" w:eastAsia="仿宋_GB2312"/>
          <w:color w:val="auto"/>
          <w:sz w:val="32"/>
          <w:szCs w:val="32"/>
          <w:highlight w:val="none"/>
        </w:rPr>
        <w:t>辆，其中：</w:t>
      </w:r>
      <w:r>
        <w:rPr>
          <w:rFonts w:hint="eastAsia" w:ascii="仿宋_GB2312" w:eastAsia="仿宋_GB2312"/>
          <w:color w:val="000000"/>
          <w:sz w:val="32"/>
          <w:szCs w:val="32"/>
        </w:rPr>
        <w:t>轿车5辆、越野车2辆、载客汽车7辆。</w:t>
      </w:r>
    </w:p>
    <w:p w14:paraId="0F7DFDD0">
      <w:pPr>
        <w:spacing w:line="600" w:lineRule="exact"/>
        <w:ind w:firstLine="640"/>
        <w:rPr>
          <w:rFonts w:hint="eastAsia" w:ascii="仿宋_GB2312" w:eastAsia="仿宋_GB2312"/>
          <w:color w:val="000000"/>
          <w:sz w:val="32"/>
          <w:szCs w:val="32"/>
        </w:rPr>
      </w:pPr>
      <w:r>
        <w:rPr>
          <w:rFonts w:hint="eastAsia" w:ascii="仿宋_GB2312" w:eastAsia="仿宋_GB2312"/>
          <w:b/>
          <w:color w:val="auto"/>
          <w:sz w:val="32"/>
          <w:szCs w:val="32"/>
          <w:highlight w:val="none"/>
        </w:rPr>
        <w:t>公务用车运行维护费支出</w:t>
      </w:r>
      <w:r>
        <w:rPr>
          <w:rFonts w:hint="eastAsia" w:ascii="仿宋_GB2312" w:eastAsia="仿宋_GB2312"/>
          <w:color w:val="auto"/>
          <w:sz w:val="32"/>
          <w:szCs w:val="32"/>
          <w:highlight w:val="none"/>
          <w:lang w:val="en-US" w:eastAsia="zh-CN"/>
        </w:rPr>
        <w:t>14.40</w:t>
      </w:r>
      <w:r>
        <w:rPr>
          <w:rFonts w:hint="eastAsia" w:ascii="仿宋_GB2312" w:eastAsia="仿宋_GB2312"/>
          <w:color w:val="auto"/>
          <w:sz w:val="32"/>
          <w:szCs w:val="32"/>
          <w:highlight w:val="none"/>
        </w:rPr>
        <w:t>万元。</w:t>
      </w:r>
      <w:r>
        <w:rPr>
          <w:rFonts w:hint="eastAsia" w:ascii="仿宋_GB2312" w:eastAsia="仿宋_GB2312"/>
          <w:color w:val="000000"/>
          <w:sz w:val="32"/>
          <w:szCs w:val="32"/>
        </w:rPr>
        <w:t>主要用于案件办理、执法执勤、巡逻防控、应急处突等所需的公务用车燃料费、维修</w:t>
      </w:r>
      <w:r>
        <w:rPr>
          <w:rFonts w:hint="eastAsia" w:ascii="仿宋_GB2312" w:eastAsia="仿宋_GB2312"/>
          <w:color w:val="000000"/>
          <w:sz w:val="32"/>
          <w:szCs w:val="32"/>
          <w:lang w:eastAsia="zh-CN"/>
        </w:rPr>
        <w:t>维护</w:t>
      </w:r>
      <w:r>
        <w:rPr>
          <w:rFonts w:hint="eastAsia" w:ascii="仿宋_GB2312" w:eastAsia="仿宋_GB2312"/>
          <w:color w:val="000000"/>
          <w:sz w:val="32"/>
          <w:szCs w:val="32"/>
        </w:rPr>
        <w:t>费、过路过桥费、保险费等支出。</w:t>
      </w:r>
    </w:p>
    <w:p w14:paraId="6D8C5840">
      <w:pPr>
        <w:spacing w:line="600" w:lineRule="exact"/>
        <w:ind w:firstLine="640"/>
        <w:rPr>
          <w:rFonts w:ascii="仿宋_GB2312" w:eastAsia="仿宋_GB2312"/>
          <w:color w:val="auto"/>
          <w:sz w:val="32"/>
          <w:szCs w:val="32"/>
          <w:highlight w:val="none"/>
        </w:rPr>
      </w:pPr>
      <w:r>
        <w:rPr>
          <w:rFonts w:ascii="仿宋_GB2312" w:eastAsia="仿宋_GB2312"/>
          <w:b/>
          <w:color w:val="auto"/>
          <w:sz w:val="32"/>
          <w:szCs w:val="32"/>
          <w:highlight w:val="none"/>
        </w:rPr>
        <w:t>3.</w:t>
      </w:r>
      <w:r>
        <w:rPr>
          <w:rFonts w:hint="eastAsia" w:ascii="仿宋_GB2312" w:eastAsia="仿宋_GB2312"/>
          <w:b/>
          <w:color w:val="auto"/>
          <w:sz w:val="32"/>
          <w:szCs w:val="32"/>
          <w:highlight w:val="none"/>
        </w:rPr>
        <w:t>公务接待费支出</w:t>
      </w:r>
      <w:r>
        <w:rPr>
          <w:rFonts w:hint="eastAsia" w:ascii="仿宋_GB2312" w:eastAsia="仿宋_GB2312"/>
          <w:color w:val="auto"/>
          <w:sz w:val="32"/>
          <w:szCs w:val="32"/>
          <w:highlight w:val="none"/>
          <w:lang w:val="en-US" w:eastAsia="zh-CN"/>
        </w:rPr>
        <w:t>0.11</w:t>
      </w:r>
      <w:r>
        <w:rPr>
          <w:rFonts w:hint="eastAsia" w:ascii="仿宋_GB2312" w:eastAsia="仿宋_GB2312"/>
          <w:color w:val="auto"/>
          <w:sz w:val="32"/>
          <w:szCs w:val="32"/>
          <w:highlight w:val="none"/>
        </w:rPr>
        <w:t>万元，</w:t>
      </w:r>
      <w:r>
        <w:rPr>
          <w:rStyle w:val="16"/>
          <w:rFonts w:hint="eastAsia" w:ascii="仿宋" w:hAnsi="仿宋" w:eastAsia="仿宋"/>
          <w:b w:val="0"/>
          <w:bCs/>
          <w:color w:val="auto"/>
          <w:sz w:val="32"/>
          <w:szCs w:val="32"/>
          <w:highlight w:val="none"/>
        </w:rPr>
        <w:t>完成预算</w:t>
      </w:r>
      <w:r>
        <w:rPr>
          <w:rStyle w:val="16"/>
          <w:rFonts w:hint="eastAsia" w:ascii="仿宋" w:hAnsi="仿宋" w:eastAsia="仿宋"/>
          <w:b w:val="0"/>
          <w:bCs/>
          <w:color w:val="auto"/>
          <w:sz w:val="32"/>
          <w:szCs w:val="32"/>
          <w:highlight w:val="none"/>
          <w:lang w:val="en-US" w:eastAsia="zh-CN"/>
        </w:rPr>
        <w:t>20.37</w:t>
      </w:r>
      <w:r>
        <w:rPr>
          <w:rStyle w:val="16"/>
          <w:rFonts w:ascii="仿宋" w:hAnsi="仿宋" w:eastAsia="仿宋"/>
          <w:b w:val="0"/>
          <w:bCs/>
          <w:color w:val="auto"/>
          <w:sz w:val="32"/>
          <w:szCs w:val="32"/>
          <w:highlight w:val="none"/>
        </w:rPr>
        <w:t>%</w:t>
      </w:r>
      <w:r>
        <w:rPr>
          <w:rStyle w:val="16"/>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公务接待费支出决算比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20</w:t>
      </w:r>
      <w:r>
        <w:rPr>
          <w:rFonts w:hint="eastAsia" w:ascii="仿宋_GB2312" w:eastAsia="仿宋_GB2312"/>
          <w:color w:val="auto"/>
          <w:sz w:val="32"/>
          <w:szCs w:val="32"/>
          <w:highlight w:val="none"/>
        </w:rPr>
        <w:t>年减少</w:t>
      </w:r>
      <w:r>
        <w:rPr>
          <w:rFonts w:hint="eastAsia" w:ascii="仿宋_GB2312" w:eastAsia="仿宋_GB2312"/>
          <w:color w:val="auto"/>
          <w:sz w:val="32"/>
          <w:szCs w:val="32"/>
          <w:highlight w:val="none"/>
          <w:lang w:val="en-US" w:eastAsia="zh-CN"/>
        </w:rPr>
        <w:t>0.07</w:t>
      </w:r>
      <w:r>
        <w:rPr>
          <w:rFonts w:hint="eastAsia" w:ascii="仿宋_GB2312" w:eastAsia="仿宋_GB2312"/>
          <w:color w:val="auto"/>
          <w:sz w:val="32"/>
          <w:szCs w:val="32"/>
          <w:highlight w:val="none"/>
        </w:rPr>
        <w:t>万元，下降</w:t>
      </w:r>
      <w:r>
        <w:rPr>
          <w:rFonts w:hint="eastAsia" w:ascii="仿宋_GB2312" w:eastAsia="仿宋_GB2312"/>
          <w:color w:val="auto"/>
          <w:sz w:val="32"/>
          <w:szCs w:val="32"/>
          <w:highlight w:val="none"/>
          <w:lang w:val="en-US" w:eastAsia="zh-CN"/>
        </w:rPr>
        <w:t>38.89</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。主要原因是</w:t>
      </w:r>
      <w:r>
        <w:rPr>
          <w:rFonts w:hint="eastAsia" w:ascii="仿宋" w:hAnsi="仿宋" w:eastAsia="仿宋"/>
          <w:color w:val="auto"/>
          <w:sz w:val="32"/>
          <w:szCs w:val="32"/>
          <w:highlight w:val="none"/>
          <w:lang w:eastAsia="zh-CN"/>
        </w:rPr>
        <w:t>厉行节约，减少了公务接待费的支出</w:t>
      </w:r>
      <w:r>
        <w:rPr>
          <w:rFonts w:hint="eastAsia" w:ascii="仿宋_GB2312" w:eastAsia="仿宋_GB2312"/>
          <w:color w:val="auto"/>
          <w:sz w:val="32"/>
          <w:szCs w:val="32"/>
          <w:highlight w:val="none"/>
        </w:rPr>
        <w:t>。其中：</w:t>
      </w:r>
    </w:p>
    <w:p w14:paraId="21907D9E">
      <w:pPr>
        <w:spacing w:line="600" w:lineRule="exact"/>
        <w:ind w:firstLine="640"/>
        <w:rPr>
          <w:rFonts w:ascii="仿宋_GB2312" w:eastAsia="仿宋_GB2312"/>
          <w:color w:val="auto"/>
          <w:sz w:val="32"/>
          <w:szCs w:val="32"/>
          <w:highlight w:val="none"/>
        </w:rPr>
      </w:pPr>
      <w:r>
        <w:rPr>
          <w:rFonts w:hint="eastAsia" w:ascii="仿宋" w:hAnsi="仿宋" w:eastAsia="仿宋"/>
          <w:b/>
          <w:color w:val="auto"/>
          <w:sz w:val="32"/>
          <w:szCs w:val="32"/>
          <w:highlight w:val="none"/>
        </w:rPr>
        <w:t>国内公务接待支出</w:t>
      </w:r>
      <w:r>
        <w:rPr>
          <w:rFonts w:hint="eastAsia" w:ascii="仿宋" w:hAnsi="仿宋" w:eastAsia="仿宋"/>
          <w:color w:val="auto"/>
          <w:sz w:val="32"/>
          <w:szCs w:val="32"/>
          <w:highlight w:val="none"/>
          <w:lang w:val="en-US" w:eastAsia="zh-CN"/>
        </w:rPr>
        <w:t>0.11</w:t>
      </w:r>
      <w:r>
        <w:rPr>
          <w:rFonts w:hint="eastAsia" w:ascii="仿宋_GB2312" w:eastAsia="仿宋_GB2312"/>
          <w:color w:val="auto"/>
          <w:sz w:val="32"/>
          <w:szCs w:val="32"/>
          <w:highlight w:val="none"/>
        </w:rPr>
        <w:t>万元，主要用于开展业务活动开支用餐费。国内公务接待</w:t>
      </w:r>
      <w:r>
        <w:rPr>
          <w:rFonts w:hint="eastAsia" w:ascii="仿宋_GB2312" w:eastAsia="仿宋_GB2312"/>
          <w:color w:val="auto"/>
          <w:sz w:val="32"/>
          <w:szCs w:val="32"/>
          <w:highlight w:val="none"/>
          <w:lang w:val="en-US" w:eastAsia="zh-CN"/>
        </w:rPr>
        <w:t>2</w:t>
      </w:r>
      <w:r>
        <w:rPr>
          <w:rFonts w:hint="eastAsia" w:ascii="仿宋_GB2312" w:eastAsia="仿宋_GB2312"/>
          <w:color w:val="auto"/>
          <w:sz w:val="32"/>
          <w:szCs w:val="32"/>
          <w:highlight w:val="none"/>
        </w:rPr>
        <w:t>批次，</w:t>
      </w:r>
      <w:r>
        <w:rPr>
          <w:rFonts w:hint="eastAsia" w:ascii="仿宋_GB2312" w:eastAsia="仿宋_GB2312"/>
          <w:color w:val="auto"/>
          <w:sz w:val="32"/>
          <w:szCs w:val="32"/>
          <w:highlight w:val="none"/>
          <w:lang w:val="en-US" w:eastAsia="zh-CN"/>
        </w:rPr>
        <w:t>15</w:t>
      </w:r>
      <w:r>
        <w:rPr>
          <w:rFonts w:hint="eastAsia" w:ascii="仿宋_GB2312" w:eastAsia="仿宋_GB2312"/>
          <w:color w:val="auto"/>
          <w:sz w:val="32"/>
          <w:szCs w:val="32"/>
          <w:highlight w:val="none"/>
        </w:rPr>
        <w:t>人次（不包括陪同人员），共计支出</w:t>
      </w:r>
      <w:r>
        <w:rPr>
          <w:rFonts w:hint="eastAsia" w:ascii="仿宋_GB2312" w:eastAsia="仿宋_GB2312"/>
          <w:color w:val="auto"/>
          <w:sz w:val="32"/>
          <w:szCs w:val="32"/>
          <w:highlight w:val="none"/>
          <w:lang w:val="en-US" w:eastAsia="zh-CN"/>
        </w:rPr>
        <w:t>0.11</w:t>
      </w:r>
      <w:r>
        <w:rPr>
          <w:rFonts w:hint="eastAsia" w:ascii="仿宋_GB2312" w:eastAsia="仿宋_GB2312"/>
          <w:color w:val="auto"/>
          <w:sz w:val="32"/>
          <w:szCs w:val="32"/>
          <w:highlight w:val="none"/>
        </w:rPr>
        <w:t>万元，具体内容包括</w:t>
      </w:r>
      <w:r>
        <w:rPr>
          <w:rFonts w:hint="eastAsia" w:ascii="仿宋_GB2312" w:eastAsia="仿宋_GB2312"/>
          <w:color w:val="auto"/>
          <w:sz w:val="32"/>
          <w:szCs w:val="32"/>
          <w:highlight w:val="none"/>
          <w:lang w:eastAsia="zh-CN"/>
        </w:rPr>
        <w:t>：</w:t>
      </w:r>
      <w:r>
        <w:rPr>
          <w:rFonts w:hint="eastAsia" w:ascii="仿宋_GB2312" w:eastAsia="仿宋_GB2312"/>
          <w:color w:val="000000"/>
          <w:sz w:val="32"/>
          <w:szCs w:val="32"/>
        </w:rPr>
        <w:t>接待</w:t>
      </w:r>
      <w:r>
        <w:rPr>
          <w:rFonts w:hint="eastAsia" w:ascii="仿宋_GB2312" w:eastAsia="仿宋_GB2312"/>
          <w:color w:val="000000"/>
          <w:sz w:val="32"/>
          <w:szCs w:val="32"/>
          <w:lang w:eastAsia="zh-CN"/>
        </w:rPr>
        <w:t>省公安厅领导到我单位慰问省厅下派民警，用餐费</w:t>
      </w:r>
      <w:r>
        <w:rPr>
          <w:rFonts w:hint="eastAsia" w:ascii="仿宋_GB2312" w:eastAsia="仿宋_GB2312"/>
          <w:color w:val="000000"/>
          <w:sz w:val="32"/>
          <w:szCs w:val="32"/>
          <w:lang w:val="en-US" w:eastAsia="zh-CN"/>
        </w:rPr>
        <w:t>0.06万元；接待</w:t>
      </w:r>
      <w:r>
        <w:rPr>
          <w:rFonts w:hint="eastAsia" w:ascii="仿宋_GB2312" w:eastAsia="仿宋_GB2312"/>
          <w:color w:val="000000"/>
          <w:sz w:val="32"/>
          <w:szCs w:val="32"/>
        </w:rPr>
        <w:t>射洪公安局到我单位开展公安业务交流活动，用餐费</w:t>
      </w:r>
      <w:r>
        <w:rPr>
          <w:rFonts w:hint="eastAsia" w:ascii="仿宋_GB2312" w:eastAsia="仿宋_GB2312"/>
          <w:color w:val="000000"/>
          <w:sz w:val="32"/>
          <w:szCs w:val="32"/>
          <w:lang w:val="en-US" w:eastAsia="zh-CN"/>
        </w:rPr>
        <w:t>0.05</w:t>
      </w:r>
      <w:r>
        <w:rPr>
          <w:rFonts w:hint="eastAsia" w:ascii="仿宋_GB2312" w:eastAsia="仿宋_GB2312"/>
          <w:color w:val="000000"/>
          <w:sz w:val="32"/>
          <w:szCs w:val="32"/>
        </w:rPr>
        <w:t>万元</w:t>
      </w:r>
      <w:r>
        <w:rPr>
          <w:rFonts w:hint="eastAsia" w:ascii="仿宋_GB2312" w:eastAsia="仿宋_GB2312"/>
          <w:color w:val="auto"/>
          <w:sz w:val="32"/>
          <w:szCs w:val="32"/>
          <w:highlight w:val="none"/>
        </w:rPr>
        <w:t>。</w:t>
      </w:r>
    </w:p>
    <w:p w14:paraId="3C86FB65">
      <w:pPr>
        <w:spacing w:line="600" w:lineRule="exact"/>
        <w:ind w:firstLine="643" w:firstLineChars="200"/>
        <w:rPr>
          <w:rFonts w:ascii="仿宋_GB2312" w:eastAsia="仿宋_GB2312"/>
          <w:color w:val="auto"/>
          <w:sz w:val="32"/>
          <w:szCs w:val="32"/>
          <w:highlight w:val="none"/>
        </w:rPr>
      </w:pPr>
      <w:r>
        <w:rPr>
          <w:rFonts w:hint="eastAsia" w:ascii="仿宋" w:hAnsi="仿宋" w:eastAsia="仿宋"/>
          <w:b/>
          <w:color w:val="auto"/>
          <w:sz w:val="32"/>
          <w:szCs w:val="32"/>
          <w:highlight w:val="none"/>
        </w:rPr>
        <w:t>外事接待支出</w:t>
      </w:r>
      <w:r>
        <w:rPr>
          <w:rFonts w:hint="eastAsia" w:ascii="仿宋" w:hAnsi="仿宋" w:eastAsia="仿宋"/>
          <w:color w:val="auto"/>
          <w:sz w:val="32"/>
          <w:szCs w:val="32"/>
          <w:highlight w:val="none"/>
          <w:lang w:val="en-US" w:eastAsia="zh-CN"/>
        </w:rPr>
        <w:t>0</w:t>
      </w:r>
      <w:r>
        <w:rPr>
          <w:rFonts w:hint="eastAsia" w:ascii="仿宋_GB2312" w:eastAsia="仿宋_GB2312"/>
          <w:color w:val="auto"/>
          <w:sz w:val="32"/>
          <w:szCs w:val="32"/>
          <w:highlight w:val="none"/>
        </w:rPr>
        <w:t>万元，外事接待</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批次，</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人，共计支出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w:t>
      </w:r>
    </w:p>
    <w:p w14:paraId="070CBFDE">
      <w:pPr>
        <w:spacing w:line="600" w:lineRule="exact"/>
        <w:ind w:firstLine="640"/>
        <w:outlineLvl w:val="1"/>
        <w:rPr>
          <w:rFonts w:ascii="黑体" w:eastAsia="黑体"/>
          <w:color w:val="auto"/>
          <w:sz w:val="32"/>
          <w:szCs w:val="32"/>
          <w:highlight w:val="none"/>
        </w:rPr>
      </w:pPr>
      <w:bookmarkStart w:id="40" w:name="_Toc15396610"/>
      <w:bookmarkStart w:id="41" w:name="_Toc15377218"/>
    </w:p>
    <w:p w14:paraId="33C1F0A5">
      <w:pPr>
        <w:spacing w:line="600" w:lineRule="exact"/>
        <w:ind w:firstLine="640"/>
        <w:outlineLvl w:val="1"/>
        <w:rPr>
          <w:rStyle w:val="27"/>
          <w:rFonts w:ascii="黑体" w:hAnsi="黑体" w:eastAsia="黑体"/>
          <w:color w:val="auto"/>
          <w:highlight w:val="none"/>
        </w:rPr>
      </w:pPr>
      <w:r>
        <w:rPr>
          <w:rFonts w:hint="eastAsia" w:ascii="黑体" w:eastAsia="黑体"/>
          <w:color w:val="auto"/>
          <w:sz w:val="32"/>
          <w:szCs w:val="32"/>
          <w:highlight w:val="none"/>
        </w:rPr>
        <w:t>八、</w:t>
      </w:r>
      <w:r>
        <w:rPr>
          <w:rStyle w:val="27"/>
          <w:rFonts w:hint="eastAsia" w:ascii="黑体" w:hAnsi="黑体" w:eastAsia="黑体"/>
          <w:b w:val="0"/>
          <w:color w:val="auto"/>
          <w:highlight w:val="none"/>
        </w:rPr>
        <w:t>政府性基金预算支出决算情况说明</w:t>
      </w:r>
      <w:bookmarkEnd w:id="40"/>
      <w:bookmarkEnd w:id="41"/>
    </w:p>
    <w:p w14:paraId="29F5EFB5">
      <w:pPr>
        <w:spacing w:line="600" w:lineRule="exact"/>
        <w:ind w:firstLine="640"/>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年政府性基金预算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14:paraId="0860770E">
      <w:pPr>
        <w:spacing w:line="600" w:lineRule="exact"/>
        <w:ind w:firstLine="640"/>
        <w:rPr>
          <w:rFonts w:ascii="仿宋_GB2312" w:eastAsia="仿宋_GB2312"/>
          <w:color w:val="auto"/>
          <w:sz w:val="32"/>
          <w:szCs w:val="32"/>
          <w:highlight w:val="none"/>
        </w:rPr>
      </w:pPr>
    </w:p>
    <w:p w14:paraId="6222306E">
      <w:pPr>
        <w:numPr>
          <w:ilvl w:val="0"/>
          <w:numId w:val="4"/>
        </w:numPr>
        <w:spacing w:line="600" w:lineRule="exact"/>
        <w:ind w:firstLine="640"/>
        <w:outlineLvl w:val="1"/>
        <w:rPr>
          <w:rStyle w:val="27"/>
          <w:rFonts w:ascii="黑体" w:hAnsi="黑体" w:eastAsia="黑体"/>
          <w:b w:val="0"/>
          <w:color w:val="auto"/>
          <w:highlight w:val="none"/>
        </w:rPr>
      </w:pPr>
      <w:bookmarkStart w:id="42" w:name="_Toc15396611"/>
      <w:bookmarkStart w:id="43" w:name="_Toc15377219"/>
      <w:r>
        <w:rPr>
          <w:rStyle w:val="27"/>
          <w:rFonts w:hint="eastAsia" w:ascii="黑体" w:hAnsi="黑体" w:eastAsia="黑体"/>
          <w:b w:val="0"/>
          <w:color w:val="auto"/>
          <w:highlight w:val="none"/>
        </w:rPr>
        <w:t>国有资本经营预算支出决算情况说明</w:t>
      </w:r>
      <w:bookmarkEnd w:id="42"/>
      <w:bookmarkEnd w:id="43"/>
    </w:p>
    <w:p w14:paraId="362B1896">
      <w:pPr>
        <w:spacing w:line="600" w:lineRule="exact"/>
        <w:ind w:firstLine="640"/>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年国有资本经营预算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14:paraId="4300314A">
      <w:pPr>
        <w:spacing w:line="580" w:lineRule="exact"/>
        <w:jc w:val="center"/>
        <w:rPr>
          <w:rFonts w:ascii="方正小标宋简体" w:hAnsi="方正小标宋简体" w:eastAsia="方正小标宋简体" w:cs="方正小标宋简体"/>
          <w:color w:val="auto"/>
          <w:sz w:val="44"/>
          <w:szCs w:val="44"/>
          <w:highlight w:val="none"/>
        </w:rPr>
      </w:pPr>
    </w:p>
    <w:p w14:paraId="2A473EFE">
      <w:pPr>
        <w:numPr>
          <w:ilvl w:val="0"/>
          <w:numId w:val="4"/>
        </w:numPr>
        <w:spacing w:line="600" w:lineRule="exact"/>
        <w:ind w:firstLine="640"/>
        <w:outlineLvl w:val="1"/>
        <w:rPr>
          <w:rStyle w:val="27"/>
          <w:rFonts w:hint="eastAsia" w:ascii="黑体" w:hAnsi="黑体" w:eastAsia="黑体"/>
          <w:b w:val="0"/>
          <w:color w:val="auto"/>
          <w:highlight w:val="none"/>
        </w:rPr>
      </w:pPr>
      <w:bookmarkStart w:id="44" w:name="_Toc15396612"/>
      <w:bookmarkStart w:id="45" w:name="_Toc15377221"/>
      <w:r>
        <w:rPr>
          <w:rStyle w:val="27"/>
          <w:rFonts w:hint="eastAsia" w:ascii="黑体" w:hAnsi="黑体" w:eastAsia="黑体"/>
          <w:b w:val="0"/>
          <w:color w:val="auto"/>
          <w:highlight w:val="none"/>
        </w:rPr>
        <w:t>其他重要事项的情况说明</w:t>
      </w:r>
      <w:bookmarkEnd w:id="44"/>
      <w:bookmarkEnd w:id="45"/>
    </w:p>
    <w:p w14:paraId="1809153E">
      <w:pPr>
        <w:spacing w:line="600" w:lineRule="exact"/>
        <w:ind w:firstLine="643" w:firstLineChars="200"/>
        <w:outlineLvl w:val="2"/>
        <w:rPr>
          <w:rFonts w:ascii="仿宋" w:hAnsi="仿宋" w:eastAsia="仿宋"/>
          <w:color w:val="auto"/>
          <w:sz w:val="32"/>
          <w:szCs w:val="32"/>
          <w:highlight w:val="none"/>
        </w:rPr>
      </w:pPr>
      <w:bookmarkStart w:id="46" w:name="_Toc15377222"/>
      <w:r>
        <w:rPr>
          <w:rFonts w:hint="eastAsia" w:ascii="仿宋" w:hAnsi="仿宋" w:eastAsia="仿宋"/>
          <w:b/>
          <w:color w:val="auto"/>
          <w:sz w:val="32"/>
          <w:szCs w:val="32"/>
          <w:highlight w:val="none"/>
        </w:rPr>
        <w:t>（一）机关运行经费支出情况</w:t>
      </w:r>
      <w:bookmarkEnd w:id="46"/>
    </w:p>
    <w:p w14:paraId="19538C8B">
      <w:pPr>
        <w:spacing w:line="60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w:t>
      </w:r>
      <w:r>
        <w:rPr>
          <w:rFonts w:hint="eastAsia" w:ascii="仿宋_GB2312" w:eastAsia="仿宋_GB2312"/>
          <w:color w:val="000000"/>
          <w:sz w:val="32"/>
          <w:szCs w:val="32"/>
        </w:rPr>
        <w:t>经开</w:t>
      </w:r>
      <w:r>
        <w:rPr>
          <w:rFonts w:hint="eastAsia" w:ascii="仿宋_GB2312" w:eastAsia="仿宋_GB2312"/>
          <w:color w:val="000000"/>
          <w:sz w:val="32"/>
          <w:szCs w:val="32"/>
          <w:lang w:eastAsia="zh-CN"/>
        </w:rPr>
        <w:t>公安</w:t>
      </w:r>
      <w:r>
        <w:rPr>
          <w:rFonts w:hint="eastAsia" w:ascii="仿宋_GB2312" w:eastAsia="仿宋_GB2312"/>
          <w:color w:val="000000"/>
          <w:sz w:val="32"/>
          <w:szCs w:val="32"/>
        </w:rPr>
        <w:t>分局</w:t>
      </w:r>
      <w:r>
        <w:rPr>
          <w:rFonts w:hint="eastAsia" w:ascii="仿宋_GB2312" w:eastAsia="仿宋_GB2312"/>
          <w:color w:val="auto"/>
          <w:sz w:val="32"/>
          <w:szCs w:val="32"/>
          <w:highlight w:val="none"/>
        </w:rPr>
        <w:t>机关运行经费支出</w:t>
      </w:r>
      <w:r>
        <w:rPr>
          <w:rFonts w:hint="eastAsia" w:ascii="仿宋_GB2312" w:eastAsia="仿宋_GB2312"/>
          <w:color w:val="auto"/>
          <w:sz w:val="32"/>
          <w:szCs w:val="32"/>
          <w:highlight w:val="none"/>
          <w:lang w:val="en-US" w:eastAsia="zh-CN"/>
        </w:rPr>
        <w:t>546.93</w:t>
      </w:r>
      <w:r>
        <w:rPr>
          <w:rFonts w:hint="eastAsia" w:ascii="仿宋_GB2312" w:eastAsia="仿宋_GB2312"/>
          <w:color w:val="auto"/>
          <w:sz w:val="32"/>
          <w:szCs w:val="32"/>
          <w:highlight w:val="none"/>
        </w:rPr>
        <w:t>万元，比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20</w:t>
      </w:r>
      <w:r>
        <w:rPr>
          <w:rFonts w:hint="eastAsia" w:ascii="仿宋_GB2312" w:eastAsia="仿宋_GB2312"/>
          <w:color w:val="auto"/>
          <w:sz w:val="32"/>
          <w:szCs w:val="32"/>
          <w:highlight w:val="none"/>
        </w:rPr>
        <w:t>年增加</w:t>
      </w:r>
      <w:r>
        <w:rPr>
          <w:rFonts w:hint="eastAsia" w:ascii="仿宋_GB2312" w:eastAsia="仿宋_GB2312"/>
          <w:color w:val="auto"/>
          <w:sz w:val="32"/>
          <w:szCs w:val="32"/>
          <w:highlight w:val="none"/>
          <w:lang w:val="en-US" w:eastAsia="zh-CN"/>
        </w:rPr>
        <w:t>13.05</w:t>
      </w:r>
      <w:r>
        <w:rPr>
          <w:rFonts w:hint="eastAsia" w:ascii="仿宋_GB2312" w:eastAsia="仿宋_GB2312"/>
          <w:color w:val="auto"/>
          <w:sz w:val="32"/>
          <w:szCs w:val="32"/>
          <w:highlight w:val="none"/>
        </w:rPr>
        <w:t>万元，增长</w:t>
      </w:r>
      <w:r>
        <w:rPr>
          <w:rFonts w:hint="eastAsia" w:ascii="仿宋_GB2312" w:eastAsia="仿宋_GB2312"/>
          <w:color w:val="auto"/>
          <w:sz w:val="32"/>
          <w:szCs w:val="32"/>
          <w:highlight w:val="none"/>
          <w:lang w:val="en-US" w:eastAsia="zh-CN"/>
        </w:rPr>
        <w:t>2.44</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。主要原因是</w:t>
      </w:r>
      <w:r>
        <w:rPr>
          <w:rFonts w:hint="eastAsia" w:ascii="仿宋_GB2312" w:eastAsia="仿宋_GB2312"/>
          <w:color w:val="auto"/>
          <w:sz w:val="32"/>
          <w:szCs w:val="32"/>
          <w:highlight w:val="none"/>
          <w:lang w:eastAsia="zh-CN"/>
        </w:rPr>
        <w:t>用于疫情防控期间防疫物资采购、核酸检测执勤等防控工作开展所需的各项必要支出。</w:t>
      </w:r>
    </w:p>
    <w:p w14:paraId="60BDAE17">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bookmarkStart w:id="47" w:name="_Toc15377223"/>
      <w:r>
        <w:rPr>
          <w:rFonts w:hint="eastAsia" w:ascii="仿宋" w:hAnsi="仿宋" w:eastAsia="仿宋"/>
          <w:b/>
          <w:color w:val="auto"/>
          <w:sz w:val="32"/>
          <w:szCs w:val="32"/>
          <w:highlight w:val="none"/>
        </w:rPr>
        <w:t>（二）政府采购支出情况</w:t>
      </w:r>
      <w:bookmarkEnd w:id="47"/>
    </w:p>
    <w:p w14:paraId="3A5DFA90">
      <w:pPr>
        <w:spacing w:line="60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eastAsia="zh-CN"/>
        </w:rPr>
        <w:t>经开公安分局</w:t>
      </w:r>
      <w:r>
        <w:rPr>
          <w:rFonts w:hint="eastAsia" w:ascii="仿宋_GB2312" w:eastAsia="仿宋_GB2312"/>
          <w:color w:val="auto"/>
          <w:sz w:val="32"/>
          <w:szCs w:val="32"/>
          <w:highlight w:val="none"/>
        </w:rPr>
        <w:t>政府采购支出总额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万元，其中：政府采购货物支出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万元、政府采购工程支出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万元、政府采购服务支出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万元。授予中小企业合同金额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万元，占政府采购支出总额的</w:t>
      </w:r>
      <w:r>
        <w:rPr>
          <w:rFonts w:hint="eastAsia" w:ascii="仿宋_GB2312" w:eastAsia="仿宋_GB2312"/>
          <w:color w:val="auto"/>
          <w:sz w:val="32"/>
          <w:szCs w:val="32"/>
          <w:highlight w:val="none"/>
          <w:lang w:val="en-US" w:eastAsia="zh-CN"/>
        </w:rPr>
        <w:t>0</w:t>
      </w:r>
      <w:r>
        <w:rPr>
          <w:rFonts w:ascii="仿宋_GB2312" w:eastAsia="仿宋_GB2312"/>
          <w:color w:val="auto"/>
          <w:sz w:val="32"/>
          <w:szCs w:val="32"/>
          <w:highlight w:val="none"/>
        </w:rPr>
        <w:t>%</w:t>
      </w:r>
      <w:r>
        <w:rPr>
          <w:rFonts w:hint="eastAsia" w:ascii="仿宋_GB2312" w:eastAsia="仿宋_GB2312"/>
          <w:color w:val="auto"/>
          <w:sz w:val="32"/>
          <w:szCs w:val="32"/>
          <w:highlight w:val="none"/>
        </w:rPr>
        <w:t>，其中：授予小微企业合同金额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万元，占政府采购支出总额的</w:t>
      </w:r>
      <w:r>
        <w:rPr>
          <w:rFonts w:hint="eastAsia" w:ascii="仿宋_GB2312" w:eastAsia="仿宋_GB2312"/>
          <w:color w:val="auto"/>
          <w:sz w:val="32"/>
          <w:szCs w:val="32"/>
          <w:highlight w:val="none"/>
          <w:lang w:val="en-US" w:eastAsia="zh-CN"/>
        </w:rPr>
        <w:t>0</w:t>
      </w:r>
      <w:r>
        <w:rPr>
          <w:rFonts w:ascii="仿宋_GB2312" w:eastAsia="仿宋_GB2312"/>
          <w:color w:val="auto"/>
          <w:sz w:val="32"/>
          <w:szCs w:val="32"/>
          <w:highlight w:val="none"/>
        </w:rPr>
        <w:t>%</w:t>
      </w:r>
      <w:r>
        <w:rPr>
          <w:rFonts w:hint="eastAsia" w:ascii="仿宋_GB2312" w:eastAsia="仿宋_GB2312"/>
          <w:color w:val="auto"/>
          <w:sz w:val="32"/>
          <w:szCs w:val="32"/>
          <w:highlight w:val="none"/>
        </w:rPr>
        <w:t>。</w:t>
      </w:r>
    </w:p>
    <w:p w14:paraId="338CEF40">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bookmarkStart w:id="48" w:name="_Toc15377224"/>
      <w:r>
        <w:rPr>
          <w:rFonts w:hint="eastAsia" w:ascii="仿宋" w:hAnsi="仿宋" w:eastAsia="仿宋"/>
          <w:b/>
          <w:color w:val="auto"/>
          <w:sz w:val="32"/>
          <w:szCs w:val="32"/>
          <w:highlight w:val="none"/>
        </w:rPr>
        <w:t>（三）国有资产占有使用情况</w:t>
      </w:r>
      <w:bookmarkEnd w:id="48"/>
    </w:p>
    <w:p w14:paraId="58E3876F">
      <w:pPr>
        <w:autoSpaceDE w:val="0"/>
        <w:autoSpaceDN w:val="0"/>
        <w:adjustRightInd w:val="0"/>
        <w:spacing w:line="600" w:lineRule="exact"/>
        <w:ind w:firstLine="640" w:firstLineChars="200"/>
        <w:jc w:val="left"/>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截至</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w:t>
      </w:r>
      <w:r>
        <w:rPr>
          <w:rFonts w:ascii="仿宋_GB2312" w:eastAsia="仿宋_GB2312"/>
          <w:color w:val="auto"/>
          <w:sz w:val="32"/>
          <w:szCs w:val="32"/>
          <w:highlight w:val="none"/>
        </w:rPr>
        <w:t>31</w:t>
      </w:r>
      <w:r>
        <w:rPr>
          <w:rFonts w:hint="eastAsia" w:ascii="仿宋_GB2312" w:eastAsia="仿宋_GB2312"/>
          <w:color w:val="auto"/>
          <w:sz w:val="32"/>
          <w:szCs w:val="32"/>
          <w:highlight w:val="none"/>
        </w:rPr>
        <w:t>日，</w:t>
      </w:r>
      <w:r>
        <w:rPr>
          <w:rFonts w:hint="eastAsia" w:ascii="仿宋_GB2312" w:eastAsia="仿宋_GB2312"/>
          <w:color w:val="auto"/>
          <w:sz w:val="32"/>
          <w:szCs w:val="32"/>
          <w:highlight w:val="none"/>
          <w:lang w:eastAsia="zh-CN"/>
        </w:rPr>
        <w:t>经开公安分局</w:t>
      </w:r>
      <w:r>
        <w:rPr>
          <w:rFonts w:hint="eastAsia" w:ascii="仿宋_GB2312" w:eastAsia="仿宋_GB2312"/>
          <w:color w:val="auto"/>
          <w:sz w:val="32"/>
          <w:szCs w:val="32"/>
          <w:highlight w:val="none"/>
        </w:rPr>
        <w:t>共有车辆</w:t>
      </w:r>
      <w:r>
        <w:rPr>
          <w:rFonts w:hint="eastAsia" w:ascii="仿宋_GB2312" w:eastAsia="仿宋_GB2312"/>
          <w:color w:val="auto"/>
          <w:sz w:val="32"/>
          <w:szCs w:val="32"/>
          <w:highlight w:val="none"/>
          <w:lang w:val="en-US" w:eastAsia="zh-CN"/>
        </w:rPr>
        <w:t>14</w:t>
      </w:r>
      <w:r>
        <w:rPr>
          <w:rFonts w:hint="eastAsia" w:ascii="仿宋_GB2312" w:eastAsia="仿宋_GB2312"/>
          <w:color w:val="auto"/>
          <w:sz w:val="32"/>
          <w:szCs w:val="32"/>
          <w:highlight w:val="none"/>
        </w:rPr>
        <w:t>辆，其中：主要领导干部用车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辆、机要通信用车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辆、应急保障用车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w:t>
      </w:r>
      <w:r>
        <w:rPr>
          <w:rFonts w:hint="eastAsia" w:ascii="仿宋_GB2312" w:eastAsia="仿宋_GB2312"/>
          <w:color w:val="000000"/>
          <w:sz w:val="32"/>
          <w:szCs w:val="32"/>
        </w:rPr>
        <w:t>其他用车14辆。其他用车主要是用于执法执勤，单价</w:t>
      </w:r>
      <w:r>
        <w:rPr>
          <w:rFonts w:ascii="仿宋_GB2312" w:eastAsia="仿宋_GB2312"/>
          <w:color w:val="000000"/>
          <w:sz w:val="32"/>
          <w:szCs w:val="32"/>
        </w:rPr>
        <w:t>50</w:t>
      </w:r>
      <w:r>
        <w:rPr>
          <w:rFonts w:hint="eastAsia" w:ascii="仿宋_GB2312" w:eastAsia="仿宋_GB2312"/>
          <w:color w:val="000000"/>
          <w:sz w:val="32"/>
          <w:szCs w:val="32"/>
        </w:rPr>
        <w:t>万元以上通用设备0台（套），单价</w:t>
      </w:r>
      <w:r>
        <w:rPr>
          <w:rFonts w:ascii="仿宋_GB2312" w:eastAsia="仿宋_GB2312"/>
          <w:color w:val="000000"/>
          <w:sz w:val="32"/>
          <w:szCs w:val="32"/>
        </w:rPr>
        <w:t>100</w:t>
      </w:r>
      <w:r>
        <w:rPr>
          <w:rFonts w:hint="eastAsia" w:ascii="仿宋_GB2312" w:eastAsia="仿宋_GB2312"/>
          <w:color w:val="000000"/>
          <w:sz w:val="32"/>
          <w:szCs w:val="32"/>
        </w:rPr>
        <w:t>万元以上专用设备0台（套）。</w:t>
      </w:r>
    </w:p>
    <w:p w14:paraId="72EF0B3A">
      <w:pPr>
        <w:autoSpaceDE w:val="0"/>
        <w:autoSpaceDN w:val="0"/>
        <w:adjustRightInd w:val="0"/>
        <w:spacing w:line="600" w:lineRule="exact"/>
        <w:ind w:firstLine="643" w:firstLineChars="200"/>
        <w:jc w:val="left"/>
        <w:outlineLvl w:val="2"/>
        <w:rPr>
          <w:rFonts w:hint="eastAsia" w:ascii="仿宋" w:hAnsi="仿宋" w:eastAsia="仿宋"/>
          <w:b/>
          <w:color w:val="auto"/>
          <w:sz w:val="32"/>
          <w:szCs w:val="32"/>
          <w:highlight w:val="none"/>
          <w:lang w:eastAsia="zh-CN"/>
        </w:rPr>
      </w:pPr>
      <w:r>
        <w:rPr>
          <w:rFonts w:hint="eastAsia" w:ascii="仿宋" w:hAnsi="仿宋" w:eastAsia="仿宋"/>
          <w:b/>
          <w:color w:val="auto"/>
          <w:sz w:val="32"/>
          <w:szCs w:val="32"/>
          <w:highlight w:val="none"/>
        </w:rPr>
        <w:t>（四）预算绩效管理情况</w:t>
      </w:r>
    </w:p>
    <w:p w14:paraId="4C5A98F6">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无专项预算项目，因此未组织开展项目支出绩效评价。</w:t>
      </w:r>
    </w:p>
    <w:p w14:paraId="2C4A7F1C">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按要求对</w:t>
      </w:r>
      <w:r>
        <w:rPr>
          <w:rFonts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年部门整体支出开展绩效自评，从评价情况来看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分局绩效评价结果良好，绩效管理水平不断提高。</w:t>
      </w:r>
    </w:p>
    <w:p w14:paraId="3D1B5177">
      <w:pPr>
        <w:spacing w:line="580" w:lineRule="exact"/>
        <w:ind w:firstLine="643" w:firstLineChars="200"/>
        <w:rPr>
          <w:rFonts w:hint="eastAsia" w:ascii="仿宋_GB2312" w:hAnsi="仿宋_GB2312" w:eastAsia="仿宋_GB2312" w:cs="仿宋_GB2312"/>
          <w:sz w:val="32"/>
          <w:szCs w:val="32"/>
        </w:rPr>
      </w:pPr>
      <w:r>
        <w:rPr>
          <w:rFonts w:ascii="仿宋_GB2312" w:eastAsia="仿宋_GB2312"/>
          <w:b/>
          <w:color w:val="auto"/>
          <w:sz w:val="32"/>
          <w:szCs w:val="32"/>
          <w:highlight w:val="none"/>
        </w:rPr>
        <w:t>1.</w:t>
      </w:r>
      <w:r>
        <w:rPr>
          <w:rFonts w:hint="eastAsia" w:ascii="楷体_GB2312" w:hAnsi="楷体_GB2312" w:eastAsia="楷体_GB2312" w:cs="楷体_GB2312"/>
          <w:sz w:val="32"/>
          <w:szCs w:val="32"/>
        </w:rPr>
        <w:t>项目绩效目标完成情况。</w:t>
      </w:r>
      <w:r>
        <w:rPr>
          <w:rFonts w:ascii="楷体_GB2312" w:hAnsi="楷体_GB2312" w:eastAsia="楷体_GB2312" w:cs="楷体_GB2312"/>
          <w:sz w:val="32"/>
          <w:szCs w:val="32"/>
        </w:rPr>
        <w:br w:type="textWrapping"/>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本</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无专项预算项目，因此未组织开展项目支出绩效评价。</w:t>
      </w:r>
    </w:p>
    <w:p w14:paraId="47DD9F32">
      <w:pPr>
        <w:spacing w:line="580" w:lineRule="exact"/>
        <w:ind w:firstLine="643" w:firstLineChars="200"/>
        <w:rPr>
          <w:rFonts w:hint="eastAsia" w:ascii="仿宋_GB2312" w:hAnsi="仿宋_GB2312" w:eastAsia="仿宋_GB2312" w:cs="仿宋_GB2312"/>
          <w:color w:val="auto"/>
          <w:sz w:val="32"/>
          <w:szCs w:val="32"/>
          <w:highlight w:val="none"/>
        </w:rPr>
      </w:pPr>
      <w:r>
        <w:rPr>
          <w:rFonts w:hint="eastAsia" w:ascii="仿宋_GB2312" w:eastAsia="仿宋_GB2312"/>
          <w:b/>
          <w:color w:val="auto"/>
          <w:sz w:val="32"/>
          <w:szCs w:val="32"/>
          <w:highlight w:val="none"/>
          <w:lang w:val="en-US" w:eastAsia="zh-CN"/>
        </w:rPr>
        <w:t>2</w:t>
      </w:r>
      <w:r>
        <w:rPr>
          <w:rFonts w:ascii="仿宋_GB2312" w:eastAsia="仿宋_GB2312"/>
          <w:b/>
          <w:color w:val="auto"/>
          <w:sz w:val="32"/>
          <w:szCs w:val="32"/>
          <w:highlight w:val="none"/>
        </w:rPr>
        <w:t>.</w:t>
      </w:r>
      <w:r>
        <w:rPr>
          <w:rFonts w:hint="eastAsia" w:ascii="楷体_GB2312" w:hAnsi="楷体_GB2312" w:eastAsia="楷体_GB2312" w:cs="楷体_GB2312"/>
          <w:sz w:val="32"/>
          <w:szCs w:val="32"/>
        </w:rPr>
        <w:t>部门绩效评价结果。</w:t>
      </w:r>
    </w:p>
    <w:p w14:paraId="4F3266D8">
      <w:pPr>
        <w:spacing w:line="58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根据预算绩效管理要求</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sz w:val="32"/>
          <w:szCs w:val="32"/>
        </w:rPr>
        <w:t>本</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按要求对</w:t>
      </w:r>
      <w:r>
        <w:rPr>
          <w:rFonts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年部门整体支出绩效评价情况开展自评，《</w:t>
      </w:r>
      <w:r>
        <w:rPr>
          <w:rFonts w:hint="eastAsia" w:ascii="仿宋_GB2312" w:hAnsi="仿宋_GB2312" w:eastAsia="仿宋_GB2312" w:cs="仿宋_GB2312"/>
          <w:color w:val="auto"/>
          <w:sz w:val="32"/>
          <w:szCs w:val="32"/>
          <w:highlight w:val="none"/>
          <w:lang w:eastAsia="zh-CN"/>
        </w:rPr>
        <w:t>2021</w:t>
      </w:r>
      <w:r>
        <w:rPr>
          <w:rFonts w:hint="eastAsia" w:ascii="仿宋_GB2312" w:hAnsi="仿宋_GB2312" w:eastAsia="仿宋_GB2312" w:cs="仿宋_GB2312"/>
          <w:color w:val="auto"/>
          <w:sz w:val="32"/>
          <w:szCs w:val="32"/>
          <w:highlight w:val="none"/>
        </w:rPr>
        <w:t>年遂宁市公安局经济技术开发区分局整体支出绩效报告》见附件（附件1）。</w:t>
      </w:r>
    </w:p>
    <w:p w14:paraId="4492F7DA">
      <w:pPr>
        <w:spacing w:line="580" w:lineRule="exact"/>
        <w:ind w:firstLine="420" w:firstLineChars="200"/>
        <w:rPr>
          <w:rFonts w:hint="eastAsia"/>
        </w:rPr>
      </w:pPr>
    </w:p>
    <w:p w14:paraId="568EA890">
      <w:pPr>
        <w:autoSpaceDE w:val="0"/>
        <w:autoSpaceDN w:val="0"/>
        <w:adjustRightInd w:val="0"/>
        <w:spacing w:line="600" w:lineRule="exact"/>
        <w:jc w:val="both"/>
        <w:rPr>
          <w:rFonts w:hint="eastAsia" w:ascii="仿宋" w:hAnsi="仿宋" w:eastAsia="仿宋"/>
          <w:b/>
          <w:bCs w:val="0"/>
          <w:color w:val="auto"/>
          <w:sz w:val="32"/>
          <w:szCs w:val="32"/>
          <w:highlight w:val="none"/>
        </w:rPr>
      </w:pPr>
    </w:p>
    <w:p w14:paraId="39142E6A">
      <w:pPr>
        <w:pStyle w:val="6"/>
        <w:rPr>
          <w:highlight w:val="yellow"/>
        </w:rPr>
      </w:pPr>
    </w:p>
    <w:p w14:paraId="194DD6CF">
      <w:pPr>
        <w:widowControl/>
        <w:jc w:val="left"/>
        <w:rPr>
          <w:rFonts w:ascii="仿宋_GB2312" w:eastAsia="仿宋_GB2312"/>
          <w:b/>
          <w:color w:val="auto"/>
          <w:sz w:val="32"/>
          <w:szCs w:val="32"/>
          <w:highlight w:val="none"/>
        </w:rPr>
      </w:pPr>
      <w:r>
        <w:rPr>
          <w:rFonts w:ascii="仿宋_GB2312" w:eastAsia="仿宋_GB2312"/>
          <w:b/>
          <w:color w:val="auto"/>
          <w:sz w:val="32"/>
          <w:szCs w:val="32"/>
          <w:highlight w:val="none"/>
        </w:rPr>
        <w:br w:type="page"/>
      </w:r>
    </w:p>
    <w:p w14:paraId="3E7867A1">
      <w:pPr>
        <w:numPr>
          <w:ilvl w:val="0"/>
          <w:numId w:val="5"/>
        </w:numPr>
        <w:spacing w:line="600" w:lineRule="exact"/>
        <w:ind w:firstLine="660" w:firstLineChars="150"/>
        <w:jc w:val="center"/>
        <w:outlineLvl w:val="0"/>
        <w:rPr>
          <w:rStyle w:val="26"/>
          <w:rFonts w:ascii="黑体" w:hAnsi="黑体" w:eastAsia="黑体"/>
          <w:b w:val="0"/>
          <w:color w:val="auto"/>
          <w:highlight w:val="none"/>
        </w:rPr>
      </w:pPr>
      <w:bookmarkStart w:id="49" w:name="_Toc15396613"/>
      <w:bookmarkStart w:id="50" w:name="_Toc15377225"/>
      <w:r>
        <w:rPr>
          <w:rFonts w:hint="eastAsia" w:ascii="黑体" w:hAnsi="黑体" w:eastAsia="黑体"/>
          <w:color w:val="auto"/>
          <w:sz w:val="44"/>
          <w:szCs w:val="44"/>
          <w:highlight w:val="none"/>
        </w:rPr>
        <w:t>名</w:t>
      </w:r>
      <w:r>
        <w:rPr>
          <w:rStyle w:val="26"/>
          <w:rFonts w:hint="eastAsia" w:ascii="黑体" w:hAnsi="黑体" w:eastAsia="黑体"/>
          <w:b w:val="0"/>
          <w:color w:val="auto"/>
          <w:highlight w:val="none"/>
        </w:rPr>
        <w:t>词解释</w:t>
      </w:r>
      <w:bookmarkEnd w:id="49"/>
      <w:bookmarkEnd w:id="50"/>
    </w:p>
    <w:p w14:paraId="7773581B">
      <w:pPr>
        <w:spacing w:line="600" w:lineRule="exact"/>
        <w:jc w:val="left"/>
        <w:rPr>
          <w:rFonts w:ascii="宋体"/>
          <w:b/>
          <w:color w:val="auto"/>
          <w:sz w:val="44"/>
          <w:szCs w:val="44"/>
          <w:highlight w:val="none"/>
        </w:rPr>
      </w:pPr>
    </w:p>
    <w:p w14:paraId="043DDEC0">
      <w:pPr>
        <w:pStyle w:val="24"/>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1.</w:t>
      </w:r>
      <w:r>
        <w:rPr>
          <w:rFonts w:hint="eastAsia" w:ascii="仿宋_GB2312" w:eastAsia="仿宋_GB2312"/>
          <w:color w:val="auto"/>
          <w:sz w:val="32"/>
          <w:szCs w:val="32"/>
          <w:highlight w:val="none"/>
        </w:rPr>
        <w:t>财政拨款收入：指单位从同级财政部门取得的财政预算资金。</w:t>
      </w:r>
    </w:p>
    <w:p w14:paraId="11E023DA">
      <w:pPr>
        <w:pStyle w:val="24"/>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2.</w:t>
      </w:r>
      <w:r>
        <w:rPr>
          <w:rFonts w:hint="eastAsia" w:ascii="仿宋_GB2312" w:eastAsia="仿宋_GB2312"/>
          <w:color w:val="auto"/>
          <w:sz w:val="32"/>
          <w:szCs w:val="32"/>
          <w:highlight w:val="none"/>
        </w:rPr>
        <w:t>其他收入：指单位取得的除上述收入以外的各项收入。主要是</w:t>
      </w:r>
      <w:r>
        <w:rPr>
          <w:rFonts w:hint="eastAsia" w:hAnsi="仿宋" w:cs="Times New Roman"/>
          <w:sz w:val="32"/>
          <w:szCs w:val="32"/>
        </w:rPr>
        <w:t>主要是省厅专项经费拨款、</w:t>
      </w:r>
      <w:r>
        <w:rPr>
          <w:rFonts w:hint="eastAsia" w:hAnsi="仿宋" w:cs="Times New Roman"/>
          <w:sz w:val="32"/>
          <w:szCs w:val="32"/>
          <w:lang w:eastAsia="zh-CN"/>
        </w:rPr>
        <w:t>开发区财政拨款以及</w:t>
      </w:r>
      <w:r>
        <w:rPr>
          <w:rFonts w:hint="eastAsia" w:hAnsi="仿宋" w:cs="Times New Roman"/>
          <w:sz w:val="32"/>
          <w:szCs w:val="32"/>
        </w:rPr>
        <w:t>存量资金</w:t>
      </w:r>
      <w:r>
        <w:rPr>
          <w:rFonts w:hint="eastAsia" w:ascii="仿宋_GB2312" w:eastAsia="仿宋_GB2312"/>
          <w:color w:val="auto"/>
          <w:sz w:val="32"/>
          <w:szCs w:val="32"/>
          <w:highlight w:val="none"/>
        </w:rPr>
        <w:t>等。</w:t>
      </w:r>
      <w:r>
        <w:rPr>
          <w:rFonts w:ascii="仿宋_GB2312" w:eastAsia="仿宋_GB2312"/>
          <w:color w:val="auto"/>
          <w:sz w:val="32"/>
          <w:szCs w:val="32"/>
          <w:highlight w:val="none"/>
        </w:rPr>
        <w:t xml:space="preserve">  </w:t>
      </w:r>
    </w:p>
    <w:p w14:paraId="40EE3E07">
      <w:pPr>
        <w:pStyle w:val="24"/>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3</w:t>
      </w:r>
      <w:r>
        <w:rPr>
          <w:rFonts w:ascii="仿宋_GB2312" w:eastAsia="仿宋_GB2312"/>
          <w:color w:val="auto"/>
          <w:sz w:val="32"/>
          <w:szCs w:val="32"/>
          <w:highlight w:val="none"/>
        </w:rPr>
        <w:t>.</w:t>
      </w:r>
      <w:r>
        <w:rPr>
          <w:rFonts w:hint="eastAsia" w:ascii="仿宋_GB2312" w:eastAsia="仿宋_GB2312"/>
          <w:color w:val="auto"/>
          <w:sz w:val="32"/>
          <w:szCs w:val="32"/>
          <w:highlight w:val="none"/>
        </w:rPr>
        <w:t>年初结转和结余：指以前年度尚未完成、结转到本年按有关规定继续使用的资金。</w:t>
      </w:r>
      <w:r>
        <w:rPr>
          <w:rFonts w:ascii="仿宋_GB2312" w:eastAsia="仿宋_GB2312"/>
          <w:color w:val="auto"/>
          <w:sz w:val="32"/>
          <w:szCs w:val="32"/>
          <w:highlight w:val="none"/>
        </w:rPr>
        <w:t xml:space="preserve"> </w:t>
      </w:r>
    </w:p>
    <w:p w14:paraId="1C68AC49">
      <w:pPr>
        <w:pStyle w:val="24"/>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4</w:t>
      </w:r>
      <w:r>
        <w:rPr>
          <w:rFonts w:hint="eastAsia" w:ascii="仿宋_GB2312" w:eastAsia="仿宋_GB2312"/>
          <w:color w:val="auto"/>
          <w:sz w:val="32"/>
          <w:szCs w:val="32"/>
          <w:highlight w:val="none"/>
        </w:rPr>
        <w:t>、年末结转和结余：指单位按有关规定结转到下年或以后年度继续使用的资金。</w:t>
      </w:r>
    </w:p>
    <w:p w14:paraId="1CA6CD4C">
      <w:pPr>
        <w:ind w:firstLine="640" w:firstLineChars="200"/>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5.公共安全支出（类）公安（款）行政运行（项）:指行政单位的基本支出。</w:t>
      </w:r>
    </w:p>
    <w:p w14:paraId="423EB1A0">
      <w:pPr>
        <w:pStyle w:val="24"/>
        <w:spacing w:line="560" w:lineRule="exact"/>
        <w:ind w:firstLine="640" w:firstLineChars="200"/>
        <w:rPr>
          <w:rFonts w:hint="eastAsia" w:hAnsi="仿宋" w:cs="Times New Roman"/>
          <w:sz w:val="32"/>
          <w:szCs w:val="32"/>
        </w:rPr>
      </w:pPr>
      <w:r>
        <w:rPr>
          <w:rFonts w:hint="eastAsia" w:hAnsi="仿宋" w:cs="Times New Roman"/>
          <w:sz w:val="32"/>
          <w:szCs w:val="32"/>
        </w:rPr>
        <w:t>6. 公共安全支出（类）公安（款）一般行政管理事务（项）:指行政单位未单独设置项级科目的其他项目支出。</w:t>
      </w:r>
    </w:p>
    <w:p w14:paraId="736A7B4C">
      <w:pPr>
        <w:pStyle w:val="24"/>
        <w:spacing w:line="560" w:lineRule="exact"/>
        <w:ind w:firstLine="640" w:firstLineChars="200"/>
        <w:rPr>
          <w:rFonts w:hint="eastAsia" w:hAnsi="仿宋" w:cs="Times New Roman"/>
          <w:sz w:val="32"/>
          <w:szCs w:val="32"/>
        </w:rPr>
      </w:pPr>
      <w:r>
        <w:rPr>
          <w:rFonts w:hint="eastAsia" w:hAnsi="仿宋" w:cs="Times New Roman"/>
          <w:sz w:val="32"/>
          <w:szCs w:val="32"/>
        </w:rPr>
        <w:t>7.公共安全支出（类）公安（款）执法办案（项）:指公安机关从事行政执法、刑事司法及侦查办案等相关活动的支出。</w:t>
      </w:r>
    </w:p>
    <w:p w14:paraId="192FED45">
      <w:pPr>
        <w:pStyle w:val="24"/>
        <w:spacing w:line="560" w:lineRule="exact"/>
        <w:ind w:firstLine="640" w:firstLineChars="200"/>
        <w:rPr>
          <w:rFonts w:hint="eastAsia" w:hAnsi="仿宋" w:cs="Times New Roman"/>
          <w:sz w:val="32"/>
          <w:szCs w:val="32"/>
        </w:rPr>
      </w:pPr>
      <w:r>
        <w:rPr>
          <w:rFonts w:hint="eastAsia" w:hAnsi="仿宋" w:cs="Times New Roman"/>
          <w:sz w:val="32"/>
          <w:szCs w:val="32"/>
        </w:rPr>
        <w:t>8. 社会保障和就业支出（类）行政事业单位离退休（款）未归口管理的行政单位离退休（项）:指未实行归口管理的行政单位（包括实行公务员管理的事业单位）开支的离退休支出。</w:t>
      </w:r>
    </w:p>
    <w:p w14:paraId="402AF9E3">
      <w:pPr>
        <w:pStyle w:val="24"/>
        <w:spacing w:line="560" w:lineRule="exact"/>
        <w:ind w:firstLine="640" w:firstLineChars="200"/>
        <w:rPr>
          <w:rFonts w:hint="eastAsia" w:hAnsi="仿宋" w:cs="Times New Roman"/>
          <w:sz w:val="32"/>
          <w:szCs w:val="32"/>
        </w:rPr>
      </w:pPr>
      <w:r>
        <w:rPr>
          <w:rFonts w:hint="eastAsia" w:hAnsi="仿宋" w:cs="Times New Roman"/>
          <w:sz w:val="32"/>
          <w:szCs w:val="32"/>
        </w:rPr>
        <w:t>9. 社会保障和就业支出（类）行政事业单位离退休（款）机关事业单位基本养老保险缴费支出（项）:指机关事业单位实施养老保险制度由单位缴纳的基本养老保险费支出。</w:t>
      </w:r>
    </w:p>
    <w:p w14:paraId="0093283F">
      <w:pPr>
        <w:pStyle w:val="24"/>
        <w:spacing w:line="560" w:lineRule="exact"/>
        <w:ind w:firstLine="640" w:firstLineChars="200"/>
        <w:rPr>
          <w:rFonts w:hint="eastAsia" w:hAnsi="仿宋" w:cs="Times New Roman"/>
          <w:sz w:val="32"/>
          <w:szCs w:val="32"/>
        </w:rPr>
      </w:pPr>
      <w:r>
        <w:rPr>
          <w:rFonts w:hint="eastAsia" w:hAnsi="仿宋" w:cs="Times New Roman"/>
          <w:sz w:val="32"/>
          <w:szCs w:val="32"/>
        </w:rPr>
        <w:t>10.卫生健康支出（类）公共卫生（款）其他公共卫生支出（项）:指其他用于卫生健康管理事务方面的支出。</w:t>
      </w:r>
    </w:p>
    <w:p w14:paraId="1950A114">
      <w:pPr>
        <w:pStyle w:val="24"/>
        <w:spacing w:line="560" w:lineRule="exact"/>
        <w:ind w:firstLine="640" w:firstLineChars="200"/>
        <w:rPr>
          <w:rFonts w:hint="eastAsia" w:hAnsi="仿宋" w:cs="Times New Roman"/>
          <w:sz w:val="32"/>
          <w:szCs w:val="32"/>
        </w:rPr>
      </w:pPr>
      <w:r>
        <w:rPr>
          <w:rFonts w:hint="eastAsia" w:hAnsi="仿宋" w:cs="Times New Roman"/>
          <w:sz w:val="32"/>
          <w:szCs w:val="32"/>
        </w:rPr>
        <w:t>11. 卫生健康支出（类）行政事业单位医疗（款）行政单位医疗（项）:指财政部门集中安排的行政单位基本医疗保险缴费经费，未参加医疗保险的行政单位的公费医疗经费，按国家规定享受离休人员、红军老战士待遇人员的医疗经费。</w:t>
      </w:r>
    </w:p>
    <w:p w14:paraId="1679A195">
      <w:pPr>
        <w:pStyle w:val="24"/>
        <w:spacing w:line="560" w:lineRule="exact"/>
        <w:ind w:firstLine="640" w:firstLineChars="200"/>
        <w:rPr>
          <w:rFonts w:hint="eastAsia" w:hAnsi="仿宋" w:cs="Times New Roman"/>
          <w:sz w:val="32"/>
          <w:szCs w:val="32"/>
        </w:rPr>
      </w:pPr>
      <w:r>
        <w:rPr>
          <w:rFonts w:hint="eastAsia" w:hAnsi="仿宋" w:cs="Times New Roman"/>
          <w:sz w:val="32"/>
          <w:szCs w:val="32"/>
        </w:rPr>
        <w:t>12. 卫生健康支出（类）医疗救助（款）其他医疗救助支出（项）: 指其他用于医疗救助方面的支出。</w:t>
      </w:r>
    </w:p>
    <w:p w14:paraId="1208D40D">
      <w:pPr>
        <w:pStyle w:val="24"/>
        <w:spacing w:line="560" w:lineRule="exact"/>
        <w:ind w:firstLine="640" w:firstLineChars="200"/>
        <w:rPr>
          <w:rFonts w:hint="eastAsia" w:hAnsi="仿宋"/>
          <w:b/>
          <w:sz w:val="32"/>
          <w:szCs w:val="32"/>
        </w:rPr>
      </w:pPr>
      <w:r>
        <w:rPr>
          <w:rFonts w:hint="eastAsia" w:hAnsi="仿宋" w:cs="Times New Roman"/>
          <w:sz w:val="32"/>
          <w:szCs w:val="32"/>
        </w:rPr>
        <w:t>13.住房保障支出（类）住房改革支出（款）住房公积金（项）: 指行政事业单位按人力资源和社会保障部、财政部规定的基本工资和津补贴以及规定比例为职工缴纳的住房公积金。</w:t>
      </w:r>
    </w:p>
    <w:p w14:paraId="0BEC21EF">
      <w:pPr>
        <w:pStyle w:val="24"/>
        <w:spacing w:line="560" w:lineRule="exact"/>
        <w:ind w:firstLine="640" w:firstLineChars="200"/>
        <w:rPr>
          <w:rFonts w:hint="eastAsia" w:hAnsi="仿宋" w:cs="Times New Roman"/>
          <w:sz w:val="32"/>
          <w:szCs w:val="32"/>
        </w:rPr>
      </w:pPr>
      <w:r>
        <w:rPr>
          <w:rFonts w:hint="eastAsia" w:hAnsi="仿宋" w:cs="Times New Roman"/>
          <w:sz w:val="32"/>
          <w:szCs w:val="32"/>
        </w:rPr>
        <w:t>14.其他支出（类）其他支出（款）其他支出（项）:指其他不能划分到具体功能科目中的支出项目。</w:t>
      </w:r>
    </w:p>
    <w:p w14:paraId="399AD54D">
      <w:pPr>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15</w:t>
      </w:r>
      <w:r>
        <w:rPr>
          <w:rFonts w:ascii="仿宋_GB2312" w:eastAsia="仿宋_GB2312"/>
          <w:color w:val="auto"/>
          <w:sz w:val="32"/>
          <w:szCs w:val="32"/>
          <w:highlight w:val="none"/>
        </w:rPr>
        <w:t>.</w:t>
      </w:r>
      <w:r>
        <w:rPr>
          <w:rFonts w:hint="eastAsia" w:ascii="仿宋_GB2312" w:eastAsia="仿宋_GB2312"/>
          <w:color w:val="auto"/>
          <w:sz w:val="32"/>
          <w:szCs w:val="32"/>
          <w:highlight w:val="none"/>
        </w:rPr>
        <w:t>基本支出：指为保障机构正常运转、完成日常工作任务而发生的人员支出和公用支出。</w:t>
      </w:r>
    </w:p>
    <w:p w14:paraId="17F9DE50">
      <w:pPr>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16</w:t>
      </w:r>
      <w:r>
        <w:rPr>
          <w:rFonts w:ascii="仿宋_GB2312" w:eastAsia="仿宋_GB2312"/>
          <w:color w:val="auto"/>
          <w:sz w:val="32"/>
          <w:szCs w:val="32"/>
          <w:highlight w:val="none"/>
        </w:rPr>
        <w:t>.</w:t>
      </w:r>
      <w:r>
        <w:rPr>
          <w:rFonts w:hint="eastAsia" w:ascii="仿宋_GB2312" w:eastAsia="仿宋_GB2312"/>
          <w:color w:val="auto"/>
          <w:sz w:val="32"/>
          <w:szCs w:val="32"/>
          <w:highlight w:val="none"/>
        </w:rPr>
        <w:t>项目支出：指在基本支出之外为完成特定行政任务和事业发展目标所发生的支出。</w:t>
      </w:r>
      <w:r>
        <w:rPr>
          <w:rFonts w:ascii="仿宋_GB2312" w:eastAsia="仿宋_GB2312"/>
          <w:color w:val="auto"/>
          <w:sz w:val="32"/>
          <w:szCs w:val="32"/>
          <w:highlight w:val="none"/>
        </w:rPr>
        <w:t xml:space="preserve"> </w:t>
      </w:r>
    </w:p>
    <w:p w14:paraId="51539D23">
      <w:pPr>
        <w:pStyle w:val="24"/>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17</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“三公”经费：指</w:t>
      </w:r>
      <w:r>
        <w:rPr>
          <w:rFonts w:hint="eastAsia" w:ascii="仿宋_GB2312" w:eastAsia="仿宋_GB2312"/>
          <w:color w:val="auto"/>
          <w:sz w:val="32"/>
          <w:szCs w:val="32"/>
          <w:highlight w:val="none"/>
          <w:lang w:eastAsia="zh-CN"/>
        </w:rPr>
        <w:t>单位</w:t>
      </w:r>
      <w:r>
        <w:rPr>
          <w:rFonts w:hint="eastAsia" w:ascii="仿宋_GB2312" w:eastAsia="仿宋_GB2312"/>
          <w:color w:val="auto"/>
          <w:sz w:val="32"/>
          <w:szCs w:val="32"/>
          <w:highlight w:val="none"/>
        </w:rPr>
        <w:t>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343ADA83">
      <w:pPr>
        <w:pStyle w:val="24"/>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18</w:t>
      </w:r>
      <w:r>
        <w:rPr>
          <w:rFonts w:ascii="仿宋_GB2312" w:eastAsia="仿宋_GB2312"/>
          <w:color w:val="auto"/>
          <w:sz w:val="32"/>
          <w:szCs w:val="32"/>
          <w:highlight w:val="none"/>
        </w:rPr>
        <w:t>.</w:t>
      </w:r>
      <w:r>
        <w:rPr>
          <w:rFonts w:hint="eastAsia" w:ascii="仿宋_GB2312" w:eastAsia="仿宋_GB2312"/>
          <w:color w:val="auto"/>
          <w:sz w:val="32"/>
          <w:szCs w:val="32"/>
          <w:highlight w:val="none"/>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物业管理费、公务用车运行维护费以及其他费用。</w:t>
      </w:r>
    </w:p>
    <w:p w14:paraId="75D49B6C">
      <w:pPr>
        <w:spacing w:line="600" w:lineRule="exact"/>
        <w:jc w:val="center"/>
        <w:outlineLvl w:val="0"/>
        <w:rPr>
          <w:rStyle w:val="26"/>
          <w:rFonts w:hint="eastAsia" w:ascii="黑体" w:hAnsi="黑体" w:eastAsia="黑体"/>
          <w:b w:val="0"/>
          <w:color w:val="auto"/>
          <w:highlight w:val="none"/>
        </w:rPr>
      </w:pPr>
      <w:bookmarkStart w:id="51" w:name="_Toc15377226"/>
      <w:r>
        <w:rPr>
          <w:rFonts w:ascii="宋体"/>
          <w:b/>
          <w:color w:val="auto"/>
          <w:sz w:val="44"/>
          <w:szCs w:val="44"/>
          <w:highlight w:val="none"/>
        </w:rPr>
        <w:br w:type="page"/>
      </w:r>
      <w:bookmarkStart w:id="52" w:name="_Toc15396614"/>
      <w:r>
        <w:rPr>
          <w:rFonts w:hint="eastAsia" w:ascii="黑体" w:hAnsi="黑体" w:eastAsia="黑体"/>
          <w:color w:val="auto"/>
          <w:sz w:val="44"/>
          <w:szCs w:val="44"/>
          <w:highlight w:val="none"/>
        </w:rPr>
        <w:t>第</w:t>
      </w:r>
      <w:r>
        <w:rPr>
          <w:rStyle w:val="26"/>
          <w:rFonts w:hint="eastAsia" w:ascii="黑体" w:hAnsi="黑体" w:eastAsia="黑体"/>
          <w:b w:val="0"/>
          <w:color w:val="auto"/>
          <w:highlight w:val="none"/>
        </w:rPr>
        <w:t>四部分 附件</w:t>
      </w:r>
      <w:bookmarkEnd w:id="52"/>
    </w:p>
    <w:p w14:paraId="34D275A5">
      <w:pPr>
        <w:keepNext w:val="0"/>
        <w:keepLines w:val="0"/>
        <w:pageBreakBefore w:val="0"/>
        <w:kinsoku/>
        <w:wordWrap/>
        <w:overflowPunct/>
        <w:topLinePunct w:val="0"/>
        <w:autoSpaceDE/>
        <w:autoSpaceDN/>
        <w:bidi w:val="0"/>
        <w:spacing w:line="572" w:lineRule="exact"/>
        <w:jc w:val="left"/>
        <w:textAlignment w:val="auto"/>
        <w:outlineLvl w:val="0"/>
        <w:rPr>
          <w:rFonts w:hint="eastAsia" w:ascii="仿宋_GB2312"/>
          <w:b/>
          <w:sz w:val="44"/>
          <w:szCs w:val="44"/>
          <w:shd w:val="clear" w:color="auto" w:fill="FFFFFF"/>
          <w:lang w:eastAsia="zh-CN"/>
        </w:rPr>
      </w:pPr>
      <w:r>
        <w:rPr>
          <w:rFonts w:hint="eastAsia" w:ascii="黑体" w:hAnsi="黑体" w:eastAsia="黑体" w:cs="黑体"/>
          <w:color w:val="auto"/>
          <w:sz w:val="32"/>
          <w:szCs w:val="32"/>
          <w:highlight w:val="none"/>
        </w:rPr>
        <w:t>附件</w:t>
      </w:r>
      <w:r>
        <w:rPr>
          <w:rFonts w:hint="eastAsia" w:ascii="黑体" w:hAnsi="黑体" w:eastAsia="黑体" w:cs="黑体"/>
          <w:color w:val="auto"/>
          <w:sz w:val="32"/>
          <w:szCs w:val="32"/>
          <w:highlight w:val="none"/>
          <w:lang w:val="en-US" w:eastAsia="zh-CN"/>
        </w:rPr>
        <w:t>1</w:t>
      </w:r>
    </w:p>
    <w:p w14:paraId="1EF06252">
      <w:pPr>
        <w:pStyle w:val="2"/>
        <w:numPr>
          <w:ilvl w:val="0"/>
          <w:numId w:val="0"/>
        </w:numPr>
        <w:tabs>
          <w:tab w:val="clear" w:pos="360"/>
        </w:tabs>
        <w:ind w:leftChars="0"/>
        <w:rPr>
          <w:rFonts w:hint="eastAsia"/>
          <w:lang w:eastAsia="zh-CN"/>
        </w:rPr>
      </w:pPr>
    </w:p>
    <w:p w14:paraId="72617E5C">
      <w:pPr>
        <w:jc w:val="center"/>
        <w:rPr>
          <w:rFonts w:hint="eastAsia" w:ascii="仿宋_GB2312" w:cs="方正小标宋简体"/>
          <w:b/>
          <w:sz w:val="44"/>
          <w:szCs w:val="44"/>
          <w:shd w:val="clear" w:color="auto" w:fill="FFFFFF"/>
        </w:rPr>
      </w:pPr>
      <w:r>
        <w:rPr>
          <w:rFonts w:hint="eastAsia" w:ascii="仿宋_GB2312"/>
          <w:b/>
          <w:sz w:val="44"/>
          <w:szCs w:val="44"/>
          <w:shd w:val="clear" w:color="auto" w:fill="FFFFFF"/>
          <w:lang w:eastAsia="zh-CN"/>
        </w:rPr>
        <w:t>2021</w:t>
      </w:r>
      <w:r>
        <w:rPr>
          <w:rFonts w:hint="eastAsia" w:ascii="仿宋_GB2312" w:cs="方正小标宋简体"/>
          <w:b/>
          <w:sz w:val="44"/>
          <w:szCs w:val="44"/>
          <w:shd w:val="clear" w:color="auto" w:fill="FFFFFF"/>
        </w:rPr>
        <w:t>年遂宁市公安局经济技术开发区分局整体支出绩效报告</w:t>
      </w:r>
    </w:p>
    <w:p w14:paraId="13AD74B6">
      <w:pPr>
        <w:pStyle w:val="2"/>
        <w:numPr>
          <w:ilvl w:val="0"/>
          <w:numId w:val="0"/>
        </w:numPr>
        <w:tabs>
          <w:tab w:val="clear" w:pos="360"/>
        </w:tabs>
        <w:ind w:leftChars="0"/>
      </w:pPr>
    </w:p>
    <w:p w14:paraId="766E4EB2">
      <w:pPr>
        <w:widowControl/>
        <w:adjustRightInd w:val="0"/>
        <w:snapToGrid w:val="0"/>
        <w:spacing w:line="620" w:lineRule="exact"/>
        <w:ind w:firstLine="640" w:firstLineChars="200"/>
        <w:contextualSpacing/>
        <w:jc w:val="left"/>
        <w:rPr>
          <w:rFonts w:hint="eastAsia" w:eastAsia="黑体"/>
          <w:color w:val="000000"/>
          <w:kern w:val="0"/>
          <w:sz w:val="32"/>
          <w:szCs w:val="32"/>
          <w:shd w:val="clear" w:color="auto" w:fill="FFFFFF"/>
          <w:lang w:val="zh-CN"/>
        </w:rPr>
      </w:pPr>
      <w:r>
        <w:rPr>
          <w:rFonts w:hint="eastAsia" w:eastAsia="黑体"/>
          <w:color w:val="000000"/>
          <w:kern w:val="0"/>
          <w:sz w:val="32"/>
          <w:szCs w:val="32"/>
          <w:shd w:val="clear" w:color="auto" w:fill="FFFFFF"/>
        </w:rPr>
        <w:t>一、</w:t>
      </w:r>
      <w:r>
        <w:rPr>
          <w:rFonts w:hint="eastAsia" w:eastAsia="黑体"/>
          <w:color w:val="000000"/>
          <w:kern w:val="0"/>
          <w:sz w:val="32"/>
          <w:szCs w:val="32"/>
          <w:shd w:val="clear" w:color="auto" w:fill="FFFFFF"/>
          <w:lang w:eastAsia="zh-CN"/>
        </w:rPr>
        <w:t>单位</w:t>
      </w:r>
      <w:r>
        <w:rPr>
          <w:rFonts w:hint="eastAsia" w:eastAsia="黑体"/>
          <w:color w:val="000000"/>
          <w:kern w:val="0"/>
          <w:sz w:val="32"/>
          <w:szCs w:val="32"/>
          <w:shd w:val="clear" w:color="auto" w:fill="FFFFFF"/>
          <w:lang w:val="zh-CN"/>
        </w:rPr>
        <w:t>概况</w:t>
      </w:r>
    </w:p>
    <w:p w14:paraId="3C81A88F">
      <w:pPr>
        <w:spacing w:line="580" w:lineRule="exact"/>
        <w:ind w:firstLine="640" w:firstLineChars="200"/>
        <w:rPr>
          <w:rFonts w:hint="eastAsia" w:ascii="仿宋_GB2312" w:hAnsi="仿宋_GB2312" w:eastAsia="仿宋_GB2312" w:cs="仿宋_GB2312"/>
          <w:color w:val="auto"/>
          <w:sz w:val="32"/>
          <w:szCs w:val="32"/>
          <w:highlight w:val="none"/>
          <w:lang w:val="zh-CN"/>
        </w:rPr>
      </w:pPr>
      <w:r>
        <w:rPr>
          <w:rFonts w:hint="eastAsia" w:ascii="仿宋_GB2312" w:hAnsi="仿宋_GB2312" w:eastAsia="仿宋_GB2312" w:cs="仿宋_GB2312"/>
          <w:color w:val="auto"/>
          <w:sz w:val="32"/>
          <w:szCs w:val="32"/>
          <w:highlight w:val="none"/>
          <w:lang w:val="zh-CN"/>
        </w:rPr>
        <w:t>（一）机构组成。</w:t>
      </w:r>
    </w:p>
    <w:p w14:paraId="58724DA2">
      <w:pPr>
        <w:spacing w:line="58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遂宁市公安局经济技术开发区分局内设机关部门三个：指挥中心、政治处、纪委；内设实战大队</w:t>
      </w:r>
      <w:r>
        <w:rPr>
          <w:rFonts w:hint="eastAsia" w:ascii="仿宋_GB2312" w:hAnsi="仿宋_GB2312" w:eastAsia="仿宋_GB2312" w:cs="仿宋_GB2312"/>
          <w:color w:val="auto"/>
          <w:sz w:val="32"/>
          <w:szCs w:val="32"/>
          <w:highlight w:val="none"/>
          <w:lang w:eastAsia="zh-CN"/>
        </w:rPr>
        <w:t>五</w:t>
      </w:r>
      <w:r>
        <w:rPr>
          <w:rFonts w:hint="eastAsia" w:ascii="仿宋_GB2312" w:hAnsi="仿宋_GB2312" w:eastAsia="仿宋_GB2312" w:cs="仿宋_GB2312"/>
          <w:color w:val="auto"/>
          <w:sz w:val="32"/>
          <w:szCs w:val="32"/>
          <w:highlight w:val="none"/>
        </w:rPr>
        <w:t>个：刑警大队、治安大队、国保大队、法制大队</w:t>
      </w:r>
      <w:r>
        <w:rPr>
          <w:rFonts w:hint="eastAsia" w:ascii="仿宋_GB2312" w:hAnsi="仿宋_GB2312" w:eastAsia="仿宋_GB2312" w:cs="仿宋_GB2312"/>
          <w:color w:val="auto"/>
          <w:sz w:val="32"/>
          <w:szCs w:val="32"/>
          <w:highlight w:val="none"/>
          <w:lang w:eastAsia="zh-CN"/>
        </w:rPr>
        <w:t>、巡特警大队</w:t>
      </w:r>
      <w:r>
        <w:rPr>
          <w:rFonts w:hint="eastAsia" w:ascii="仿宋_GB2312" w:hAnsi="仿宋_GB2312" w:eastAsia="仿宋_GB2312" w:cs="仿宋_GB2312"/>
          <w:color w:val="auto"/>
          <w:sz w:val="32"/>
          <w:szCs w:val="32"/>
          <w:highlight w:val="none"/>
        </w:rPr>
        <w:t>，下设派出机构5个：嘉禾派出所、北固派出所、富源路派出所、广德派出所、新桥派出所。</w:t>
      </w:r>
    </w:p>
    <w:p w14:paraId="687120DC">
      <w:pPr>
        <w:spacing w:line="580" w:lineRule="exact"/>
        <w:ind w:firstLine="640" w:firstLineChars="200"/>
        <w:rPr>
          <w:rFonts w:hint="eastAsia" w:ascii="仿宋_GB2312" w:hAnsi="仿宋_GB2312" w:eastAsia="仿宋_GB2312" w:cs="仿宋_GB2312"/>
          <w:color w:val="auto"/>
          <w:sz w:val="32"/>
          <w:szCs w:val="32"/>
          <w:highlight w:val="none"/>
          <w:lang w:val="zh-CN"/>
        </w:rPr>
      </w:pPr>
      <w:r>
        <w:rPr>
          <w:rFonts w:hint="eastAsia" w:ascii="仿宋_GB2312" w:hAnsi="仿宋_GB2312" w:eastAsia="仿宋_GB2312" w:cs="仿宋_GB2312"/>
          <w:color w:val="auto"/>
          <w:sz w:val="32"/>
          <w:szCs w:val="32"/>
          <w:highlight w:val="none"/>
          <w:lang w:val="zh-CN" w:eastAsia="zh-CN"/>
        </w:rPr>
        <w:t>（二）</w:t>
      </w:r>
      <w:r>
        <w:rPr>
          <w:rFonts w:hint="eastAsia" w:ascii="仿宋_GB2312" w:hAnsi="仿宋_GB2312" w:eastAsia="仿宋_GB2312" w:cs="仿宋_GB2312"/>
          <w:color w:val="auto"/>
          <w:sz w:val="32"/>
          <w:szCs w:val="32"/>
          <w:highlight w:val="none"/>
          <w:lang w:val="zh-CN"/>
        </w:rPr>
        <w:t>机构职能。</w:t>
      </w:r>
    </w:p>
    <w:p w14:paraId="5FEA766E">
      <w:pPr>
        <w:spacing w:line="58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遂宁市公安局直属分局，履行县级公安机关职能职责，辖区为遂宁经济技术开发区分布范围。</w:t>
      </w:r>
    </w:p>
    <w:p w14:paraId="390930A1">
      <w:pPr>
        <w:spacing w:line="580" w:lineRule="exact"/>
        <w:ind w:firstLine="640" w:firstLineChars="200"/>
        <w:rPr>
          <w:rFonts w:hint="eastAsia" w:ascii="仿宋_GB2312" w:hAnsi="仿宋_GB2312" w:eastAsia="仿宋_GB2312" w:cs="仿宋_GB2312"/>
          <w:color w:val="auto"/>
          <w:sz w:val="32"/>
          <w:szCs w:val="32"/>
          <w:highlight w:val="none"/>
          <w:lang w:val="zh-CN"/>
        </w:rPr>
      </w:pPr>
      <w:r>
        <w:rPr>
          <w:rFonts w:hint="eastAsia" w:ascii="仿宋_GB2312" w:hAnsi="仿宋_GB2312" w:eastAsia="仿宋_GB2312" w:cs="仿宋_GB2312"/>
          <w:color w:val="auto"/>
          <w:sz w:val="32"/>
          <w:szCs w:val="32"/>
          <w:highlight w:val="none"/>
          <w:lang w:val="zh-CN"/>
        </w:rPr>
        <w:t>（三）人员概况。</w:t>
      </w:r>
    </w:p>
    <w:p w14:paraId="6AFD0DAB">
      <w:pPr>
        <w:spacing w:line="580" w:lineRule="exact"/>
        <w:ind w:firstLine="640" w:firstLineChars="200"/>
        <w:rPr>
          <w:rFonts w:hint="eastAsia" w:ascii="仿宋_GB2312" w:hAnsi="仿宋_GB2312" w:eastAsia="仿宋_GB2312" w:cs="仿宋_GB2312"/>
          <w:color w:val="auto"/>
          <w:sz w:val="32"/>
          <w:szCs w:val="32"/>
          <w:highlight w:val="none"/>
          <w:lang w:val="zh-CN"/>
        </w:rPr>
      </w:pPr>
      <w:r>
        <w:rPr>
          <w:rFonts w:hint="eastAsia" w:ascii="仿宋_GB2312" w:hAnsi="仿宋_GB2312" w:eastAsia="仿宋_GB2312" w:cs="仿宋_GB2312"/>
          <w:color w:val="auto"/>
          <w:sz w:val="32"/>
          <w:szCs w:val="32"/>
          <w:highlight w:val="none"/>
          <w:lang w:eastAsia="zh-CN"/>
        </w:rPr>
        <w:t>2021</w:t>
      </w:r>
      <w:r>
        <w:rPr>
          <w:rFonts w:hint="eastAsia" w:ascii="仿宋_GB2312" w:hAnsi="仿宋_GB2312" w:eastAsia="仿宋_GB2312" w:cs="仿宋_GB2312"/>
          <w:color w:val="auto"/>
          <w:sz w:val="32"/>
          <w:szCs w:val="32"/>
          <w:highlight w:val="none"/>
        </w:rPr>
        <w:t>年我单位现有政法专项编制119个，实有在职民警13</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人，其中行政编制人员13</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人，行政工勤编制人员1人。</w:t>
      </w:r>
    </w:p>
    <w:p w14:paraId="33862CEA">
      <w:pPr>
        <w:spacing w:line="580" w:lineRule="exact"/>
        <w:ind w:firstLine="640" w:firstLineChars="200"/>
        <w:rPr>
          <w:rFonts w:hint="eastAsia" w:ascii="仿宋_GB2312" w:hAnsi="仿宋_GB2312" w:eastAsia="仿宋_GB2312" w:cs="仿宋_GB2312"/>
          <w:color w:val="auto"/>
          <w:sz w:val="32"/>
          <w:szCs w:val="32"/>
          <w:highlight w:val="none"/>
        </w:rPr>
      </w:pPr>
      <w:r>
        <w:rPr>
          <w:rFonts w:hint="eastAsia" w:eastAsia="黑体"/>
          <w:color w:val="000000"/>
          <w:kern w:val="0"/>
          <w:sz w:val="32"/>
          <w:szCs w:val="32"/>
          <w:shd w:val="clear" w:color="auto" w:fill="FFFFFF"/>
        </w:rPr>
        <w:t>二、</w:t>
      </w:r>
      <w:r>
        <w:rPr>
          <w:rFonts w:hint="eastAsia" w:eastAsia="黑体"/>
          <w:color w:val="000000"/>
          <w:kern w:val="0"/>
          <w:sz w:val="32"/>
          <w:szCs w:val="32"/>
          <w:shd w:val="clear" w:color="auto" w:fill="FFFFFF"/>
          <w:lang w:eastAsia="zh-CN"/>
        </w:rPr>
        <w:t>单位</w:t>
      </w:r>
      <w:r>
        <w:rPr>
          <w:rFonts w:hint="eastAsia" w:eastAsia="黑体"/>
          <w:color w:val="000000"/>
          <w:kern w:val="0"/>
          <w:sz w:val="32"/>
          <w:szCs w:val="32"/>
          <w:shd w:val="clear" w:color="auto" w:fill="FFFFFF"/>
        </w:rPr>
        <w:t>财政资金收支情况</w:t>
      </w:r>
    </w:p>
    <w:p w14:paraId="2F300D86">
      <w:pPr>
        <w:spacing w:line="580" w:lineRule="exact"/>
        <w:ind w:firstLine="640" w:firstLineChars="200"/>
        <w:rPr>
          <w:rFonts w:hint="eastAsia" w:ascii="仿宋_GB2312" w:hAnsi="仿宋_GB2312" w:eastAsia="仿宋_GB2312" w:cs="仿宋_GB2312"/>
          <w:color w:val="auto"/>
          <w:sz w:val="32"/>
          <w:szCs w:val="32"/>
          <w:highlight w:val="none"/>
          <w:lang w:val="zh-CN"/>
        </w:rPr>
      </w:pPr>
      <w:r>
        <w:rPr>
          <w:rFonts w:hint="eastAsia" w:ascii="仿宋_GB2312" w:hAnsi="仿宋_GB2312" w:eastAsia="仿宋_GB2312" w:cs="仿宋_GB2312"/>
          <w:color w:val="auto"/>
          <w:sz w:val="32"/>
          <w:szCs w:val="32"/>
          <w:highlight w:val="none"/>
          <w:lang w:val="zh-CN"/>
        </w:rPr>
        <w:t>（一）单位财政资金收入情况。</w:t>
      </w:r>
    </w:p>
    <w:p w14:paraId="06E155B7">
      <w:pPr>
        <w:spacing w:line="580" w:lineRule="exact"/>
        <w:ind w:firstLine="640" w:firstLineChars="200"/>
        <w:rPr>
          <w:rFonts w:hint="eastAsia" w:ascii="仿宋_GB2312" w:hAnsi="仿宋_GB2312" w:eastAsia="仿宋_GB2312" w:cs="仿宋_GB2312"/>
          <w:color w:val="auto"/>
          <w:sz w:val="32"/>
          <w:szCs w:val="32"/>
          <w:highlight w:val="none"/>
          <w:lang w:val="zh-CN"/>
        </w:rPr>
      </w:pPr>
      <w:r>
        <w:rPr>
          <w:rFonts w:hint="eastAsia" w:ascii="仿宋_GB2312" w:hAnsi="仿宋_GB2312" w:eastAsia="仿宋_GB2312" w:cs="仿宋_GB2312"/>
          <w:color w:val="auto"/>
          <w:sz w:val="32"/>
          <w:szCs w:val="32"/>
          <w:highlight w:val="none"/>
          <w:lang w:eastAsia="zh-CN"/>
        </w:rPr>
        <w:t>单位</w:t>
      </w:r>
      <w:r>
        <w:rPr>
          <w:rFonts w:hint="eastAsia" w:ascii="仿宋_GB2312" w:hAnsi="仿宋_GB2312" w:eastAsia="仿宋_GB2312" w:cs="仿宋_GB2312"/>
          <w:color w:val="auto"/>
          <w:sz w:val="32"/>
          <w:szCs w:val="32"/>
          <w:highlight w:val="none"/>
        </w:rPr>
        <w:t>财政资金收入</w:t>
      </w:r>
      <w:r>
        <w:rPr>
          <w:rFonts w:hint="eastAsia" w:ascii="仿宋_GB2312" w:hAnsi="仿宋_GB2312" w:eastAsia="仿宋_GB2312" w:cs="仿宋_GB2312"/>
          <w:color w:val="auto"/>
          <w:sz w:val="32"/>
          <w:szCs w:val="32"/>
          <w:highlight w:val="none"/>
          <w:lang w:val="en-US" w:eastAsia="zh-CN"/>
        </w:rPr>
        <w:t>3243.97</w:t>
      </w:r>
      <w:r>
        <w:rPr>
          <w:rFonts w:hint="eastAsia" w:ascii="仿宋_GB2312" w:hAnsi="仿宋_GB2312" w:eastAsia="仿宋_GB2312" w:cs="仿宋_GB2312"/>
          <w:color w:val="auto"/>
          <w:sz w:val="32"/>
          <w:szCs w:val="32"/>
          <w:highlight w:val="none"/>
        </w:rPr>
        <w:t>万元, 其中：公共安全2</w:t>
      </w:r>
      <w:r>
        <w:rPr>
          <w:rFonts w:hint="eastAsia" w:ascii="仿宋_GB2312" w:hAnsi="仿宋_GB2312" w:eastAsia="仿宋_GB2312" w:cs="仿宋_GB2312"/>
          <w:color w:val="auto"/>
          <w:sz w:val="32"/>
          <w:szCs w:val="32"/>
          <w:highlight w:val="none"/>
          <w:lang w:val="en-US" w:eastAsia="zh-CN"/>
        </w:rPr>
        <w:t>775.34</w:t>
      </w:r>
      <w:r>
        <w:rPr>
          <w:rFonts w:hint="eastAsia" w:ascii="仿宋_GB2312" w:hAnsi="仿宋_GB2312" w:eastAsia="仿宋_GB2312" w:cs="仿宋_GB2312"/>
          <w:color w:val="auto"/>
          <w:sz w:val="32"/>
          <w:szCs w:val="32"/>
          <w:highlight w:val="none"/>
        </w:rPr>
        <w:t>万元，社会保障和就业支出17</w:t>
      </w:r>
      <w:r>
        <w:rPr>
          <w:rFonts w:hint="eastAsia" w:ascii="仿宋_GB2312" w:hAnsi="仿宋_GB2312" w:eastAsia="仿宋_GB2312" w:cs="仿宋_GB2312"/>
          <w:color w:val="auto"/>
          <w:sz w:val="32"/>
          <w:szCs w:val="32"/>
          <w:highlight w:val="none"/>
          <w:lang w:val="en-US" w:eastAsia="zh-CN"/>
        </w:rPr>
        <w:t>0.05</w:t>
      </w:r>
      <w:r>
        <w:rPr>
          <w:rFonts w:hint="eastAsia" w:ascii="仿宋_GB2312" w:hAnsi="仿宋_GB2312" w:eastAsia="仿宋_GB2312" w:cs="仿宋_GB2312"/>
          <w:color w:val="auto"/>
          <w:sz w:val="32"/>
          <w:szCs w:val="32"/>
          <w:highlight w:val="none"/>
        </w:rPr>
        <w:t>万元</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医疗卫生</w:t>
      </w:r>
      <w:r>
        <w:rPr>
          <w:rFonts w:hint="eastAsia" w:ascii="仿宋_GB2312" w:hAnsi="仿宋_GB2312" w:eastAsia="仿宋_GB2312" w:cs="仿宋_GB2312"/>
          <w:color w:val="auto"/>
          <w:sz w:val="32"/>
          <w:szCs w:val="32"/>
          <w:highlight w:val="none"/>
          <w:lang w:val="en-US" w:eastAsia="zh-CN"/>
        </w:rPr>
        <w:t>101.11</w:t>
      </w:r>
      <w:r>
        <w:rPr>
          <w:rFonts w:hint="eastAsia" w:ascii="仿宋_GB2312" w:hAnsi="仿宋_GB2312" w:eastAsia="仿宋_GB2312" w:cs="仿宋_GB2312"/>
          <w:color w:val="auto"/>
          <w:sz w:val="32"/>
          <w:szCs w:val="32"/>
          <w:highlight w:val="none"/>
        </w:rPr>
        <w:t>万元，住房保障支出1</w:t>
      </w:r>
      <w:r>
        <w:rPr>
          <w:rFonts w:hint="eastAsia" w:ascii="仿宋_GB2312" w:hAnsi="仿宋_GB2312" w:eastAsia="仿宋_GB2312" w:cs="仿宋_GB2312"/>
          <w:color w:val="auto"/>
          <w:sz w:val="32"/>
          <w:szCs w:val="32"/>
          <w:highlight w:val="none"/>
          <w:lang w:val="en-US" w:eastAsia="zh-CN"/>
        </w:rPr>
        <w:t>97.22</w:t>
      </w:r>
      <w:r>
        <w:rPr>
          <w:rFonts w:hint="eastAsia" w:ascii="仿宋_GB2312" w:hAnsi="仿宋_GB2312" w:eastAsia="仿宋_GB2312" w:cs="仿宋_GB2312"/>
          <w:color w:val="auto"/>
          <w:sz w:val="32"/>
          <w:szCs w:val="32"/>
          <w:highlight w:val="none"/>
        </w:rPr>
        <w:t>万元。</w:t>
      </w:r>
    </w:p>
    <w:p w14:paraId="0C182F21">
      <w:pPr>
        <w:spacing w:line="580" w:lineRule="exact"/>
        <w:ind w:firstLine="640" w:firstLineChars="200"/>
        <w:rPr>
          <w:rFonts w:hint="eastAsia" w:ascii="仿宋_GB2312" w:hAnsi="仿宋_GB2312" w:eastAsia="仿宋_GB2312" w:cs="仿宋_GB2312"/>
          <w:color w:val="auto"/>
          <w:sz w:val="32"/>
          <w:szCs w:val="32"/>
          <w:highlight w:val="none"/>
          <w:lang w:val="zh-CN"/>
        </w:rPr>
      </w:pPr>
      <w:r>
        <w:rPr>
          <w:rFonts w:hint="eastAsia" w:ascii="仿宋_GB2312" w:hAnsi="仿宋_GB2312" w:eastAsia="仿宋_GB2312" w:cs="仿宋_GB2312"/>
          <w:color w:val="auto"/>
          <w:sz w:val="32"/>
          <w:szCs w:val="32"/>
          <w:highlight w:val="none"/>
          <w:lang w:val="zh-CN"/>
        </w:rPr>
        <w:t>（二）单位财政资金支出情况。</w:t>
      </w:r>
    </w:p>
    <w:p w14:paraId="1F5E9EE0">
      <w:pPr>
        <w:spacing w:line="580" w:lineRule="exact"/>
        <w:ind w:firstLine="640" w:firstLineChars="200"/>
        <w:rPr>
          <w:rFonts w:hint="eastAsia" w:ascii="仿宋_GB2312" w:hAnsi="仿宋_GB2312" w:eastAsia="仿宋_GB2312" w:cs="仿宋_GB2312"/>
          <w:color w:val="auto"/>
          <w:sz w:val="32"/>
          <w:szCs w:val="32"/>
          <w:highlight w:val="none"/>
          <w:lang w:val="zh-CN"/>
        </w:rPr>
      </w:pP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z w:val="32"/>
          <w:szCs w:val="32"/>
          <w:highlight w:val="none"/>
          <w:lang w:eastAsia="zh-CN"/>
        </w:rPr>
        <w:t>单位</w:t>
      </w:r>
      <w:r>
        <w:rPr>
          <w:rFonts w:hint="eastAsia" w:ascii="仿宋_GB2312" w:hAnsi="仿宋_GB2312" w:eastAsia="仿宋_GB2312" w:cs="仿宋_GB2312"/>
          <w:color w:val="auto"/>
          <w:sz w:val="32"/>
          <w:szCs w:val="32"/>
          <w:highlight w:val="none"/>
        </w:rPr>
        <w:t>财政资金支出</w:t>
      </w:r>
      <w:r>
        <w:rPr>
          <w:rFonts w:hint="eastAsia" w:ascii="仿宋_GB2312" w:hAnsi="仿宋_GB2312" w:eastAsia="仿宋_GB2312" w:cs="仿宋_GB2312"/>
          <w:color w:val="auto"/>
          <w:sz w:val="32"/>
          <w:szCs w:val="32"/>
          <w:highlight w:val="none"/>
          <w:lang w:val="en-US" w:eastAsia="zh-CN"/>
        </w:rPr>
        <w:t>3243.97</w:t>
      </w:r>
      <w:r>
        <w:rPr>
          <w:rFonts w:hint="eastAsia" w:ascii="仿宋_GB2312" w:hAnsi="仿宋_GB2312" w:eastAsia="仿宋_GB2312" w:cs="仿宋_GB2312"/>
          <w:color w:val="auto"/>
          <w:sz w:val="32"/>
          <w:szCs w:val="32"/>
          <w:highlight w:val="none"/>
        </w:rPr>
        <w:t>万元, 其中：公共安全2</w:t>
      </w:r>
      <w:r>
        <w:rPr>
          <w:rFonts w:hint="eastAsia" w:ascii="仿宋_GB2312" w:hAnsi="仿宋_GB2312" w:eastAsia="仿宋_GB2312" w:cs="仿宋_GB2312"/>
          <w:color w:val="auto"/>
          <w:sz w:val="32"/>
          <w:szCs w:val="32"/>
          <w:highlight w:val="none"/>
          <w:lang w:val="en-US" w:eastAsia="zh-CN"/>
        </w:rPr>
        <w:t>775.34</w:t>
      </w:r>
      <w:r>
        <w:rPr>
          <w:rFonts w:hint="eastAsia" w:ascii="仿宋_GB2312" w:hAnsi="仿宋_GB2312" w:eastAsia="仿宋_GB2312" w:cs="仿宋_GB2312"/>
          <w:color w:val="auto"/>
          <w:sz w:val="32"/>
          <w:szCs w:val="32"/>
          <w:highlight w:val="none"/>
        </w:rPr>
        <w:t>万元，社会保障和就业支出17</w:t>
      </w:r>
      <w:r>
        <w:rPr>
          <w:rFonts w:hint="eastAsia" w:ascii="仿宋_GB2312" w:hAnsi="仿宋_GB2312" w:eastAsia="仿宋_GB2312" w:cs="仿宋_GB2312"/>
          <w:color w:val="auto"/>
          <w:sz w:val="32"/>
          <w:szCs w:val="32"/>
          <w:highlight w:val="none"/>
          <w:lang w:val="en-US" w:eastAsia="zh-CN"/>
        </w:rPr>
        <w:t>0.05</w:t>
      </w:r>
      <w:r>
        <w:rPr>
          <w:rFonts w:hint="eastAsia" w:ascii="仿宋_GB2312" w:hAnsi="仿宋_GB2312" w:eastAsia="仿宋_GB2312" w:cs="仿宋_GB2312"/>
          <w:color w:val="auto"/>
          <w:sz w:val="32"/>
          <w:szCs w:val="32"/>
          <w:highlight w:val="none"/>
        </w:rPr>
        <w:t>万元</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医疗卫生</w:t>
      </w:r>
      <w:r>
        <w:rPr>
          <w:rFonts w:hint="eastAsia" w:ascii="仿宋_GB2312" w:hAnsi="仿宋_GB2312" w:eastAsia="仿宋_GB2312" w:cs="仿宋_GB2312"/>
          <w:color w:val="auto"/>
          <w:sz w:val="32"/>
          <w:szCs w:val="32"/>
          <w:highlight w:val="none"/>
          <w:lang w:val="en-US" w:eastAsia="zh-CN"/>
        </w:rPr>
        <w:t>101.11</w:t>
      </w:r>
      <w:r>
        <w:rPr>
          <w:rFonts w:hint="eastAsia" w:ascii="仿宋_GB2312" w:hAnsi="仿宋_GB2312" w:eastAsia="仿宋_GB2312" w:cs="仿宋_GB2312"/>
          <w:color w:val="auto"/>
          <w:sz w:val="32"/>
          <w:szCs w:val="32"/>
          <w:highlight w:val="none"/>
        </w:rPr>
        <w:t>万元，住房保障支出1</w:t>
      </w:r>
      <w:r>
        <w:rPr>
          <w:rFonts w:hint="eastAsia" w:ascii="仿宋_GB2312" w:hAnsi="仿宋_GB2312" w:eastAsia="仿宋_GB2312" w:cs="仿宋_GB2312"/>
          <w:color w:val="auto"/>
          <w:sz w:val="32"/>
          <w:szCs w:val="32"/>
          <w:highlight w:val="none"/>
          <w:lang w:val="en-US" w:eastAsia="zh-CN"/>
        </w:rPr>
        <w:t>97.22</w:t>
      </w:r>
      <w:r>
        <w:rPr>
          <w:rFonts w:hint="eastAsia" w:ascii="仿宋_GB2312" w:hAnsi="仿宋_GB2312" w:eastAsia="仿宋_GB2312" w:cs="仿宋_GB2312"/>
          <w:color w:val="auto"/>
          <w:sz w:val="32"/>
          <w:szCs w:val="32"/>
          <w:highlight w:val="none"/>
        </w:rPr>
        <w:t>万元。</w:t>
      </w:r>
    </w:p>
    <w:p w14:paraId="5D822B19">
      <w:pPr>
        <w:spacing w:line="580" w:lineRule="exact"/>
        <w:ind w:firstLine="640" w:firstLineChars="200"/>
        <w:rPr>
          <w:rFonts w:hint="eastAsia" w:eastAsia="黑体"/>
          <w:color w:val="000000"/>
          <w:kern w:val="0"/>
          <w:sz w:val="32"/>
          <w:szCs w:val="32"/>
          <w:shd w:val="clear" w:color="auto" w:fill="FFFFFF"/>
        </w:rPr>
      </w:pPr>
      <w:r>
        <w:rPr>
          <w:rFonts w:hint="eastAsia" w:eastAsia="黑体"/>
          <w:color w:val="000000"/>
          <w:kern w:val="0"/>
          <w:sz w:val="32"/>
          <w:szCs w:val="32"/>
          <w:shd w:val="clear" w:color="auto" w:fill="FFFFFF"/>
        </w:rPr>
        <w:t xml:space="preserve"> 三、</w:t>
      </w:r>
      <w:r>
        <w:rPr>
          <w:rFonts w:hint="eastAsia" w:eastAsia="黑体"/>
          <w:color w:val="000000"/>
          <w:kern w:val="0"/>
          <w:sz w:val="32"/>
          <w:szCs w:val="32"/>
          <w:shd w:val="clear" w:color="auto" w:fill="FFFFFF"/>
          <w:lang w:eastAsia="zh-CN"/>
        </w:rPr>
        <w:t>单位</w:t>
      </w:r>
      <w:r>
        <w:rPr>
          <w:rFonts w:hint="eastAsia" w:eastAsia="黑体"/>
          <w:color w:val="000000"/>
          <w:kern w:val="0"/>
          <w:sz w:val="32"/>
          <w:szCs w:val="32"/>
          <w:shd w:val="clear" w:color="auto" w:fill="FFFFFF"/>
        </w:rPr>
        <w:t>整体预算绩效管理情况</w:t>
      </w:r>
    </w:p>
    <w:p w14:paraId="02869CDE">
      <w:pPr>
        <w:spacing w:line="580" w:lineRule="exact"/>
        <w:ind w:firstLine="640" w:firstLineChars="200"/>
        <w:rPr>
          <w:rFonts w:hint="eastAsia" w:ascii="仿宋_GB2312" w:hAnsi="仿宋_GB2312" w:eastAsia="仿宋_GB2312" w:cs="仿宋_GB2312"/>
          <w:color w:val="auto"/>
          <w:sz w:val="32"/>
          <w:szCs w:val="32"/>
          <w:highlight w:val="none"/>
          <w:lang w:val="zh-CN"/>
        </w:rPr>
      </w:pPr>
      <w:r>
        <w:rPr>
          <w:rFonts w:hint="eastAsia" w:ascii="仿宋_GB2312" w:hAnsi="仿宋_GB2312" w:eastAsia="仿宋_GB2312" w:cs="仿宋_GB2312"/>
          <w:color w:val="auto"/>
          <w:sz w:val="32"/>
          <w:szCs w:val="32"/>
          <w:highlight w:val="none"/>
          <w:lang w:val="zh-CN"/>
        </w:rPr>
        <w:t>（一）单位预算管理。</w:t>
      </w:r>
    </w:p>
    <w:p w14:paraId="1ADF315A">
      <w:pPr>
        <w:spacing w:line="580" w:lineRule="exact"/>
        <w:ind w:firstLine="640" w:firstLineChars="200"/>
        <w:rPr>
          <w:rFonts w:hint="eastAsia" w:ascii="仿宋_GB2312" w:hAnsi="仿宋_GB2312" w:eastAsia="仿宋_GB2312" w:cs="仿宋_GB2312"/>
          <w:color w:val="auto"/>
          <w:sz w:val="32"/>
          <w:szCs w:val="32"/>
          <w:highlight w:val="none"/>
          <w:lang w:val="zh-CN"/>
        </w:rPr>
      </w:pPr>
      <w:r>
        <w:rPr>
          <w:rFonts w:hint="eastAsia" w:ascii="仿宋_GB2312" w:hAnsi="仿宋_GB2312" w:eastAsia="仿宋_GB2312" w:cs="仿宋_GB2312"/>
          <w:color w:val="auto"/>
          <w:sz w:val="32"/>
          <w:szCs w:val="32"/>
          <w:highlight w:val="none"/>
          <w:lang w:val="zh-CN"/>
        </w:rPr>
        <w:t>（1）单位绩效目标制定。我</w:t>
      </w:r>
      <w:r>
        <w:rPr>
          <w:rFonts w:hint="eastAsia" w:ascii="仿宋_GB2312" w:hAnsi="仿宋_GB2312" w:eastAsia="仿宋_GB2312" w:cs="仿宋_GB2312"/>
          <w:color w:val="auto"/>
          <w:sz w:val="32"/>
          <w:szCs w:val="32"/>
          <w:highlight w:val="none"/>
          <w:lang w:val="zh-CN" w:eastAsia="zh-CN"/>
        </w:rPr>
        <w:t>单位在</w:t>
      </w:r>
      <w:r>
        <w:rPr>
          <w:rFonts w:hint="eastAsia" w:ascii="仿宋_GB2312" w:hAnsi="仿宋_GB2312" w:eastAsia="仿宋_GB2312" w:cs="仿宋_GB2312"/>
          <w:color w:val="auto"/>
          <w:sz w:val="32"/>
          <w:szCs w:val="32"/>
          <w:highlight w:val="none"/>
          <w:lang w:val="en-US" w:eastAsia="zh-CN"/>
        </w:rPr>
        <w:t>2020年底，制定了</w:t>
      </w:r>
      <w:r>
        <w:rPr>
          <w:rFonts w:hint="eastAsia" w:ascii="仿宋_GB2312" w:hAnsi="仿宋_GB2312" w:eastAsia="仿宋_GB2312" w:cs="仿宋_GB2312"/>
          <w:color w:val="auto"/>
          <w:sz w:val="32"/>
          <w:szCs w:val="32"/>
          <w:highlight w:val="none"/>
          <w:lang w:val="zh-CN"/>
        </w:rPr>
        <w:t>部门整体支出的绩效目标，实现绩效目标全覆盖，绩效目标设置完整。我</w:t>
      </w:r>
      <w:r>
        <w:rPr>
          <w:rFonts w:hint="eastAsia" w:ascii="仿宋_GB2312" w:hAnsi="仿宋_GB2312" w:eastAsia="仿宋_GB2312" w:cs="仿宋_GB2312"/>
          <w:color w:val="auto"/>
          <w:sz w:val="32"/>
          <w:szCs w:val="32"/>
          <w:highlight w:val="none"/>
          <w:lang w:val="zh-CN" w:eastAsia="zh-CN"/>
        </w:rPr>
        <w:t>单位</w:t>
      </w:r>
      <w:r>
        <w:rPr>
          <w:rFonts w:hint="eastAsia" w:ascii="仿宋_GB2312" w:hAnsi="仿宋_GB2312" w:eastAsia="仿宋_GB2312" w:cs="仿宋_GB2312"/>
          <w:color w:val="auto"/>
          <w:sz w:val="32"/>
          <w:szCs w:val="32"/>
          <w:highlight w:val="none"/>
          <w:lang w:val="zh-CN"/>
        </w:rPr>
        <w:t>设置的绩效指标细化量化。一是绩效指标将部门整体绩效目标细化分解为具体工作任务，与部门年度任务数或计划数相对应；二是绩效指标中包含能够明确体现部门履职效果的效益指标；三是绩效指标包含可量化的指标；四是绩效目标的目标值测算根据我</w:t>
      </w:r>
      <w:r>
        <w:rPr>
          <w:rFonts w:hint="eastAsia" w:ascii="仿宋_GB2312" w:hAnsi="仿宋_GB2312" w:eastAsia="仿宋_GB2312" w:cs="仿宋_GB2312"/>
          <w:color w:val="auto"/>
          <w:sz w:val="32"/>
          <w:szCs w:val="32"/>
          <w:highlight w:val="none"/>
          <w:lang w:val="zh-CN" w:eastAsia="zh-CN"/>
        </w:rPr>
        <w:t>单位</w:t>
      </w:r>
      <w:r>
        <w:rPr>
          <w:rFonts w:hint="eastAsia" w:ascii="仿宋_GB2312" w:hAnsi="仿宋_GB2312" w:eastAsia="仿宋_GB2312" w:cs="仿宋_GB2312"/>
          <w:color w:val="auto"/>
          <w:sz w:val="32"/>
          <w:szCs w:val="32"/>
          <w:highlight w:val="none"/>
          <w:lang w:val="zh-CN"/>
        </w:rPr>
        <w:t>以往工作经验及工作计划进行测算，符合客观实际情况。</w:t>
      </w:r>
    </w:p>
    <w:p w14:paraId="7C81D3D5">
      <w:pPr>
        <w:spacing w:line="58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zh-CN"/>
        </w:rPr>
        <w:t>（2）目标实现。我单位在</w:t>
      </w:r>
      <w:r>
        <w:rPr>
          <w:rFonts w:hint="eastAsia" w:ascii="仿宋_GB2312" w:hAnsi="仿宋_GB2312" w:eastAsia="仿宋_GB2312" w:cs="仿宋_GB2312"/>
          <w:color w:val="auto"/>
          <w:sz w:val="32"/>
          <w:szCs w:val="32"/>
          <w:highlight w:val="none"/>
          <w:lang w:val="en-US" w:eastAsia="zh-CN"/>
        </w:rPr>
        <w:t>2020年底编制2021年度的工作计划和绩效目标切实可行，全年基本按照既定目标开展各项工作，绩效目标基本实现，分局全年工作成效显著，具体情况如下：</w:t>
      </w:r>
    </w:p>
    <w:p w14:paraId="1FE3C242">
      <w:pPr>
        <w:spacing w:line="58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筑牢政治安全防线。围绕敏感时间节点，成功稳控辖区59名涉军、征地拆迁、民师等重点人员及15个小区物业维权、重大工程等重点群体。收集上报涉稳情报信息330余条，治安拘留寻衅滋事重点人员3名。将居住辖区的56名肇事肇祸人员全部录入警综平台并开展实地核查；对外地居住、务工的肇事肇祸精神障碍人员发送协管函8次。完成重大活动安保35次、三级警卫1次、“省-01”警卫2次、“省-02”警卫2次、军品运输三级警卫5次、二级警卫9次。强化宗教领域风险研判，配合民宗部门取缔基督教私设点5处，办理涉邪教行政案件5件，涉邪教刑事案件3件，破获厅督案件2件，捣毁邪教窝点7处，抓获各类违法犯罪嫌疑人36人，协助河东、船山分局侦破厅督邪教案件3件。加强关注群体管控和涉恐线索核查，办理涉恐行政案件2件，研判核查来遂铁路轨迹和住宿关注人员370余人次，定期走访辖区暂住经商、访友关注人员29人。严格大型群体活动的审批监管,未发生影响全区稳定的重大政治事件和大型群体性事件。</w:t>
      </w:r>
    </w:p>
    <w:p w14:paraId="73B715B8">
      <w:pPr>
        <w:spacing w:line="58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保持严打高压态势。共接处警14537起(同比上升2.29%)，受理治安案件2432件（同比上升6.71%），行政拘留371人（同比上升13.46%）；立刑事案件1193件（同比下降26.18%）、破案517件（同比上升5.73%）、刑事拘留245人（同比上升17.22%）、逮捕18</w:t>
      </w:r>
      <w:bookmarkStart w:id="67" w:name="_GoBack"/>
      <w:bookmarkEnd w:id="67"/>
      <w:r>
        <w:rPr>
          <w:rFonts w:hint="eastAsia" w:ascii="仿宋_GB2312" w:hAnsi="仿宋_GB2312" w:eastAsia="仿宋_GB2312" w:cs="仿宋_GB2312"/>
          <w:color w:val="auto"/>
          <w:sz w:val="32"/>
          <w:szCs w:val="32"/>
          <w:highlight w:val="none"/>
        </w:rPr>
        <w:t>6人（同比上升18.47%）、移送起诉313人（同比上升29.88%）。快速打击突出性犯罪，成功侦破“陈某军故意杀人案”“李某等人抢劫案”“许某辉非法储存爆炸物案”“刘某诈骗案”“冯某等人系列抢劫案”等多起大要案件。在打击电诈重点工作中，公诉电诈嫌疑人43人，缅北人员劝返99人，“反诈精灵”注册推广18.8万人，“国家反诈中心APP”注册推广3.3万人。常态推进扫黑除恶，立涉恶案件7件、涉恶集团案1件，破案7件，刑事拘留40人，逮捕27人，移送起诉涉恶犯罪集团案件1件，移送起诉涉恶犯罪嫌疑30人。深化“净边2021”专项行动，破获涉毒案件33件、打击涉毒人员45人，查获吸毒人员219人，移送起诉42人，强制戒毒35人，查获毒品3123克、制毒麻黄素2946克。立经济案件14件，破案16件，移送起诉20人，收缴假币48610元。强化刑事技术实战应用，统勘侵财类现场1131起（含涉网类案件），非正常死亡事件35起，DNA比中嫌疑人17人，声纹比中嫌疑人1人。</w:t>
      </w:r>
    </w:p>
    <w:p w14:paraId="4F875E3B">
      <w:pPr>
        <w:spacing w:line="58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完善社会治理体系。强化“135”快反机制，设立城北客运站屯警点1个，累计盘查人员158347人，车辆93997辆。深化基层社会治理和治安乱点整治，开展清查整治80余次，召开业主约谈会2次，新增摄像头13个、照明路灯20盏，查处天峰街涉黄案件9件，打击处理17人，小按摩店停业或转向经营18家。深入开展缉枪治爆，办理涉枪案件1件，收缴仿“五四式”手枪2支，仿“六四式”手枪1支；收缴群众主动上交其它枪支29支，子弹1300余发。全面监管辖区剧毒、易制爆危险化学品购买、使用、流向和库存等情况，查处非法储存爆炸物质案1件、违反标准实施爆破作业案1件、未按规定对购买易制爆化学品信息在系统备案4件。加强对行业场所的检查整治力度，查处未落实实名制登记制度的宾馆12家次、网吧8家次，查处宾馆内散发涉黄小卡片案4件。深化机关民辅警高峰护学勤务机制，开展校园反恐防暴演练5次，法治课堂进校园活动4次，查处涉校行政案件2件，成功处置涉校矛盾纠纷7起。强化网站安全和互联网上网服务营业场所监管机制，强化重点警情及辖区重点工程涉警负面舆情监测、引导及上报，妥善处置各类涉警舆情220余条。完善信访长效工作机制，以“枫桥式公安派出所”创建成果为抓手，调解矛盾纠纷3120起，有效防范“民转刑”案事件发生。</w:t>
      </w:r>
    </w:p>
    <w:p w14:paraId="1301D7F9">
      <w:pPr>
        <w:spacing w:line="58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创新优化营商环境。强化“3+1”企业秘书和重大项目管家制度，积极开展“进企业”大走访活动，落实驻点联系企业民警13人。严厉打击破坏金融管理、扰乱公司企业管理秩序等破坏营商环境的违法犯罪活动。全面放开城镇落户限制条件，为农业转移人口落户城镇提供高效便捷服务，努力提升经开区城镇化率。大力开展“我为群众办实事”活动，推行自助服务、预约服务、错时服务、延时服务、上门服务等利企便民服务举措，开辟紧急事项快办“绿色通道”，严格规范先审先办、后批后传工作流程，提升企业和群众满意指数。深化川渝警务执法合作，完成川渝通办25件。</w:t>
      </w:r>
    </w:p>
    <w:p w14:paraId="5E253ABE">
      <w:pPr>
        <w:spacing w:line="580" w:lineRule="exact"/>
        <w:ind w:firstLine="640" w:firstLineChars="200"/>
        <w:rPr>
          <w:rFonts w:hint="eastAsia" w:ascii="仿宋_GB2312" w:hAnsi="仿宋_GB2312" w:eastAsia="仿宋_GB2312" w:cs="仿宋_GB2312"/>
          <w:color w:val="auto"/>
          <w:sz w:val="32"/>
          <w:szCs w:val="32"/>
          <w:highlight w:val="none"/>
          <w:lang w:val="zh-CN"/>
        </w:rPr>
      </w:pP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从严从细管好队伍。将公安队伍教育整顿、党史学习教育和“排整提”专项行动相结合，强化队伍管理，抓实党风廉政建设。开展民警岗位交流16人，股级干部交流10人，常态化慰问生病住院、因公负伤民警16人，提拔股级干部8人，推荐提拔科职干部2人，推荐晋升四级高级警长3人、三级高级警长2人，扎实开展枪支理论培训暨综合体能达标测试。积极落实“五员合一”监督机制，利用省厅《民警日常违规记分办法》，把各项管理和要求贯穿到民警工作、生活的全过程；落实财务审计、纪检监督员制度，扎实开展涉案财物和涉案卷宗专项整治。全年共查处民警违纪违法案件37件，涉及民警72人次(市局处理10人次，分局处理62人次)，教育整顿期间处理民警57人次（运用第一种形态处理53人次，党政纪处分4人次）。</w:t>
      </w:r>
    </w:p>
    <w:p w14:paraId="15A7D1E4">
      <w:pPr>
        <w:spacing w:line="58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zh-CN"/>
        </w:rPr>
        <w:t>（</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lang w:val="zh-CN"/>
        </w:rPr>
        <w:t>）预算编制准确</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val="zh-CN"/>
        </w:rPr>
        <w:t>按照</w:t>
      </w:r>
      <w:r>
        <w:rPr>
          <w:rFonts w:hint="eastAsia" w:ascii="仿宋_GB2312" w:hAnsi="仿宋_GB2312" w:eastAsia="仿宋_GB2312" w:cs="仿宋_GB2312"/>
          <w:color w:val="auto"/>
          <w:sz w:val="32"/>
          <w:szCs w:val="32"/>
          <w:highlight w:val="none"/>
        </w:rPr>
        <w:t>市</w:t>
      </w:r>
      <w:r>
        <w:rPr>
          <w:rFonts w:hint="eastAsia" w:ascii="仿宋_GB2312" w:hAnsi="仿宋_GB2312" w:eastAsia="仿宋_GB2312" w:cs="仿宋_GB2312"/>
          <w:color w:val="auto"/>
          <w:sz w:val="32"/>
          <w:szCs w:val="32"/>
          <w:highlight w:val="none"/>
          <w:lang w:val="zh-CN"/>
        </w:rPr>
        <w:t>财政局20</w:t>
      </w:r>
      <w:r>
        <w:rPr>
          <w:rFonts w:hint="eastAsia" w:ascii="仿宋_GB2312" w:hAnsi="仿宋_GB2312" w:eastAsia="仿宋_GB2312" w:cs="仿宋_GB2312"/>
          <w:color w:val="auto"/>
          <w:sz w:val="32"/>
          <w:szCs w:val="32"/>
          <w:highlight w:val="none"/>
          <w:lang w:val="en-US" w:eastAsia="zh-CN"/>
        </w:rPr>
        <w:t>20</w:t>
      </w:r>
      <w:r>
        <w:rPr>
          <w:rFonts w:hint="eastAsia" w:ascii="仿宋_GB2312" w:hAnsi="仿宋_GB2312" w:eastAsia="仿宋_GB2312" w:cs="仿宋_GB2312"/>
          <w:color w:val="auto"/>
          <w:sz w:val="32"/>
          <w:szCs w:val="32"/>
          <w:highlight w:val="none"/>
          <w:lang w:val="zh-CN"/>
        </w:rPr>
        <w:t>年部门预算编制的相关文件要求，我单位按时完成</w:t>
      </w:r>
      <w:r>
        <w:rPr>
          <w:rFonts w:hint="eastAsia" w:ascii="仿宋_GB2312" w:hAnsi="仿宋_GB2312" w:eastAsia="仿宋_GB2312" w:cs="仿宋_GB2312"/>
          <w:color w:val="auto"/>
          <w:sz w:val="32"/>
          <w:szCs w:val="32"/>
          <w:highlight w:val="none"/>
          <w:lang w:val="en-US" w:eastAsia="zh-CN"/>
        </w:rPr>
        <w:t>2021</w:t>
      </w:r>
      <w:r>
        <w:rPr>
          <w:rFonts w:hint="eastAsia" w:ascii="仿宋_GB2312" w:hAnsi="仿宋_GB2312" w:eastAsia="仿宋_GB2312" w:cs="仿宋_GB2312"/>
          <w:color w:val="auto"/>
          <w:sz w:val="32"/>
          <w:szCs w:val="32"/>
          <w:highlight w:val="none"/>
          <w:lang w:val="zh-CN"/>
        </w:rPr>
        <w:t>年预算编制工作。在编制过程中，认真核实单位实际财政供养人数和单位实有编制情况，正确编制人员经费和公用经费等，做到细化支出预算范围和科目，及时上报相关归口股室进行审核，对所编制的预算予以调整通过。</w:t>
      </w:r>
    </w:p>
    <w:p w14:paraId="470A119F">
      <w:pPr>
        <w:spacing w:line="580" w:lineRule="exact"/>
        <w:ind w:firstLine="640" w:firstLineChars="200"/>
        <w:rPr>
          <w:rFonts w:hint="eastAsia" w:ascii="仿宋_GB2312" w:hAnsi="仿宋_GB2312" w:eastAsia="仿宋_GB2312" w:cs="仿宋_GB2312"/>
          <w:color w:val="auto"/>
          <w:sz w:val="32"/>
          <w:szCs w:val="32"/>
          <w:highlight w:val="none"/>
          <w:lang w:val="zh-CN"/>
        </w:rPr>
      </w:pPr>
      <w:r>
        <w:rPr>
          <w:rFonts w:hint="eastAsia" w:ascii="仿宋_GB2312" w:hAnsi="仿宋_GB2312" w:eastAsia="仿宋_GB2312" w:cs="仿宋_GB2312"/>
          <w:color w:val="auto"/>
          <w:sz w:val="32"/>
          <w:szCs w:val="32"/>
          <w:highlight w:val="none"/>
          <w:lang w:val="zh-CN"/>
        </w:rPr>
        <w:t>（</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lang w:val="zh-CN"/>
        </w:rPr>
        <w:t>）支出控制。我单位日常公用经费支出中“办公费、印刷费、水费、电费、物业管理费、差旅费、培训费、会议费”8个科目年初预算数与决算数偏差程度在</w:t>
      </w:r>
      <w:r>
        <w:rPr>
          <w:rFonts w:hint="eastAsia" w:ascii="仿宋_GB2312" w:hAnsi="仿宋_GB2312" w:eastAsia="仿宋_GB2312" w:cs="仿宋_GB2312"/>
          <w:color w:val="auto"/>
          <w:sz w:val="32"/>
          <w:szCs w:val="32"/>
          <w:highlight w:val="none"/>
          <w:lang w:val="en-US" w:eastAsia="zh-CN"/>
        </w:rPr>
        <w:t>10%以内。</w:t>
      </w:r>
      <w:r>
        <w:rPr>
          <w:rFonts w:hint="eastAsia" w:ascii="仿宋_GB2312" w:hAnsi="仿宋_GB2312" w:eastAsia="仿宋_GB2312" w:cs="仿宋_GB2312"/>
          <w:color w:val="auto"/>
          <w:sz w:val="32"/>
          <w:szCs w:val="32"/>
          <w:highlight w:val="none"/>
          <w:lang w:val="zh-CN"/>
        </w:rPr>
        <w:t xml:space="preserve">                                     </w:t>
      </w:r>
    </w:p>
    <w:p w14:paraId="6555FC58">
      <w:pPr>
        <w:spacing w:line="580" w:lineRule="exact"/>
        <w:ind w:firstLine="640" w:firstLineChars="200"/>
        <w:rPr>
          <w:rFonts w:hint="eastAsia" w:ascii="仿宋_GB2312" w:hAnsi="仿宋_GB2312" w:eastAsia="仿宋_GB2312" w:cs="仿宋_GB2312"/>
          <w:color w:val="auto"/>
          <w:sz w:val="32"/>
          <w:szCs w:val="32"/>
          <w:highlight w:val="none"/>
          <w:lang w:val="zh-CN"/>
        </w:rPr>
      </w:pPr>
      <w:r>
        <w:rPr>
          <w:rFonts w:hint="eastAsia" w:ascii="仿宋_GB2312" w:hAnsi="仿宋_GB2312" w:eastAsia="仿宋_GB2312" w:cs="仿宋_GB2312"/>
          <w:color w:val="auto"/>
          <w:sz w:val="32"/>
          <w:szCs w:val="32"/>
          <w:highlight w:val="none"/>
          <w:lang w:val="zh-CN"/>
        </w:rPr>
        <w:t>（</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lang w:val="zh-CN"/>
        </w:rPr>
        <w:t>）预算动态调整。我单位按照市财政局的工作通知要求，开展绩效运行监控，并将绩效监控结果应用到预算调整。我单位绩效监控调整取消额与结余注销额均为零。</w:t>
      </w:r>
    </w:p>
    <w:p w14:paraId="1B4C2F35">
      <w:pPr>
        <w:spacing w:line="580" w:lineRule="exact"/>
        <w:ind w:firstLine="640" w:firstLineChars="200"/>
        <w:rPr>
          <w:rFonts w:hint="eastAsia" w:ascii="仿宋_GB2312" w:hAnsi="仿宋_GB2312" w:eastAsia="仿宋_GB2312" w:cs="仿宋_GB2312"/>
          <w:color w:val="auto"/>
          <w:sz w:val="32"/>
          <w:szCs w:val="32"/>
          <w:highlight w:val="none"/>
          <w:lang w:val="zh-CN"/>
        </w:rPr>
      </w:pPr>
      <w:r>
        <w:rPr>
          <w:rFonts w:hint="eastAsia" w:ascii="仿宋_GB2312" w:hAnsi="仿宋_GB2312" w:eastAsia="仿宋_GB2312" w:cs="仿宋_GB2312"/>
          <w:color w:val="auto"/>
          <w:sz w:val="32"/>
          <w:szCs w:val="32"/>
          <w:highlight w:val="none"/>
          <w:lang w:val="zh-CN"/>
        </w:rPr>
        <w:t>（</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lang w:val="zh-CN"/>
        </w:rPr>
        <w:t>）预算执行进度。</w:t>
      </w:r>
      <w:r>
        <w:rPr>
          <w:rFonts w:hint="eastAsia" w:ascii="仿宋_GB2312" w:hAnsi="仿宋_GB2312" w:eastAsia="仿宋_GB2312" w:cs="仿宋_GB2312"/>
          <w:color w:val="auto"/>
          <w:sz w:val="32"/>
          <w:szCs w:val="32"/>
          <w:highlight w:val="none"/>
          <w:lang w:val="zh-CN" w:eastAsia="zh-CN"/>
        </w:rPr>
        <w:t>我单位的</w:t>
      </w:r>
      <w:r>
        <w:rPr>
          <w:rFonts w:hint="eastAsia" w:ascii="仿宋_GB2312" w:hAnsi="仿宋_GB2312" w:eastAsia="仿宋_GB2312" w:cs="仿宋_GB2312"/>
          <w:color w:val="auto"/>
          <w:sz w:val="32"/>
          <w:szCs w:val="32"/>
          <w:highlight w:val="none"/>
          <w:lang w:val="zh-CN"/>
        </w:rPr>
        <w:t>部门预算执行进度在6、9、11月实际支出进度分别为</w:t>
      </w:r>
      <w:r>
        <w:rPr>
          <w:rFonts w:hint="eastAsia" w:ascii="仿宋_GB2312" w:hAnsi="仿宋_GB2312" w:eastAsia="仿宋_GB2312" w:cs="仿宋_GB2312"/>
          <w:color w:val="auto"/>
          <w:sz w:val="32"/>
          <w:szCs w:val="32"/>
          <w:highlight w:val="none"/>
          <w:lang w:val="en-US" w:eastAsia="zh-CN"/>
        </w:rPr>
        <w:t>43.52</w:t>
      </w:r>
      <w:r>
        <w:rPr>
          <w:rFonts w:hint="eastAsia" w:ascii="仿宋_GB2312" w:hAnsi="仿宋_GB2312" w:eastAsia="仿宋_GB2312" w:cs="仿宋_GB2312"/>
          <w:color w:val="auto"/>
          <w:sz w:val="32"/>
          <w:szCs w:val="32"/>
          <w:highlight w:val="none"/>
          <w:lang w:val="zh-CN"/>
        </w:rPr>
        <w:t>%、</w:t>
      </w:r>
      <w:r>
        <w:rPr>
          <w:rFonts w:hint="eastAsia" w:ascii="仿宋_GB2312" w:hAnsi="仿宋_GB2312" w:eastAsia="仿宋_GB2312" w:cs="仿宋_GB2312"/>
          <w:color w:val="auto"/>
          <w:sz w:val="32"/>
          <w:szCs w:val="32"/>
          <w:highlight w:val="none"/>
          <w:lang w:val="en-US" w:eastAsia="zh-CN"/>
        </w:rPr>
        <w:t>69.07</w:t>
      </w:r>
      <w:r>
        <w:rPr>
          <w:rFonts w:hint="eastAsia" w:ascii="仿宋_GB2312" w:hAnsi="仿宋_GB2312" w:eastAsia="仿宋_GB2312" w:cs="仿宋_GB2312"/>
          <w:color w:val="auto"/>
          <w:sz w:val="32"/>
          <w:szCs w:val="32"/>
          <w:highlight w:val="none"/>
          <w:lang w:val="zh-CN"/>
        </w:rPr>
        <w:t>%、</w:t>
      </w:r>
      <w:r>
        <w:rPr>
          <w:rFonts w:hint="eastAsia" w:ascii="仿宋_GB2312" w:hAnsi="仿宋_GB2312" w:eastAsia="仿宋_GB2312" w:cs="仿宋_GB2312"/>
          <w:color w:val="auto"/>
          <w:sz w:val="32"/>
          <w:szCs w:val="32"/>
          <w:highlight w:val="none"/>
          <w:lang w:val="en-US" w:eastAsia="zh-CN"/>
        </w:rPr>
        <w:t>83.10</w:t>
      </w:r>
      <w:r>
        <w:rPr>
          <w:rFonts w:hint="eastAsia" w:ascii="仿宋_GB2312" w:hAnsi="仿宋_GB2312" w:eastAsia="仿宋_GB2312" w:cs="仿宋_GB2312"/>
          <w:color w:val="auto"/>
          <w:sz w:val="32"/>
          <w:szCs w:val="32"/>
          <w:highlight w:val="none"/>
          <w:lang w:val="zh-CN"/>
        </w:rPr>
        <w:t>%。</w:t>
      </w:r>
      <w:r>
        <w:rPr>
          <w:rFonts w:hint="eastAsia" w:ascii="仿宋_GB2312" w:hAnsi="仿宋_GB2312" w:eastAsia="仿宋_GB2312" w:cs="仿宋_GB2312"/>
          <w:color w:val="auto"/>
          <w:sz w:val="32"/>
          <w:szCs w:val="32"/>
          <w:highlight w:val="none"/>
        </w:rPr>
        <w:t>分局</w:t>
      </w:r>
      <w:r>
        <w:rPr>
          <w:rFonts w:hint="eastAsia" w:ascii="仿宋_GB2312" w:hAnsi="仿宋_GB2312" w:eastAsia="仿宋_GB2312" w:cs="仿宋_GB2312"/>
          <w:color w:val="auto"/>
          <w:sz w:val="32"/>
          <w:szCs w:val="32"/>
          <w:highlight w:val="none"/>
          <w:lang w:val="zh-CN"/>
        </w:rPr>
        <w:t>在执行各项资金预算中，严格按照中央、省、市各级财务规定，管好、用好每笔资金。在</w:t>
      </w:r>
      <w:r>
        <w:rPr>
          <w:rFonts w:hint="eastAsia" w:ascii="仿宋_GB2312" w:hAnsi="仿宋_GB2312" w:eastAsia="仿宋_GB2312" w:cs="仿宋_GB2312"/>
          <w:color w:val="auto"/>
          <w:sz w:val="32"/>
          <w:szCs w:val="32"/>
          <w:highlight w:val="none"/>
          <w:lang w:val="zh-CN" w:eastAsia="zh-CN"/>
        </w:rPr>
        <w:t>中央和省级政法转移支付</w:t>
      </w:r>
      <w:r>
        <w:rPr>
          <w:rFonts w:hint="eastAsia" w:ascii="仿宋_GB2312" w:hAnsi="仿宋_GB2312" w:eastAsia="仿宋_GB2312" w:cs="仿宋_GB2312"/>
          <w:color w:val="auto"/>
          <w:sz w:val="32"/>
          <w:szCs w:val="32"/>
          <w:highlight w:val="none"/>
        </w:rPr>
        <w:t>项目</w:t>
      </w:r>
      <w:r>
        <w:rPr>
          <w:rFonts w:hint="eastAsia" w:ascii="仿宋_GB2312" w:hAnsi="仿宋_GB2312" w:eastAsia="仿宋_GB2312" w:cs="仿宋_GB2312"/>
          <w:color w:val="auto"/>
          <w:sz w:val="32"/>
          <w:szCs w:val="32"/>
          <w:highlight w:val="none"/>
          <w:lang w:val="zh-CN"/>
        </w:rPr>
        <w:t>资金使用过程中，严格按照项目资金管理办法的规定做好项目实施和监管，切实做到专款专用，从而发挥好项目资金对项目实施的促进作用；对涉及专项资金支出额度较大时，实行“</w:t>
      </w:r>
      <w:r>
        <w:rPr>
          <w:rFonts w:hint="eastAsia" w:ascii="仿宋_GB2312" w:hAnsi="仿宋_GB2312" w:eastAsia="仿宋_GB2312" w:cs="仿宋_GB2312"/>
          <w:color w:val="auto"/>
          <w:sz w:val="32"/>
          <w:szCs w:val="32"/>
          <w:highlight w:val="none"/>
        </w:rPr>
        <w:t>三重一大</w:t>
      </w:r>
      <w:r>
        <w:rPr>
          <w:rFonts w:hint="eastAsia" w:ascii="仿宋_GB2312" w:hAnsi="仿宋_GB2312" w:eastAsia="仿宋_GB2312" w:cs="仿宋_GB2312"/>
          <w:color w:val="auto"/>
          <w:sz w:val="32"/>
          <w:szCs w:val="32"/>
          <w:highlight w:val="none"/>
          <w:lang w:val="zh-CN"/>
        </w:rPr>
        <w:t>”</w:t>
      </w:r>
      <w:r>
        <w:rPr>
          <w:rFonts w:hint="eastAsia" w:ascii="仿宋_GB2312" w:hAnsi="仿宋_GB2312" w:eastAsia="仿宋_GB2312" w:cs="仿宋_GB2312"/>
          <w:color w:val="auto"/>
          <w:sz w:val="32"/>
          <w:szCs w:val="32"/>
          <w:highlight w:val="none"/>
        </w:rPr>
        <w:t>制度</w:t>
      </w:r>
      <w:r>
        <w:rPr>
          <w:rFonts w:hint="eastAsia" w:ascii="仿宋_GB2312" w:hAnsi="仿宋_GB2312" w:eastAsia="仿宋_GB2312" w:cs="仿宋_GB2312"/>
          <w:color w:val="auto"/>
          <w:sz w:val="32"/>
          <w:szCs w:val="32"/>
          <w:highlight w:val="none"/>
          <w:lang w:val="zh-CN"/>
        </w:rPr>
        <w:t>，杜绝违规违法事件的发生，“三公”支出逐年递减。</w:t>
      </w:r>
    </w:p>
    <w:p w14:paraId="3FE1FF8B">
      <w:pPr>
        <w:spacing w:line="58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zh-CN"/>
        </w:rPr>
        <w:t>（</w:t>
      </w: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lang w:val="zh-CN"/>
        </w:rPr>
        <w:t>）违规记录。依据</w:t>
      </w:r>
      <w:r>
        <w:rPr>
          <w:rFonts w:hint="eastAsia" w:ascii="仿宋_GB2312" w:hAnsi="仿宋_GB2312" w:eastAsia="仿宋_GB2312" w:cs="仿宋_GB2312"/>
          <w:color w:val="auto"/>
          <w:sz w:val="32"/>
          <w:szCs w:val="32"/>
          <w:highlight w:val="none"/>
          <w:lang w:val="en-US" w:eastAsia="zh-CN"/>
        </w:rPr>
        <w:t>2020</w:t>
      </w:r>
      <w:r>
        <w:rPr>
          <w:rFonts w:hint="eastAsia" w:ascii="仿宋_GB2312" w:hAnsi="仿宋_GB2312" w:eastAsia="仿宋_GB2312" w:cs="仿宋_GB2312"/>
          <w:color w:val="auto"/>
          <w:sz w:val="32"/>
          <w:szCs w:val="32"/>
          <w:highlight w:val="none"/>
          <w:lang w:val="zh-CN"/>
        </w:rPr>
        <w:t>度审计监督、财政检查结果，我单位未出现部门预算管理方面违纪违规问题。</w:t>
      </w:r>
    </w:p>
    <w:p w14:paraId="5138EAAC">
      <w:pPr>
        <w:spacing w:line="580" w:lineRule="exact"/>
        <w:ind w:firstLine="640" w:firstLineChars="200"/>
        <w:rPr>
          <w:rFonts w:hint="eastAsia" w:ascii="仿宋_GB2312" w:hAnsi="仿宋_GB2312" w:eastAsia="仿宋_GB2312" w:cs="仿宋_GB2312"/>
          <w:color w:val="auto"/>
          <w:sz w:val="32"/>
          <w:szCs w:val="32"/>
          <w:highlight w:val="none"/>
          <w:lang w:val="zh-CN"/>
        </w:rPr>
      </w:pPr>
      <w:r>
        <w:rPr>
          <w:rFonts w:hint="eastAsia" w:ascii="仿宋_GB2312" w:hAnsi="仿宋_GB2312" w:eastAsia="仿宋_GB2312" w:cs="仿宋_GB2312"/>
          <w:color w:val="auto"/>
          <w:sz w:val="32"/>
          <w:szCs w:val="32"/>
          <w:highlight w:val="none"/>
          <w:lang w:val="zh-CN"/>
        </w:rPr>
        <w:t>（二）结果应用情况。</w:t>
      </w:r>
    </w:p>
    <w:p w14:paraId="1F52BF8C">
      <w:pPr>
        <w:spacing w:line="580" w:lineRule="exact"/>
        <w:ind w:firstLine="640" w:firstLineChars="200"/>
        <w:rPr>
          <w:rFonts w:hint="eastAsia" w:ascii="仿宋_GB2312" w:hAnsi="仿宋_GB2312" w:eastAsia="仿宋_GB2312" w:cs="仿宋_GB2312"/>
          <w:color w:val="auto"/>
          <w:sz w:val="32"/>
          <w:szCs w:val="32"/>
          <w:highlight w:val="none"/>
          <w:lang w:val="zh-CN" w:eastAsia="zh-CN"/>
        </w:rPr>
      </w:pPr>
      <w:r>
        <w:rPr>
          <w:rFonts w:hint="eastAsia" w:ascii="仿宋_GB2312" w:hAnsi="仿宋_GB2312" w:eastAsia="仿宋_GB2312" w:cs="仿宋_GB2312"/>
          <w:color w:val="auto"/>
          <w:sz w:val="32"/>
          <w:szCs w:val="32"/>
          <w:highlight w:val="none"/>
          <w:lang w:val="zh-CN"/>
        </w:rPr>
        <w:t>（1）绩效自评公开</w:t>
      </w:r>
      <w:r>
        <w:rPr>
          <w:rFonts w:hint="eastAsia" w:ascii="仿宋_GB2312" w:hAnsi="仿宋_GB2312" w:eastAsia="仿宋_GB2312" w:cs="仿宋_GB2312"/>
          <w:color w:val="auto"/>
          <w:sz w:val="32"/>
          <w:szCs w:val="32"/>
          <w:highlight w:val="none"/>
          <w:lang w:val="zh-CN" w:eastAsia="zh-CN"/>
        </w:rPr>
        <w:t>。我单位的部门绩效目标是按要求随同预算向社会公开。我单位的部门整体绩效自评情况是按要求随同预算向社会公开。</w:t>
      </w:r>
    </w:p>
    <w:p w14:paraId="68489675">
      <w:pPr>
        <w:spacing w:line="580" w:lineRule="exact"/>
        <w:ind w:firstLine="640" w:firstLineChars="200"/>
        <w:rPr>
          <w:rFonts w:hint="eastAsia" w:ascii="仿宋_GB2312" w:hAnsi="仿宋_GB2312" w:eastAsia="仿宋_GB2312" w:cs="仿宋_GB2312"/>
          <w:color w:val="auto"/>
          <w:sz w:val="32"/>
          <w:szCs w:val="32"/>
          <w:highlight w:val="none"/>
          <w:lang w:val="zh-CN" w:eastAsia="zh-CN"/>
        </w:rPr>
      </w:pPr>
      <w:r>
        <w:rPr>
          <w:rFonts w:hint="eastAsia" w:ascii="仿宋_GB2312" w:hAnsi="仿宋_GB2312" w:eastAsia="仿宋_GB2312" w:cs="仿宋_GB2312"/>
          <w:color w:val="auto"/>
          <w:sz w:val="32"/>
          <w:szCs w:val="32"/>
          <w:highlight w:val="none"/>
          <w:lang w:val="zh-CN"/>
        </w:rPr>
        <w:t>（</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lang w:val="zh-CN"/>
        </w:rPr>
        <w:t>）评价结果整改。我单位根据绩效管理结果，对照检查，将发现的问题一一进行整改，同时完善分局的内控制度以及财务管理的制度，实现逐年规范管理的目标。</w:t>
      </w:r>
    </w:p>
    <w:p w14:paraId="1C777DC3">
      <w:pPr>
        <w:spacing w:line="580" w:lineRule="exact"/>
        <w:ind w:firstLine="640" w:firstLineChars="200"/>
        <w:rPr>
          <w:rFonts w:hint="eastAsia" w:ascii="仿宋_GB2312" w:hAnsi="仿宋_GB2312" w:eastAsia="仿宋_GB2312" w:cs="仿宋_GB2312"/>
          <w:color w:val="auto"/>
          <w:sz w:val="32"/>
          <w:szCs w:val="32"/>
          <w:highlight w:val="none"/>
          <w:lang w:val="zh-CN"/>
        </w:rPr>
      </w:pPr>
      <w:r>
        <w:rPr>
          <w:rFonts w:hint="eastAsia" w:ascii="仿宋_GB2312" w:hAnsi="仿宋_GB2312" w:eastAsia="仿宋_GB2312" w:cs="仿宋_GB2312"/>
          <w:color w:val="auto"/>
          <w:sz w:val="32"/>
          <w:szCs w:val="32"/>
          <w:highlight w:val="none"/>
          <w:lang w:val="zh-CN"/>
        </w:rPr>
        <w:t>（</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lang w:val="zh-CN"/>
        </w:rPr>
        <w:t>）应用结果反馈。我单位均在市财政局相关工作通知规定时间内向财政部门反馈应用绩效结果报告。</w:t>
      </w:r>
    </w:p>
    <w:p w14:paraId="572AA020">
      <w:pPr>
        <w:spacing w:line="580" w:lineRule="exact"/>
        <w:ind w:firstLine="640" w:firstLineChars="200"/>
        <w:rPr>
          <w:rFonts w:hint="eastAsia" w:ascii="仿宋_GB2312" w:hAnsi="仿宋_GB2312" w:eastAsia="仿宋_GB2312" w:cs="仿宋_GB2312"/>
          <w:color w:val="auto"/>
          <w:sz w:val="32"/>
          <w:szCs w:val="32"/>
          <w:highlight w:val="none"/>
        </w:rPr>
      </w:pPr>
      <w:r>
        <w:rPr>
          <w:rFonts w:hint="eastAsia" w:eastAsia="黑体"/>
          <w:color w:val="000000"/>
          <w:kern w:val="0"/>
          <w:sz w:val="32"/>
          <w:szCs w:val="32"/>
          <w:shd w:val="clear" w:color="auto" w:fill="FFFFFF"/>
        </w:rPr>
        <w:t>四、评价结论及建议</w:t>
      </w:r>
    </w:p>
    <w:p w14:paraId="7AD0FF00">
      <w:pPr>
        <w:spacing w:line="580" w:lineRule="exact"/>
        <w:ind w:firstLine="640" w:firstLineChars="200"/>
        <w:rPr>
          <w:rFonts w:hint="eastAsia" w:ascii="仿宋_GB2312" w:hAnsi="仿宋_GB2312" w:eastAsia="仿宋_GB2312" w:cs="仿宋_GB2312"/>
          <w:color w:val="auto"/>
          <w:sz w:val="32"/>
          <w:szCs w:val="32"/>
          <w:highlight w:val="none"/>
          <w:lang w:val="zh-CN"/>
        </w:rPr>
      </w:pPr>
      <w:r>
        <w:rPr>
          <w:rFonts w:hint="eastAsia" w:ascii="仿宋_GB2312" w:hAnsi="仿宋_GB2312" w:eastAsia="仿宋_GB2312" w:cs="仿宋_GB2312"/>
          <w:color w:val="auto"/>
          <w:sz w:val="32"/>
          <w:szCs w:val="32"/>
          <w:highlight w:val="none"/>
          <w:lang w:val="zh-CN"/>
        </w:rPr>
        <w:t>（一）评价结论。</w:t>
      </w:r>
    </w:p>
    <w:p w14:paraId="09F97609">
      <w:pPr>
        <w:spacing w:line="58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 我单位自评得分90分。</w:t>
      </w:r>
    </w:p>
    <w:p w14:paraId="44FF80A7">
      <w:pPr>
        <w:spacing w:line="580" w:lineRule="exact"/>
        <w:ind w:firstLine="640" w:firstLineChars="200"/>
        <w:rPr>
          <w:rFonts w:hint="eastAsia" w:ascii="仿宋_GB2312" w:hAnsi="仿宋_GB2312" w:eastAsia="仿宋_GB2312" w:cs="仿宋_GB2312"/>
          <w:color w:val="auto"/>
          <w:sz w:val="32"/>
          <w:szCs w:val="32"/>
          <w:highlight w:val="none"/>
          <w:lang w:val="zh-CN"/>
        </w:rPr>
      </w:pPr>
      <w:r>
        <w:rPr>
          <w:rFonts w:hint="eastAsia" w:ascii="仿宋_GB2312" w:hAnsi="仿宋_GB2312" w:eastAsia="仿宋_GB2312" w:cs="仿宋_GB2312"/>
          <w:color w:val="auto"/>
          <w:sz w:val="32"/>
          <w:szCs w:val="32"/>
          <w:highlight w:val="none"/>
          <w:lang w:val="zh-CN"/>
        </w:rPr>
        <w:t>（二）存在问题。</w:t>
      </w:r>
    </w:p>
    <w:p w14:paraId="66303339">
      <w:pPr>
        <w:spacing w:line="58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会计核算中科目核有待完整，由于公安工作的特殊性，</w:t>
      </w:r>
      <w:r>
        <w:rPr>
          <w:rFonts w:hint="eastAsia" w:ascii="仿宋_GB2312" w:hAnsi="仿宋_GB2312" w:eastAsia="仿宋_GB2312" w:cs="仿宋_GB2312"/>
          <w:color w:val="auto"/>
          <w:sz w:val="32"/>
          <w:szCs w:val="32"/>
          <w:highlight w:val="none"/>
          <w:lang w:eastAsia="zh-CN"/>
        </w:rPr>
        <w:t>如</w:t>
      </w:r>
      <w:r>
        <w:rPr>
          <w:rFonts w:hint="eastAsia" w:ascii="仿宋_GB2312" w:hAnsi="仿宋_GB2312" w:eastAsia="仿宋_GB2312" w:cs="仿宋_GB2312"/>
          <w:color w:val="auto"/>
          <w:sz w:val="32"/>
          <w:szCs w:val="32"/>
          <w:highlight w:val="none"/>
        </w:rPr>
        <w:t>特情耳目费、侦查破案费等特殊科目无法列入财政统一的核算科目</w:t>
      </w:r>
      <w:r>
        <w:rPr>
          <w:rFonts w:hint="eastAsia" w:ascii="仿宋_GB2312" w:hAnsi="仿宋_GB2312" w:eastAsia="仿宋_GB2312" w:cs="仿宋_GB2312"/>
          <w:color w:val="auto"/>
          <w:sz w:val="32"/>
          <w:szCs w:val="32"/>
          <w:highlight w:val="none"/>
          <w:lang w:eastAsia="zh-CN"/>
        </w:rPr>
        <w:t>。</w:t>
      </w:r>
    </w:p>
    <w:p w14:paraId="0AFAAA9E">
      <w:pPr>
        <w:spacing w:line="580" w:lineRule="exact"/>
        <w:ind w:firstLine="640" w:firstLineChars="200"/>
        <w:rPr>
          <w:rFonts w:hint="eastAsia" w:ascii="仿宋_GB2312" w:hAnsi="仿宋_GB2312" w:eastAsia="仿宋_GB2312" w:cs="仿宋_GB2312"/>
          <w:color w:val="auto"/>
          <w:sz w:val="32"/>
          <w:szCs w:val="32"/>
          <w:highlight w:val="none"/>
          <w:lang w:val="zh-CN"/>
        </w:rPr>
      </w:pPr>
      <w:r>
        <w:rPr>
          <w:rFonts w:hint="eastAsia" w:ascii="仿宋_GB2312" w:hAnsi="仿宋_GB2312" w:eastAsia="仿宋_GB2312" w:cs="仿宋_GB2312"/>
          <w:color w:val="auto"/>
          <w:sz w:val="32"/>
          <w:szCs w:val="32"/>
          <w:highlight w:val="none"/>
          <w:lang w:val="zh-CN"/>
        </w:rPr>
        <w:t>（三）改进建议。</w:t>
      </w:r>
    </w:p>
    <w:p w14:paraId="7F3A4882">
      <w:pPr>
        <w:spacing w:line="58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针对上述存在的问题及整体支出管理工作的需要，拟实施的改进措施如下：</w:t>
      </w:r>
    </w:p>
    <w:p w14:paraId="0FB3D45C">
      <w:pPr>
        <w:spacing w:line="58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 细化预算编制工作，认真做好预算的编制。进一步加强内部预算管理意识，严格按照预算编制的相关制度和要求进行预算编制；全面编制预算项目，优先保障固定性的、相对刚性的费用支出项目，尽量压缩变动性的、有控制空间的费用项目，进一步提高预算编制的科学性、严谨性和可控性。</w:t>
      </w:r>
    </w:p>
    <w:p w14:paraId="7B9D15FF">
      <w:pPr>
        <w:spacing w:line="58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 加强财务管理，严格财务审核。在费用报账支付时，按照预算规定的费用项目和用途进行资金使用审核、列报支付、财务核算，杜绝</w:t>
      </w:r>
      <w:r>
        <w:rPr>
          <w:rFonts w:hint="eastAsia" w:ascii="仿宋_GB2312" w:hAnsi="仿宋_GB2312" w:eastAsia="仿宋_GB2312" w:cs="仿宋_GB2312"/>
          <w:color w:val="auto"/>
          <w:sz w:val="32"/>
          <w:szCs w:val="32"/>
          <w:highlight w:val="none"/>
          <w:lang w:eastAsia="zh-CN"/>
        </w:rPr>
        <w:t>超标</w:t>
      </w:r>
      <w:r>
        <w:rPr>
          <w:rFonts w:hint="eastAsia" w:ascii="仿宋_GB2312" w:hAnsi="仿宋_GB2312" w:eastAsia="仿宋_GB2312" w:cs="仿宋_GB2312"/>
          <w:color w:val="auto"/>
          <w:sz w:val="32"/>
          <w:szCs w:val="32"/>
          <w:highlight w:val="none"/>
        </w:rPr>
        <w:t>超支现象的发生。</w:t>
      </w:r>
    </w:p>
    <w:p w14:paraId="358D987C">
      <w:pPr>
        <w:spacing w:line="580" w:lineRule="exact"/>
        <w:ind w:firstLine="640" w:firstLineChars="200"/>
        <w:rPr>
          <w:rFonts w:hint="eastAsia" w:ascii="仿宋_GB2312" w:hAnsi="仿宋_GB2312" w:eastAsia="仿宋_GB2312" w:cs="仿宋_GB2312"/>
          <w:color w:val="auto"/>
          <w:sz w:val="32"/>
          <w:szCs w:val="32"/>
          <w:highlight w:val="none"/>
          <w:lang w:val="zh-CN" w:eastAsia="zh-CN"/>
        </w:rPr>
      </w:pPr>
      <w:r>
        <w:rPr>
          <w:rFonts w:hint="eastAsia" w:ascii="仿宋_GB2312" w:hAnsi="仿宋_GB2312" w:eastAsia="仿宋_GB2312" w:cs="仿宋_GB2312"/>
          <w:color w:val="auto"/>
          <w:sz w:val="32"/>
          <w:szCs w:val="32"/>
          <w:highlight w:val="none"/>
        </w:rPr>
        <w:t>3．持续抓好“三公”经费控制管理。严格控制“三公”经费的规模和比例，把关“三公”经费支出的审核、审批，杜绝挪用和挤占其他预算资金行为；进一步细化“三公”经费的管理，合理压缩“三公”经费支出。</w:t>
      </w:r>
    </w:p>
    <w:p w14:paraId="1BDBD451">
      <w:pPr>
        <w:pStyle w:val="2"/>
        <w:numPr>
          <w:ilvl w:val="0"/>
          <w:numId w:val="0"/>
        </w:numPr>
        <w:tabs>
          <w:tab w:val="clear" w:pos="360"/>
        </w:tabs>
        <w:ind w:leftChars="0"/>
      </w:pPr>
    </w:p>
    <w:p w14:paraId="64AE19A8">
      <w:pPr>
        <w:pStyle w:val="2"/>
        <w:numPr>
          <w:ilvl w:val="0"/>
          <w:numId w:val="0"/>
        </w:numPr>
        <w:tabs>
          <w:tab w:val="clear" w:pos="360"/>
        </w:tabs>
        <w:ind w:leftChars="0"/>
      </w:pPr>
    </w:p>
    <w:p w14:paraId="43A421AF">
      <w:pPr>
        <w:pStyle w:val="2"/>
        <w:numPr>
          <w:ilvl w:val="0"/>
          <w:numId w:val="0"/>
        </w:numPr>
        <w:tabs>
          <w:tab w:val="clear" w:pos="360"/>
        </w:tabs>
        <w:ind w:leftChars="0"/>
      </w:pPr>
    </w:p>
    <w:p w14:paraId="414DCE7D">
      <w:pPr>
        <w:pStyle w:val="2"/>
        <w:numPr>
          <w:ilvl w:val="0"/>
          <w:numId w:val="0"/>
        </w:numPr>
        <w:tabs>
          <w:tab w:val="clear" w:pos="360"/>
        </w:tabs>
        <w:ind w:leftChars="0"/>
      </w:pPr>
    </w:p>
    <w:p w14:paraId="40E1E4B6">
      <w:pPr>
        <w:pStyle w:val="2"/>
        <w:numPr>
          <w:ilvl w:val="0"/>
          <w:numId w:val="0"/>
        </w:numPr>
        <w:tabs>
          <w:tab w:val="clear" w:pos="360"/>
        </w:tabs>
        <w:ind w:leftChars="0"/>
      </w:pPr>
    </w:p>
    <w:p w14:paraId="33E146F7">
      <w:pPr>
        <w:pStyle w:val="2"/>
        <w:numPr>
          <w:ilvl w:val="0"/>
          <w:numId w:val="0"/>
        </w:numPr>
        <w:tabs>
          <w:tab w:val="clear" w:pos="360"/>
        </w:tabs>
        <w:ind w:leftChars="0"/>
      </w:pPr>
    </w:p>
    <w:p w14:paraId="7F34460D">
      <w:pPr>
        <w:pStyle w:val="2"/>
        <w:numPr>
          <w:ilvl w:val="0"/>
          <w:numId w:val="0"/>
        </w:numPr>
        <w:tabs>
          <w:tab w:val="clear" w:pos="360"/>
        </w:tabs>
        <w:ind w:leftChars="0"/>
      </w:pPr>
    </w:p>
    <w:p w14:paraId="2DF354EF">
      <w:pPr>
        <w:pStyle w:val="2"/>
        <w:numPr>
          <w:ilvl w:val="0"/>
          <w:numId w:val="0"/>
        </w:numPr>
        <w:tabs>
          <w:tab w:val="clear" w:pos="360"/>
        </w:tabs>
        <w:ind w:leftChars="0"/>
      </w:pPr>
    </w:p>
    <w:p w14:paraId="1B8F8E59">
      <w:pPr>
        <w:pStyle w:val="2"/>
        <w:numPr>
          <w:ilvl w:val="0"/>
          <w:numId w:val="0"/>
        </w:numPr>
        <w:tabs>
          <w:tab w:val="clear" w:pos="360"/>
        </w:tabs>
        <w:ind w:leftChars="0"/>
      </w:pPr>
    </w:p>
    <w:p w14:paraId="321C97B1">
      <w:pPr>
        <w:pStyle w:val="2"/>
        <w:numPr>
          <w:ilvl w:val="0"/>
          <w:numId w:val="0"/>
        </w:numPr>
        <w:tabs>
          <w:tab w:val="clear" w:pos="360"/>
        </w:tabs>
        <w:ind w:leftChars="0"/>
      </w:pPr>
    </w:p>
    <w:p w14:paraId="19D93458">
      <w:pPr>
        <w:pStyle w:val="2"/>
        <w:numPr>
          <w:ilvl w:val="0"/>
          <w:numId w:val="0"/>
        </w:numPr>
        <w:tabs>
          <w:tab w:val="clear" w:pos="360"/>
        </w:tabs>
        <w:ind w:leftChars="0"/>
      </w:pPr>
    </w:p>
    <w:p w14:paraId="5EB76689">
      <w:pPr>
        <w:pStyle w:val="2"/>
        <w:numPr>
          <w:ilvl w:val="0"/>
          <w:numId w:val="0"/>
        </w:numPr>
        <w:tabs>
          <w:tab w:val="clear" w:pos="360"/>
        </w:tabs>
        <w:ind w:leftChars="0"/>
      </w:pPr>
    </w:p>
    <w:p w14:paraId="1DBA0E98">
      <w:pPr>
        <w:pStyle w:val="2"/>
        <w:numPr>
          <w:ilvl w:val="0"/>
          <w:numId w:val="0"/>
        </w:numPr>
        <w:tabs>
          <w:tab w:val="clear" w:pos="360"/>
        </w:tabs>
        <w:ind w:leftChars="0"/>
      </w:pPr>
    </w:p>
    <w:p w14:paraId="4EF46270">
      <w:pPr>
        <w:pStyle w:val="2"/>
        <w:numPr>
          <w:ilvl w:val="0"/>
          <w:numId w:val="0"/>
        </w:numPr>
        <w:tabs>
          <w:tab w:val="clear" w:pos="360"/>
        </w:tabs>
        <w:ind w:leftChars="0"/>
      </w:pPr>
    </w:p>
    <w:p w14:paraId="7CEC0BF6">
      <w:pPr>
        <w:pStyle w:val="2"/>
        <w:numPr>
          <w:ilvl w:val="0"/>
          <w:numId w:val="0"/>
        </w:numPr>
        <w:tabs>
          <w:tab w:val="clear" w:pos="360"/>
        </w:tabs>
        <w:ind w:leftChars="0"/>
      </w:pPr>
    </w:p>
    <w:p w14:paraId="29EDE1ED">
      <w:pPr>
        <w:pStyle w:val="2"/>
        <w:numPr>
          <w:ilvl w:val="0"/>
          <w:numId w:val="0"/>
        </w:numPr>
        <w:tabs>
          <w:tab w:val="clear" w:pos="360"/>
        </w:tabs>
        <w:ind w:leftChars="0"/>
      </w:pPr>
    </w:p>
    <w:p w14:paraId="78856F9D">
      <w:pPr>
        <w:pStyle w:val="2"/>
        <w:numPr>
          <w:ilvl w:val="0"/>
          <w:numId w:val="0"/>
        </w:numPr>
        <w:tabs>
          <w:tab w:val="clear" w:pos="360"/>
        </w:tabs>
        <w:ind w:leftChars="0"/>
      </w:pPr>
    </w:p>
    <w:p w14:paraId="04CD7E70">
      <w:pPr>
        <w:pStyle w:val="2"/>
        <w:numPr>
          <w:ilvl w:val="0"/>
          <w:numId w:val="0"/>
        </w:numPr>
        <w:tabs>
          <w:tab w:val="clear" w:pos="360"/>
        </w:tabs>
        <w:ind w:leftChars="0"/>
      </w:pPr>
    </w:p>
    <w:p w14:paraId="5D80163D">
      <w:pPr>
        <w:spacing w:line="600" w:lineRule="exact"/>
        <w:jc w:val="both"/>
        <w:outlineLvl w:val="0"/>
        <w:rPr>
          <w:rFonts w:hint="eastAsia" w:ascii="黑体" w:hAnsi="黑体" w:eastAsia="黑体"/>
          <w:color w:val="auto"/>
          <w:sz w:val="44"/>
          <w:szCs w:val="44"/>
          <w:highlight w:val="none"/>
        </w:rPr>
      </w:pPr>
      <w:bookmarkStart w:id="53" w:name="_Toc15396618"/>
    </w:p>
    <w:p w14:paraId="48615DE8">
      <w:pPr>
        <w:spacing w:line="600" w:lineRule="exact"/>
        <w:jc w:val="center"/>
        <w:outlineLvl w:val="0"/>
        <w:rPr>
          <w:rFonts w:hint="eastAsia" w:ascii="黑体" w:hAnsi="黑体" w:eastAsia="黑体"/>
          <w:color w:val="auto"/>
          <w:sz w:val="44"/>
          <w:szCs w:val="44"/>
          <w:highlight w:val="none"/>
        </w:rPr>
      </w:pPr>
    </w:p>
    <w:p w14:paraId="7B60CD31">
      <w:pPr>
        <w:spacing w:line="600" w:lineRule="exact"/>
        <w:jc w:val="center"/>
        <w:outlineLvl w:val="0"/>
        <w:rPr>
          <w:rFonts w:hint="eastAsia" w:ascii="黑体" w:hAnsi="黑体" w:eastAsia="黑体"/>
          <w:color w:val="auto"/>
          <w:sz w:val="44"/>
          <w:szCs w:val="44"/>
          <w:highlight w:val="none"/>
        </w:rPr>
      </w:pPr>
    </w:p>
    <w:p w14:paraId="39C851F1">
      <w:pPr>
        <w:spacing w:line="600" w:lineRule="exact"/>
        <w:jc w:val="both"/>
        <w:outlineLvl w:val="0"/>
        <w:rPr>
          <w:rFonts w:hint="eastAsia" w:ascii="黑体" w:hAnsi="黑体" w:eastAsia="黑体"/>
          <w:color w:val="auto"/>
          <w:sz w:val="44"/>
          <w:szCs w:val="44"/>
          <w:highlight w:val="none"/>
        </w:rPr>
      </w:pPr>
    </w:p>
    <w:p w14:paraId="17DA91DE">
      <w:pPr>
        <w:spacing w:line="600" w:lineRule="exact"/>
        <w:jc w:val="center"/>
        <w:outlineLvl w:val="0"/>
        <w:rPr>
          <w:rFonts w:hint="eastAsia" w:ascii="仿宋" w:hAnsi="仿宋" w:eastAsia="仿宋"/>
          <w:b w:val="0"/>
          <w:color w:val="auto"/>
          <w:highlight w:val="none"/>
        </w:rPr>
      </w:pPr>
      <w:r>
        <w:rPr>
          <w:rFonts w:hint="eastAsia" w:ascii="黑体" w:hAnsi="黑体" w:eastAsia="黑体"/>
          <w:color w:val="auto"/>
          <w:sz w:val="44"/>
          <w:szCs w:val="44"/>
          <w:highlight w:val="none"/>
        </w:rPr>
        <w:t>第</w:t>
      </w:r>
      <w:r>
        <w:rPr>
          <w:rStyle w:val="26"/>
          <w:rFonts w:hint="eastAsia" w:ascii="黑体" w:hAnsi="黑体" w:eastAsia="黑体"/>
          <w:b w:val="0"/>
          <w:color w:val="auto"/>
          <w:highlight w:val="none"/>
        </w:rPr>
        <w:t>五部分 附表</w:t>
      </w:r>
      <w:bookmarkEnd w:id="51"/>
      <w:bookmarkEnd w:id="53"/>
      <w:bookmarkStart w:id="54" w:name="_Toc15396619"/>
    </w:p>
    <w:p w14:paraId="7BAAE8CB">
      <w:pPr>
        <w:pStyle w:val="4"/>
        <w:rPr>
          <w:rFonts w:ascii="仿宋" w:hAnsi="仿宋" w:eastAsia="仿宋"/>
          <w:color w:val="auto"/>
          <w:highlight w:val="none"/>
        </w:rPr>
      </w:pPr>
      <w:r>
        <w:rPr>
          <w:rFonts w:hint="eastAsia" w:ascii="仿宋" w:hAnsi="仿宋" w:eastAsia="仿宋"/>
          <w:b w:val="0"/>
          <w:color w:val="auto"/>
          <w:highlight w:val="none"/>
        </w:rPr>
        <w:t>一、收</w:t>
      </w:r>
      <w:r>
        <w:rPr>
          <w:rStyle w:val="27"/>
          <w:rFonts w:hint="eastAsia" w:ascii="仿宋" w:hAnsi="仿宋" w:eastAsia="仿宋"/>
          <w:b w:val="0"/>
          <w:bCs w:val="0"/>
          <w:color w:val="auto"/>
          <w:highlight w:val="none"/>
        </w:rPr>
        <w:t>入支出决算总表</w:t>
      </w:r>
      <w:bookmarkEnd w:id="54"/>
    </w:p>
    <w:p w14:paraId="417F5BBF">
      <w:pPr>
        <w:pStyle w:val="4"/>
        <w:rPr>
          <w:rFonts w:ascii="仿宋" w:hAnsi="仿宋" w:eastAsia="仿宋"/>
          <w:color w:val="auto"/>
          <w:highlight w:val="none"/>
        </w:rPr>
      </w:pPr>
      <w:bookmarkStart w:id="55" w:name="_Toc15396620"/>
      <w:r>
        <w:rPr>
          <w:rFonts w:hint="eastAsia" w:ascii="仿宋" w:hAnsi="仿宋" w:eastAsia="仿宋"/>
          <w:b w:val="0"/>
          <w:color w:val="auto"/>
          <w:highlight w:val="none"/>
        </w:rPr>
        <w:t>二、收</w:t>
      </w:r>
      <w:r>
        <w:rPr>
          <w:rStyle w:val="27"/>
          <w:rFonts w:hint="eastAsia" w:ascii="仿宋" w:hAnsi="仿宋" w:eastAsia="仿宋"/>
          <w:b w:val="0"/>
          <w:bCs w:val="0"/>
          <w:color w:val="auto"/>
          <w:highlight w:val="none"/>
        </w:rPr>
        <w:t>入决算表</w:t>
      </w:r>
      <w:bookmarkEnd w:id="55"/>
    </w:p>
    <w:p w14:paraId="5C657EB6">
      <w:pPr>
        <w:pStyle w:val="4"/>
        <w:rPr>
          <w:rFonts w:ascii="仿宋" w:hAnsi="仿宋" w:eastAsia="仿宋"/>
          <w:color w:val="auto"/>
          <w:highlight w:val="none"/>
        </w:rPr>
      </w:pPr>
      <w:bookmarkStart w:id="56" w:name="_Toc15396621"/>
      <w:r>
        <w:rPr>
          <w:rStyle w:val="27"/>
          <w:rFonts w:hint="eastAsia" w:ascii="仿宋" w:hAnsi="仿宋" w:eastAsia="仿宋"/>
          <w:b w:val="0"/>
          <w:bCs w:val="0"/>
          <w:color w:val="auto"/>
          <w:highlight w:val="none"/>
        </w:rPr>
        <w:t>三、</w:t>
      </w:r>
      <w:r>
        <w:rPr>
          <w:rFonts w:hint="eastAsia" w:ascii="仿宋" w:hAnsi="仿宋" w:eastAsia="仿宋"/>
          <w:b w:val="0"/>
          <w:color w:val="auto"/>
          <w:highlight w:val="none"/>
        </w:rPr>
        <w:t>支</w:t>
      </w:r>
      <w:r>
        <w:rPr>
          <w:rStyle w:val="27"/>
          <w:rFonts w:hint="eastAsia" w:ascii="仿宋" w:hAnsi="仿宋" w:eastAsia="仿宋"/>
          <w:b w:val="0"/>
          <w:bCs w:val="0"/>
          <w:color w:val="auto"/>
          <w:highlight w:val="none"/>
        </w:rPr>
        <w:t>出决算表</w:t>
      </w:r>
      <w:bookmarkEnd w:id="56"/>
    </w:p>
    <w:p w14:paraId="656C0873">
      <w:pPr>
        <w:pStyle w:val="4"/>
        <w:rPr>
          <w:rFonts w:ascii="仿宋" w:hAnsi="仿宋" w:eastAsia="仿宋"/>
          <w:b w:val="0"/>
          <w:color w:val="auto"/>
          <w:highlight w:val="none"/>
        </w:rPr>
      </w:pPr>
      <w:bookmarkStart w:id="57" w:name="_Toc15396622"/>
      <w:r>
        <w:rPr>
          <w:rStyle w:val="27"/>
          <w:rFonts w:hint="eastAsia" w:ascii="仿宋" w:hAnsi="仿宋" w:eastAsia="仿宋"/>
          <w:b w:val="0"/>
          <w:bCs w:val="0"/>
          <w:color w:val="auto"/>
          <w:highlight w:val="none"/>
        </w:rPr>
        <w:t>四、</w:t>
      </w:r>
      <w:r>
        <w:rPr>
          <w:rFonts w:hint="eastAsia" w:ascii="仿宋" w:hAnsi="仿宋" w:eastAsia="仿宋"/>
          <w:b w:val="0"/>
          <w:color w:val="auto"/>
          <w:highlight w:val="none"/>
        </w:rPr>
        <w:t>财</w:t>
      </w:r>
      <w:r>
        <w:rPr>
          <w:rStyle w:val="27"/>
          <w:rFonts w:hint="eastAsia" w:ascii="仿宋" w:hAnsi="仿宋" w:eastAsia="仿宋"/>
          <w:b w:val="0"/>
          <w:bCs w:val="0"/>
          <w:color w:val="auto"/>
          <w:highlight w:val="none"/>
        </w:rPr>
        <w:t>政拨款收入支出决算总表</w:t>
      </w:r>
      <w:bookmarkEnd w:id="57"/>
    </w:p>
    <w:p w14:paraId="403BAEC0">
      <w:pPr>
        <w:pStyle w:val="4"/>
        <w:rPr>
          <w:rStyle w:val="27"/>
          <w:rFonts w:ascii="仿宋" w:hAnsi="仿宋" w:eastAsia="仿宋"/>
          <w:b w:val="0"/>
          <w:bCs w:val="0"/>
          <w:color w:val="auto"/>
          <w:highlight w:val="none"/>
        </w:rPr>
      </w:pPr>
      <w:bookmarkStart w:id="58" w:name="_Toc15396623"/>
      <w:r>
        <w:rPr>
          <w:rStyle w:val="27"/>
          <w:rFonts w:hint="eastAsia" w:ascii="仿宋" w:hAnsi="仿宋" w:eastAsia="仿宋"/>
          <w:b w:val="0"/>
          <w:bCs w:val="0"/>
          <w:color w:val="auto"/>
          <w:highlight w:val="none"/>
        </w:rPr>
        <w:t>五、</w:t>
      </w:r>
      <w:r>
        <w:rPr>
          <w:rFonts w:hint="eastAsia" w:ascii="仿宋" w:hAnsi="仿宋" w:eastAsia="仿宋"/>
          <w:b w:val="0"/>
          <w:color w:val="auto"/>
          <w:highlight w:val="none"/>
        </w:rPr>
        <w:t>财</w:t>
      </w:r>
      <w:r>
        <w:rPr>
          <w:rStyle w:val="27"/>
          <w:rFonts w:hint="eastAsia" w:ascii="仿宋" w:hAnsi="仿宋" w:eastAsia="仿宋"/>
          <w:b w:val="0"/>
          <w:bCs w:val="0"/>
          <w:color w:val="auto"/>
          <w:highlight w:val="none"/>
        </w:rPr>
        <w:t>政拨款支出决算明细表</w:t>
      </w:r>
      <w:bookmarkEnd w:id="58"/>
      <w:bookmarkStart w:id="59" w:name="_Toc15396624"/>
    </w:p>
    <w:p w14:paraId="01529695">
      <w:pPr>
        <w:pStyle w:val="4"/>
        <w:rPr>
          <w:rFonts w:ascii="仿宋" w:hAnsi="仿宋" w:eastAsia="仿宋"/>
          <w:color w:val="auto"/>
          <w:highlight w:val="none"/>
        </w:rPr>
      </w:pPr>
      <w:r>
        <w:rPr>
          <w:rStyle w:val="27"/>
          <w:rFonts w:hint="eastAsia" w:ascii="仿宋" w:hAnsi="仿宋" w:eastAsia="仿宋"/>
          <w:b w:val="0"/>
          <w:bCs w:val="0"/>
          <w:color w:val="auto"/>
          <w:highlight w:val="none"/>
        </w:rPr>
        <w:t>六、</w:t>
      </w:r>
      <w:r>
        <w:rPr>
          <w:rFonts w:hint="eastAsia" w:ascii="仿宋" w:hAnsi="仿宋" w:eastAsia="仿宋"/>
          <w:b w:val="0"/>
          <w:color w:val="auto"/>
          <w:highlight w:val="none"/>
        </w:rPr>
        <w:t>一</w:t>
      </w:r>
      <w:r>
        <w:rPr>
          <w:rStyle w:val="27"/>
          <w:rFonts w:hint="eastAsia" w:ascii="仿宋" w:hAnsi="仿宋" w:eastAsia="仿宋"/>
          <w:b w:val="0"/>
          <w:bCs w:val="0"/>
          <w:color w:val="auto"/>
          <w:highlight w:val="none"/>
        </w:rPr>
        <w:t>般公共预算财政拨款支出决算表</w:t>
      </w:r>
      <w:bookmarkEnd w:id="59"/>
    </w:p>
    <w:p w14:paraId="647F8A33">
      <w:pPr>
        <w:pStyle w:val="4"/>
        <w:rPr>
          <w:rFonts w:ascii="仿宋" w:hAnsi="仿宋" w:eastAsia="仿宋"/>
          <w:color w:val="auto"/>
          <w:highlight w:val="none"/>
        </w:rPr>
      </w:pPr>
      <w:bookmarkStart w:id="60" w:name="_Toc15396625"/>
      <w:r>
        <w:rPr>
          <w:rStyle w:val="27"/>
          <w:rFonts w:hint="eastAsia" w:ascii="仿宋" w:hAnsi="仿宋" w:eastAsia="仿宋"/>
          <w:b w:val="0"/>
          <w:bCs w:val="0"/>
          <w:color w:val="auto"/>
          <w:highlight w:val="none"/>
        </w:rPr>
        <w:t>七、</w:t>
      </w:r>
      <w:r>
        <w:rPr>
          <w:rFonts w:hint="eastAsia" w:ascii="仿宋" w:hAnsi="仿宋" w:eastAsia="仿宋"/>
          <w:b w:val="0"/>
          <w:color w:val="auto"/>
          <w:highlight w:val="none"/>
        </w:rPr>
        <w:t>一</w:t>
      </w:r>
      <w:r>
        <w:rPr>
          <w:rStyle w:val="27"/>
          <w:rFonts w:hint="eastAsia" w:ascii="仿宋" w:hAnsi="仿宋" w:eastAsia="仿宋"/>
          <w:b w:val="0"/>
          <w:bCs w:val="0"/>
          <w:color w:val="auto"/>
          <w:highlight w:val="none"/>
        </w:rPr>
        <w:t>般公共预算财政拨款支出决算明细表</w:t>
      </w:r>
      <w:bookmarkEnd w:id="60"/>
    </w:p>
    <w:p w14:paraId="6DE5A3F9">
      <w:pPr>
        <w:pStyle w:val="4"/>
        <w:rPr>
          <w:rFonts w:ascii="仿宋" w:hAnsi="仿宋" w:eastAsia="仿宋"/>
          <w:color w:val="auto"/>
          <w:highlight w:val="none"/>
        </w:rPr>
      </w:pPr>
      <w:bookmarkStart w:id="61" w:name="_Toc15396626"/>
      <w:r>
        <w:rPr>
          <w:rStyle w:val="27"/>
          <w:rFonts w:hint="eastAsia" w:ascii="仿宋" w:hAnsi="仿宋" w:eastAsia="仿宋"/>
          <w:b w:val="0"/>
          <w:bCs w:val="0"/>
          <w:color w:val="auto"/>
          <w:highlight w:val="none"/>
        </w:rPr>
        <w:t>八、</w:t>
      </w:r>
      <w:r>
        <w:rPr>
          <w:rFonts w:hint="eastAsia" w:ascii="仿宋" w:hAnsi="仿宋" w:eastAsia="仿宋"/>
          <w:b w:val="0"/>
          <w:color w:val="auto"/>
          <w:highlight w:val="none"/>
        </w:rPr>
        <w:t>一</w:t>
      </w:r>
      <w:r>
        <w:rPr>
          <w:rStyle w:val="27"/>
          <w:rFonts w:hint="eastAsia" w:ascii="仿宋" w:hAnsi="仿宋" w:eastAsia="仿宋"/>
          <w:b w:val="0"/>
          <w:bCs w:val="0"/>
          <w:color w:val="auto"/>
          <w:highlight w:val="none"/>
        </w:rPr>
        <w:t>般公共预算财政拨款基本支出决算表</w:t>
      </w:r>
      <w:bookmarkEnd w:id="61"/>
    </w:p>
    <w:p w14:paraId="110893AC">
      <w:pPr>
        <w:pStyle w:val="4"/>
        <w:rPr>
          <w:rFonts w:ascii="仿宋" w:hAnsi="仿宋" w:eastAsia="仿宋"/>
          <w:color w:val="auto"/>
          <w:highlight w:val="none"/>
        </w:rPr>
      </w:pPr>
      <w:bookmarkStart w:id="62" w:name="_Toc15396627"/>
      <w:r>
        <w:rPr>
          <w:rStyle w:val="27"/>
          <w:rFonts w:hint="eastAsia" w:ascii="仿宋" w:hAnsi="仿宋" w:eastAsia="仿宋"/>
          <w:b w:val="0"/>
          <w:bCs w:val="0"/>
          <w:color w:val="auto"/>
          <w:highlight w:val="none"/>
        </w:rPr>
        <w:t>九、</w:t>
      </w:r>
      <w:r>
        <w:rPr>
          <w:rFonts w:hint="eastAsia" w:ascii="仿宋" w:hAnsi="仿宋" w:eastAsia="仿宋"/>
          <w:b w:val="0"/>
          <w:color w:val="auto"/>
          <w:highlight w:val="none"/>
        </w:rPr>
        <w:t>一</w:t>
      </w:r>
      <w:r>
        <w:rPr>
          <w:rStyle w:val="27"/>
          <w:rFonts w:hint="eastAsia" w:ascii="仿宋" w:hAnsi="仿宋" w:eastAsia="仿宋"/>
          <w:b w:val="0"/>
          <w:bCs w:val="0"/>
          <w:color w:val="auto"/>
          <w:highlight w:val="none"/>
        </w:rPr>
        <w:t>般公共预算财政拨款项目支出决算表</w:t>
      </w:r>
      <w:bookmarkEnd w:id="62"/>
    </w:p>
    <w:p w14:paraId="5A20229E">
      <w:pPr>
        <w:pStyle w:val="4"/>
        <w:rPr>
          <w:rFonts w:ascii="仿宋" w:hAnsi="仿宋" w:eastAsia="仿宋"/>
          <w:color w:val="auto"/>
          <w:highlight w:val="none"/>
        </w:rPr>
      </w:pPr>
      <w:bookmarkStart w:id="63" w:name="_Toc15396628"/>
      <w:r>
        <w:rPr>
          <w:rStyle w:val="27"/>
          <w:rFonts w:hint="eastAsia" w:ascii="仿宋" w:hAnsi="仿宋" w:eastAsia="仿宋"/>
          <w:b w:val="0"/>
          <w:bCs w:val="0"/>
          <w:color w:val="auto"/>
          <w:highlight w:val="none"/>
        </w:rPr>
        <w:t>十、</w:t>
      </w:r>
      <w:r>
        <w:rPr>
          <w:rFonts w:hint="eastAsia" w:ascii="仿宋" w:hAnsi="仿宋" w:eastAsia="仿宋"/>
          <w:b w:val="0"/>
          <w:color w:val="auto"/>
          <w:highlight w:val="none"/>
        </w:rPr>
        <w:t>一</w:t>
      </w:r>
      <w:r>
        <w:rPr>
          <w:rStyle w:val="27"/>
          <w:rFonts w:hint="eastAsia" w:ascii="仿宋" w:hAnsi="仿宋" w:eastAsia="仿宋"/>
          <w:b w:val="0"/>
          <w:bCs w:val="0"/>
          <w:color w:val="auto"/>
          <w:highlight w:val="none"/>
        </w:rPr>
        <w:t>般公共预算财政拨款“三公”经费支出决算表</w:t>
      </w:r>
      <w:bookmarkEnd w:id="63"/>
    </w:p>
    <w:p w14:paraId="22FCC433">
      <w:pPr>
        <w:pStyle w:val="4"/>
        <w:rPr>
          <w:rFonts w:ascii="仿宋" w:hAnsi="仿宋" w:eastAsia="仿宋"/>
          <w:color w:val="auto"/>
          <w:highlight w:val="none"/>
        </w:rPr>
      </w:pPr>
      <w:bookmarkStart w:id="64" w:name="_Toc15396629"/>
      <w:r>
        <w:rPr>
          <w:rStyle w:val="27"/>
          <w:rFonts w:hint="eastAsia" w:ascii="仿宋" w:hAnsi="仿宋" w:eastAsia="仿宋"/>
          <w:b w:val="0"/>
          <w:bCs w:val="0"/>
          <w:color w:val="auto"/>
          <w:highlight w:val="none"/>
        </w:rPr>
        <w:t>十一、</w:t>
      </w:r>
      <w:r>
        <w:rPr>
          <w:rFonts w:hint="eastAsia" w:ascii="仿宋" w:hAnsi="仿宋" w:eastAsia="仿宋"/>
          <w:b w:val="0"/>
          <w:color w:val="auto"/>
          <w:highlight w:val="none"/>
        </w:rPr>
        <w:t>政</w:t>
      </w:r>
      <w:r>
        <w:rPr>
          <w:rStyle w:val="27"/>
          <w:rFonts w:hint="eastAsia" w:ascii="仿宋" w:hAnsi="仿宋" w:eastAsia="仿宋"/>
          <w:b w:val="0"/>
          <w:bCs w:val="0"/>
          <w:color w:val="auto"/>
          <w:highlight w:val="none"/>
        </w:rPr>
        <w:t>府性基金预算财政拨款收入支出决算表</w:t>
      </w:r>
      <w:bookmarkEnd w:id="64"/>
    </w:p>
    <w:p w14:paraId="5429A6C9">
      <w:pPr>
        <w:pStyle w:val="4"/>
        <w:rPr>
          <w:rFonts w:ascii="仿宋" w:hAnsi="仿宋" w:eastAsia="仿宋"/>
          <w:color w:val="auto"/>
          <w:highlight w:val="none"/>
        </w:rPr>
      </w:pPr>
      <w:bookmarkStart w:id="65" w:name="_Toc15396630"/>
      <w:r>
        <w:rPr>
          <w:rStyle w:val="27"/>
          <w:rFonts w:hint="eastAsia" w:ascii="仿宋" w:hAnsi="仿宋" w:eastAsia="仿宋"/>
          <w:b w:val="0"/>
          <w:bCs w:val="0"/>
          <w:color w:val="auto"/>
          <w:highlight w:val="none"/>
        </w:rPr>
        <w:t>十二、</w:t>
      </w:r>
      <w:r>
        <w:rPr>
          <w:rFonts w:hint="eastAsia" w:ascii="仿宋" w:hAnsi="仿宋" w:eastAsia="仿宋"/>
          <w:b w:val="0"/>
          <w:color w:val="auto"/>
          <w:highlight w:val="none"/>
        </w:rPr>
        <w:t>政</w:t>
      </w:r>
      <w:r>
        <w:rPr>
          <w:rStyle w:val="27"/>
          <w:rFonts w:hint="eastAsia" w:ascii="仿宋" w:hAnsi="仿宋" w:eastAsia="仿宋"/>
          <w:b w:val="0"/>
          <w:bCs w:val="0"/>
          <w:color w:val="auto"/>
          <w:highlight w:val="none"/>
        </w:rPr>
        <w:t>府性基金预算财政拨款“三公”经费支出决算表</w:t>
      </w:r>
      <w:bookmarkEnd w:id="65"/>
    </w:p>
    <w:p w14:paraId="2B77EFC9">
      <w:pPr>
        <w:pStyle w:val="4"/>
        <w:rPr>
          <w:rStyle w:val="27"/>
          <w:rFonts w:hint="eastAsia" w:ascii="仿宋" w:hAnsi="仿宋" w:eastAsia="仿宋"/>
          <w:b w:val="0"/>
          <w:bCs w:val="0"/>
          <w:color w:val="auto"/>
          <w:highlight w:val="none"/>
        </w:rPr>
      </w:pPr>
      <w:bookmarkStart w:id="66" w:name="_Toc15396631"/>
      <w:r>
        <w:rPr>
          <w:rStyle w:val="27"/>
          <w:rFonts w:hint="eastAsia" w:ascii="仿宋" w:hAnsi="仿宋" w:eastAsia="仿宋"/>
          <w:b w:val="0"/>
          <w:bCs w:val="0"/>
          <w:color w:val="auto"/>
          <w:highlight w:val="none"/>
        </w:rPr>
        <w:t>十三、</w:t>
      </w:r>
      <w:r>
        <w:rPr>
          <w:rFonts w:hint="eastAsia" w:ascii="仿宋" w:hAnsi="仿宋" w:eastAsia="仿宋"/>
          <w:b w:val="0"/>
          <w:color w:val="auto"/>
          <w:highlight w:val="none"/>
        </w:rPr>
        <w:t>国</w:t>
      </w:r>
      <w:r>
        <w:rPr>
          <w:rStyle w:val="27"/>
          <w:rFonts w:hint="eastAsia" w:ascii="仿宋" w:hAnsi="仿宋" w:eastAsia="仿宋"/>
          <w:b w:val="0"/>
          <w:bCs w:val="0"/>
          <w:color w:val="auto"/>
          <w:highlight w:val="none"/>
        </w:rPr>
        <w:t>有资本经营预算</w:t>
      </w:r>
      <w:r>
        <w:rPr>
          <w:rStyle w:val="27"/>
          <w:rFonts w:hint="eastAsia" w:ascii="仿宋" w:hAnsi="仿宋" w:eastAsia="仿宋"/>
          <w:b w:val="0"/>
          <w:bCs w:val="0"/>
          <w:color w:val="auto"/>
          <w:highlight w:val="none"/>
          <w:lang w:eastAsia="zh-CN"/>
        </w:rPr>
        <w:t>财政拨款收入</w:t>
      </w:r>
      <w:r>
        <w:rPr>
          <w:rStyle w:val="27"/>
          <w:rFonts w:hint="eastAsia" w:ascii="仿宋" w:hAnsi="仿宋" w:eastAsia="仿宋"/>
          <w:b w:val="0"/>
          <w:bCs w:val="0"/>
          <w:color w:val="auto"/>
          <w:highlight w:val="none"/>
        </w:rPr>
        <w:t>支出决算表</w:t>
      </w:r>
      <w:bookmarkEnd w:id="66"/>
    </w:p>
    <w:p w14:paraId="1D04CFFC">
      <w:pPr>
        <w:rPr>
          <w:rFonts w:hint="eastAsia" w:eastAsia="仿宋"/>
          <w:color w:val="auto"/>
          <w:highlight w:val="none"/>
          <w:lang w:eastAsia="zh-CN"/>
        </w:rPr>
      </w:pPr>
      <w:r>
        <w:rPr>
          <w:rStyle w:val="27"/>
          <w:rFonts w:hint="eastAsia" w:ascii="仿宋" w:hAnsi="仿宋" w:eastAsia="仿宋"/>
          <w:b w:val="0"/>
          <w:bCs w:val="0"/>
          <w:color w:val="auto"/>
          <w:highlight w:val="none"/>
          <w:lang w:eastAsia="zh-CN"/>
        </w:rPr>
        <w:t>十四、国有资本经营预算财政拨款支出决算表</w:t>
      </w:r>
    </w:p>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1446297-C8EF-4CC0-8D29-247A0F02282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EDECE4ED-CD2D-4A35-9165-507EA0CE2E53}"/>
  </w:font>
  <w:font w:name="Cambria">
    <w:panose1 w:val="02040503050406030204"/>
    <w:charset w:val="00"/>
    <w:family w:val="roman"/>
    <w:pitch w:val="default"/>
    <w:sig w:usb0="E00006FF" w:usb1="420024FF" w:usb2="02000000" w:usb3="00000000" w:csb0="2000019F" w:csb1="00000000"/>
    <w:embedRegular r:id="rId3" w:fontKey="{995ED816-C181-41EC-986E-D4488C4E044F}"/>
  </w:font>
  <w:font w:name="仿宋_GB2312">
    <w:altName w:val="仿宋"/>
    <w:panose1 w:val="02010609030101010101"/>
    <w:charset w:val="86"/>
    <w:family w:val="modern"/>
    <w:pitch w:val="default"/>
    <w:sig w:usb0="00000000" w:usb1="00000000" w:usb2="00000000" w:usb3="00000000" w:csb0="00040000" w:csb1="00000000"/>
    <w:embedRegular r:id="rId4" w:fontKey="{8632FE65-B21F-4408-9664-CB017C66DB6F}"/>
  </w:font>
  <w:font w:name="仿宋">
    <w:panose1 w:val="02010609060101010101"/>
    <w:charset w:val="86"/>
    <w:family w:val="auto"/>
    <w:pitch w:val="default"/>
    <w:sig w:usb0="800002BF" w:usb1="38CF7CFA" w:usb2="00000016" w:usb3="00000000" w:csb0="00040001" w:csb1="00000000"/>
    <w:embedRegular r:id="rId5" w:fontKey="{105012F4-4E35-457F-9294-CB97D5974A2C}"/>
  </w:font>
  <w:font w:name="方正小标宋简体">
    <w:panose1 w:val="02000000000000000000"/>
    <w:charset w:val="86"/>
    <w:family w:val="script"/>
    <w:pitch w:val="default"/>
    <w:sig w:usb0="00000001" w:usb1="08000000" w:usb2="00000000" w:usb3="00000000" w:csb0="00040000" w:csb1="00000000"/>
    <w:embedRegular r:id="rId6" w:fontKey="{03A9BE00-6C1E-453C-B59E-D6F9260ACB6A}"/>
  </w:font>
  <w:font w:name="微软雅黑">
    <w:panose1 w:val="020B0503020204020204"/>
    <w:charset w:val="86"/>
    <w:family w:val="auto"/>
    <w:pitch w:val="default"/>
    <w:sig w:usb0="80000287" w:usb1="2ACF3C50" w:usb2="00000016" w:usb3="00000000" w:csb0="0004001F" w:csb1="00000000"/>
    <w:embedRegular r:id="rId7" w:fontKey="{7BC00F67-6F5A-4DE1-A93D-6D8B3065FE1C}"/>
  </w:font>
  <w:font w:name="楷体">
    <w:panose1 w:val="02010609060101010101"/>
    <w:charset w:val="86"/>
    <w:family w:val="auto"/>
    <w:pitch w:val="default"/>
    <w:sig w:usb0="800002BF" w:usb1="38CF7CFA" w:usb2="00000016" w:usb3="00000000" w:csb0="00040001" w:csb1="00000000"/>
    <w:embedRegular r:id="rId8" w:fontKey="{19B8E646-1202-4137-B3FE-8C3F31BCCE18}"/>
  </w:font>
  <w:font w:name="楷体_GB2312">
    <w:altName w:val="楷体"/>
    <w:panose1 w:val="00000000000000000000"/>
    <w:charset w:val="00"/>
    <w:family w:val="auto"/>
    <w:pitch w:val="default"/>
    <w:sig w:usb0="00000000" w:usb1="00000000" w:usb2="00000000" w:usb3="00000000" w:csb0="00000000" w:csb1="00000000"/>
    <w:embedRegular r:id="rId9" w:fontKey="{56A078D6-E858-48DB-8D53-4B34057543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14:paraId="510233C8">
        <w:pPr>
          <w:pStyle w:val="9"/>
          <w:jc w:val="center"/>
        </w:pPr>
        <w:r>
          <w:fldChar w:fldCharType="begin"/>
        </w:r>
        <w:r>
          <w:instrText xml:space="preserve">PAGE   \* MERGEFORMAT</w:instrText>
        </w:r>
        <w:r>
          <w:fldChar w:fldCharType="separate"/>
        </w:r>
        <w:r>
          <w:rPr>
            <w:lang w:val="zh-CN"/>
          </w:rPr>
          <w:t>8</w:t>
        </w:r>
        <w:r>
          <w:fldChar w:fldCharType="end"/>
        </w:r>
      </w:p>
    </w:sdtContent>
  </w:sdt>
  <w:p w14:paraId="03C10DCD">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7E6F6">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E2FA047D"/>
    <w:multiLevelType w:val="singleLevel"/>
    <w:tmpl w:val="E2FA047D"/>
    <w:lvl w:ilvl="0" w:tentative="0">
      <w:start w:val="3"/>
      <w:numFmt w:val="chineseCounting"/>
      <w:suff w:val="space"/>
      <w:lvlText w:val="第%1部分"/>
      <w:lvlJc w:val="left"/>
      <w:rPr>
        <w:rFonts w:hint="eastAsia" w:ascii="黑体" w:hAnsi="黑体" w:eastAsia="黑体" w:cs="黑体"/>
        <w:sz w:val="44"/>
        <w:szCs w:val="44"/>
      </w:rPr>
    </w:lvl>
  </w:abstractNum>
  <w:abstractNum w:abstractNumId="2">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3">
    <w:nsid w:val="6302DD5A"/>
    <w:multiLevelType w:val="singleLevel"/>
    <w:tmpl w:val="6302DD5A"/>
    <w:lvl w:ilvl="0" w:tentative="0">
      <w:start w:val="1"/>
      <w:numFmt w:val="decimal"/>
      <w:pStyle w:val="2"/>
      <w:lvlText w:val="%1."/>
      <w:lvlJc w:val="left"/>
      <w:pPr>
        <w:tabs>
          <w:tab w:val="left" w:pos="360"/>
        </w:tabs>
        <w:ind w:left="360" w:hanging="360"/>
      </w:pPr>
    </w:lvl>
  </w:abstractNum>
  <w:abstractNum w:abstractNumId="4">
    <w:nsid w:val="6302E2AC"/>
    <w:multiLevelType w:val="singleLevel"/>
    <w:tmpl w:val="6302E2AC"/>
    <w:lvl w:ilvl="0" w:tentative="0">
      <w:start w:val="1"/>
      <w:numFmt w:val="chineseCounting"/>
      <w:suff w:val="nothing"/>
      <w:lvlText w:val="%1、"/>
      <w:lvlJc w:val="left"/>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BkZGFmMDBjYTE4MWY2YTMzZmQwNjdlZWJhMzM3YWE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DA783A"/>
    <w:rsid w:val="01EB77D0"/>
    <w:rsid w:val="0215623C"/>
    <w:rsid w:val="02B44137"/>
    <w:rsid w:val="03976B40"/>
    <w:rsid w:val="03A676E4"/>
    <w:rsid w:val="03F91BE1"/>
    <w:rsid w:val="03FB3F80"/>
    <w:rsid w:val="04480F50"/>
    <w:rsid w:val="05995A4B"/>
    <w:rsid w:val="059D5591"/>
    <w:rsid w:val="069E13D3"/>
    <w:rsid w:val="06AB712D"/>
    <w:rsid w:val="06BF511E"/>
    <w:rsid w:val="06D21C61"/>
    <w:rsid w:val="071740B4"/>
    <w:rsid w:val="07283DAD"/>
    <w:rsid w:val="07AD257F"/>
    <w:rsid w:val="085C65C8"/>
    <w:rsid w:val="08D416DB"/>
    <w:rsid w:val="091F34A2"/>
    <w:rsid w:val="09A6662F"/>
    <w:rsid w:val="0A2032A3"/>
    <w:rsid w:val="0A215552"/>
    <w:rsid w:val="0A2F573D"/>
    <w:rsid w:val="0AC728FB"/>
    <w:rsid w:val="0B2773CD"/>
    <w:rsid w:val="0B8A37D8"/>
    <w:rsid w:val="0BDC2217"/>
    <w:rsid w:val="0C293899"/>
    <w:rsid w:val="0CC80806"/>
    <w:rsid w:val="0DAB231C"/>
    <w:rsid w:val="0DB65253"/>
    <w:rsid w:val="0E03598B"/>
    <w:rsid w:val="0E4A7194"/>
    <w:rsid w:val="0F7A203A"/>
    <w:rsid w:val="0FC03F90"/>
    <w:rsid w:val="0FC713D2"/>
    <w:rsid w:val="104277CE"/>
    <w:rsid w:val="10635D1E"/>
    <w:rsid w:val="108E76EC"/>
    <w:rsid w:val="109A7DA7"/>
    <w:rsid w:val="10C055FF"/>
    <w:rsid w:val="118107EC"/>
    <w:rsid w:val="11A12D13"/>
    <w:rsid w:val="11DD6519"/>
    <w:rsid w:val="1214121C"/>
    <w:rsid w:val="123C141A"/>
    <w:rsid w:val="12724790"/>
    <w:rsid w:val="12F04A8C"/>
    <w:rsid w:val="132A79E1"/>
    <w:rsid w:val="141C0FF1"/>
    <w:rsid w:val="144C0CF9"/>
    <w:rsid w:val="14525B68"/>
    <w:rsid w:val="14B032AA"/>
    <w:rsid w:val="14E40685"/>
    <w:rsid w:val="156B04D7"/>
    <w:rsid w:val="15F61DE0"/>
    <w:rsid w:val="15F96156"/>
    <w:rsid w:val="16737FFE"/>
    <w:rsid w:val="16BB723D"/>
    <w:rsid w:val="174B23F9"/>
    <w:rsid w:val="177E40D1"/>
    <w:rsid w:val="17C16B9E"/>
    <w:rsid w:val="18015F3F"/>
    <w:rsid w:val="18CA78A5"/>
    <w:rsid w:val="199C55AB"/>
    <w:rsid w:val="1A713B19"/>
    <w:rsid w:val="1ABF45A7"/>
    <w:rsid w:val="1AE4780E"/>
    <w:rsid w:val="1B4309F3"/>
    <w:rsid w:val="1BE8440E"/>
    <w:rsid w:val="1C560AB9"/>
    <w:rsid w:val="1C89607E"/>
    <w:rsid w:val="1CF44BE9"/>
    <w:rsid w:val="1D155CEE"/>
    <w:rsid w:val="1D315D8C"/>
    <w:rsid w:val="1D7342A9"/>
    <w:rsid w:val="1DC100B6"/>
    <w:rsid w:val="204C677D"/>
    <w:rsid w:val="20F57F95"/>
    <w:rsid w:val="21A45C08"/>
    <w:rsid w:val="222D3604"/>
    <w:rsid w:val="224629A2"/>
    <w:rsid w:val="224E20B6"/>
    <w:rsid w:val="23F87FE3"/>
    <w:rsid w:val="240371BF"/>
    <w:rsid w:val="240F0743"/>
    <w:rsid w:val="245A0889"/>
    <w:rsid w:val="25C741E6"/>
    <w:rsid w:val="25CD4ABE"/>
    <w:rsid w:val="27412E0F"/>
    <w:rsid w:val="27842671"/>
    <w:rsid w:val="27FB24DE"/>
    <w:rsid w:val="289A787D"/>
    <w:rsid w:val="298E41A3"/>
    <w:rsid w:val="29C246B6"/>
    <w:rsid w:val="29FD04D3"/>
    <w:rsid w:val="2ABE7A3E"/>
    <w:rsid w:val="2ABF5366"/>
    <w:rsid w:val="2AF336FC"/>
    <w:rsid w:val="2B2407A6"/>
    <w:rsid w:val="2B673382"/>
    <w:rsid w:val="2CED756D"/>
    <w:rsid w:val="2D2935F6"/>
    <w:rsid w:val="2D871B79"/>
    <w:rsid w:val="2E1E652E"/>
    <w:rsid w:val="2E2912EF"/>
    <w:rsid w:val="2EFA178C"/>
    <w:rsid w:val="2FB123CF"/>
    <w:rsid w:val="30B46D73"/>
    <w:rsid w:val="31331FB7"/>
    <w:rsid w:val="319F7F4E"/>
    <w:rsid w:val="320D028D"/>
    <w:rsid w:val="33594308"/>
    <w:rsid w:val="337500D1"/>
    <w:rsid w:val="34FA1E78"/>
    <w:rsid w:val="35AE0798"/>
    <w:rsid w:val="35D83AB7"/>
    <w:rsid w:val="36E27BF5"/>
    <w:rsid w:val="37B52B00"/>
    <w:rsid w:val="37B9433E"/>
    <w:rsid w:val="395E0E2C"/>
    <w:rsid w:val="39AE70AB"/>
    <w:rsid w:val="3A4C40D1"/>
    <w:rsid w:val="3C0C0783"/>
    <w:rsid w:val="3CF13488"/>
    <w:rsid w:val="3F9F3A96"/>
    <w:rsid w:val="3FAB79EF"/>
    <w:rsid w:val="3FAE7E54"/>
    <w:rsid w:val="3FC01DE9"/>
    <w:rsid w:val="410D6968"/>
    <w:rsid w:val="415A0140"/>
    <w:rsid w:val="41AB6D84"/>
    <w:rsid w:val="425B0375"/>
    <w:rsid w:val="444819DD"/>
    <w:rsid w:val="45400BF2"/>
    <w:rsid w:val="466F3FFC"/>
    <w:rsid w:val="468A5753"/>
    <w:rsid w:val="46920E76"/>
    <w:rsid w:val="47701D69"/>
    <w:rsid w:val="47C83B91"/>
    <w:rsid w:val="48261CD1"/>
    <w:rsid w:val="482C04AD"/>
    <w:rsid w:val="487D000E"/>
    <w:rsid w:val="493A33E8"/>
    <w:rsid w:val="493C27E9"/>
    <w:rsid w:val="496F39ED"/>
    <w:rsid w:val="49AB2B68"/>
    <w:rsid w:val="49FF41D3"/>
    <w:rsid w:val="4A0D2640"/>
    <w:rsid w:val="4A4B13F2"/>
    <w:rsid w:val="4A6461B1"/>
    <w:rsid w:val="4A8B6CD4"/>
    <w:rsid w:val="4B2B2DFE"/>
    <w:rsid w:val="4BA871EB"/>
    <w:rsid w:val="4BE068DB"/>
    <w:rsid w:val="4BF6002B"/>
    <w:rsid w:val="4C2D7ACE"/>
    <w:rsid w:val="4C2F476C"/>
    <w:rsid w:val="4C495C1C"/>
    <w:rsid w:val="4C7430C6"/>
    <w:rsid w:val="4CF3141A"/>
    <w:rsid w:val="4ECE2238"/>
    <w:rsid w:val="4F070099"/>
    <w:rsid w:val="4F0F51DF"/>
    <w:rsid w:val="4FFE2549"/>
    <w:rsid w:val="50877934"/>
    <w:rsid w:val="508873B1"/>
    <w:rsid w:val="508C779A"/>
    <w:rsid w:val="50C87EFD"/>
    <w:rsid w:val="51C13544"/>
    <w:rsid w:val="51DB4B86"/>
    <w:rsid w:val="52383414"/>
    <w:rsid w:val="52986A09"/>
    <w:rsid w:val="53E40042"/>
    <w:rsid w:val="54823070"/>
    <w:rsid w:val="55333C3E"/>
    <w:rsid w:val="553C6EA3"/>
    <w:rsid w:val="56D20D85"/>
    <w:rsid w:val="570849C8"/>
    <w:rsid w:val="58DF426C"/>
    <w:rsid w:val="594301DE"/>
    <w:rsid w:val="599D2950"/>
    <w:rsid w:val="5BE2440A"/>
    <w:rsid w:val="5D925A32"/>
    <w:rsid w:val="5E1607BD"/>
    <w:rsid w:val="5E5C4DF3"/>
    <w:rsid w:val="5E5D6F55"/>
    <w:rsid w:val="5E8E7841"/>
    <w:rsid w:val="5E9010A7"/>
    <w:rsid w:val="600F2A8C"/>
    <w:rsid w:val="6037212F"/>
    <w:rsid w:val="606520FA"/>
    <w:rsid w:val="60722C2E"/>
    <w:rsid w:val="61E30A6F"/>
    <w:rsid w:val="629011E4"/>
    <w:rsid w:val="638E384B"/>
    <w:rsid w:val="64327F6C"/>
    <w:rsid w:val="64594225"/>
    <w:rsid w:val="64CA39A1"/>
    <w:rsid w:val="64D91580"/>
    <w:rsid w:val="64EB7F23"/>
    <w:rsid w:val="654337D3"/>
    <w:rsid w:val="6545080D"/>
    <w:rsid w:val="66043DE3"/>
    <w:rsid w:val="660F0D2E"/>
    <w:rsid w:val="66CE053D"/>
    <w:rsid w:val="679745BF"/>
    <w:rsid w:val="68187785"/>
    <w:rsid w:val="683575BC"/>
    <w:rsid w:val="685225E8"/>
    <w:rsid w:val="69017212"/>
    <w:rsid w:val="69CD66CC"/>
    <w:rsid w:val="6AAD0122"/>
    <w:rsid w:val="6B4577B6"/>
    <w:rsid w:val="6C137677"/>
    <w:rsid w:val="6C4A05C8"/>
    <w:rsid w:val="6DC27ED3"/>
    <w:rsid w:val="6DD749FA"/>
    <w:rsid w:val="6F604E41"/>
    <w:rsid w:val="70A00880"/>
    <w:rsid w:val="70AF1D04"/>
    <w:rsid w:val="72734D90"/>
    <w:rsid w:val="72E22C22"/>
    <w:rsid w:val="737E5F8C"/>
    <w:rsid w:val="754A1E5F"/>
    <w:rsid w:val="77700D26"/>
    <w:rsid w:val="78301CCA"/>
    <w:rsid w:val="78CF5BFC"/>
    <w:rsid w:val="79666C59"/>
    <w:rsid w:val="79E7B28D"/>
    <w:rsid w:val="79F94FBB"/>
    <w:rsid w:val="7A562522"/>
    <w:rsid w:val="7BA2014B"/>
    <w:rsid w:val="7D1A6C51"/>
    <w:rsid w:val="7EDF09D4"/>
    <w:rsid w:val="7F2207FC"/>
    <w:rsid w:val="7F9F20EE"/>
    <w:rsid w:val="7FB5132D"/>
    <w:rsid w:val="7FC05196"/>
    <w:rsid w:val="9E3A10E2"/>
    <w:rsid w:val="F2E1F9D4"/>
    <w:rsid w:val="F788081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6"/>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0"/>
    <w:unhideWhenUsed/>
    <w:qFormat/>
    <w:uiPriority w:val="9"/>
    <w:pPr>
      <w:keepNext/>
      <w:keepLines/>
      <w:spacing w:before="260" w:after="260" w:line="416" w:lineRule="auto"/>
      <w:outlineLvl w:val="2"/>
    </w:pPr>
    <w:rPr>
      <w:b/>
      <w:bCs/>
      <w:sz w:val="32"/>
      <w:szCs w:val="32"/>
    </w:rPr>
  </w:style>
  <w:style w:type="character" w:default="1" w:styleId="15">
    <w:name w:val="Default Paragraph Font"/>
    <w:unhideWhenUsed/>
    <w:qFormat/>
    <w:uiPriority w:val="1"/>
  </w:style>
  <w:style w:type="table" w:default="1" w:styleId="14">
    <w:name w:val="Normal Table"/>
    <w:unhideWhenUsed/>
    <w:qFormat/>
    <w:uiPriority w:val="99"/>
    <w:tblPr>
      <w:tblCellMar>
        <w:top w:w="0" w:type="dxa"/>
        <w:left w:w="108" w:type="dxa"/>
        <w:bottom w:w="0" w:type="dxa"/>
        <w:right w:w="108" w:type="dxa"/>
      </w:tblCellMar>
    </w:tblPr>
  </w:style>
  <w:style w:type="paragraph" w:styleId="2">
    <w:name w:val="List Number"/>
    <w:basedOn w:val="1"/>
    <w:unhideWhenUsed/>
    <w:qFormat/>
    <w:uiPriority w:val="99"/>
    <w:pPr>
      <w:numPr>
        <w:ilvl w:val="0"/>
        <w:numId w:val="1"/>
      </w:numPr>
    </w:pPr>
  </w:style>
  <w:style w:type="paragraph" w:styleId="6">
    <w:name w:val="Body Text"/>
    <w:basedOn w:val="1"/>
    <w:link w:val="23"/>
    <w:qFormat/>
    <w:uiPriority w:val="99"/>
    <w:pPr>
      <w:spacing w:beforeLines="30"/>
    </w:pPr>
    <w:rPr>
      <w:rFonts w:ascii="仿宋_GB2312" w:eastAsia="仿宋_GB2312"/>
      <w:kern w:val="0"/>
      <w:sz w:val="30"/>
    </w:rPr>
  </w:style>
  <w:style w:type="paragraph" w:styleId="7">
    <w:name w:val="toc 3"/>
    <w:basedOn w:val="1"/>
    <w:next w:val="1"/>
    <w:unhideWhenUsed/>
    <w:qFormat/>
    <w:uiPriority w:val="39"/>
    <w:pPr>
      <w:tabs>
        <w:tab w:val="right" w:leader="dot" w:pos="8296"/>
      </w:tabs>
      <w:ind w:left="840" w:leftChars="400"/>
    </w:pPr>
  </w:style>
  <w:style w:type="paragraph" w:styleId="8">
    <w:name w:val="Balloon Text"/>
    <w:basedOn w:val="1"/>
    <w:link w:val="29"/>
    <w:unhideWhenUsed/>
    <w:qFormat/>
    <w:uiPriority w:val="99"/>
    <w:rPr>
      <w:sz w:val="18"/>
      <w:szCs w:val="18"/>
    </w:rPr>
  </w:style>
  <w:style w:type="paragraph" w:styleId="9">
    <w:name w:val="footer"/>
    <w:basedOn w:val="1"/>
    <w:link w:val="21"/>
    <w:qFormat/>
    <w:uiPriority w:val="99"/>
    <w:pPr>
      <w:tabs>
        <w:tab w:val="center" w:pos="4153"/>
        <w:tab w:val="right" w:pos="8306"/>
      </w:tabs>
      <w:snapToGrid w:val="0"/>
      <w:jc w:val="left"/>
    </w:pPr>
    <w:rPr>
      <w:rFonts w:ascii="Calibri" w:hAnsi="Calibri"/>
      <w:kern w:val="0"/>
      <w:sz w:val="18"/>
      <w:szCs w:val="18"/>
    </w:rPr>
  </w:style>
  <w:style w:type="paragraph" w:styleId="10">
    <w:name w:val="header"/>
    <w:basedOn w:val="1"/>
    <w:link w:val="19"/>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1">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2">
    <w:name w:val="toc 2"/>
    <w:basedOn w:val="1"/>
    <w:next w:val="1"/>
    <w:unhideWhenUsed/>
    <w:qFormat/>
    <w:uiPriority w:val="39"/>
    <w:pPr>
      <w:tabs>
        <w:tab w:val="right" w:leader="dot" w:pos="8296"/>
      </w:tabs>
      <w:ind w:left="420" w:leftChars="200"/>
    </w:pPr>
  </w:style>
  <w:style w:type="paragraph" w:styleId="13">
    <w:name w:val="Normal (Web)"/>
    <w:basedOn w:val="1"/>
    <w:unhideWhenUsed/>
    <w:qFormat/>
    <w:uiPriority w:val="99"/>
    <w:pPr>
      <w:spacing w:before="0" w:beforeAutospacing="1" w:after="0" w:afterAutospacing="1"/>
      <w:ind w:left="0" w:right="0"/>
      <w:jc w:val="left"/>
    </w:pPr>
    <w:rPr>
      <w:kern w:val="0"/>
      <w:sz w:val="24"/>
      <w:lang w:val="en-US" w:eastAsia="zh-CN" w:bidi="ar"/>
    </w:rPr>
  </w:style>
  <w:style w:type="character" w:styleId="16">
    <w:name w:val="Strong"/>
    <w:basedOn w:val="15"/>
    <w:qFormat/>
    <w:uiPriority w:val="99"/>
    <w:rPr>
      <w:b/>
    </w:rPr>
  </w:style>
  <w:style w:type="character" w:styleId="17">
    <w:name w:val="Hyperlink"/>
    <w:basedOn w:val="15"/>
    <w:unhideWhenUsed/>
    <w:qFormat/>
    <w:uiPriority w:val="99"/>
    <w:rPr>
      <w:color w:val="0000FF" w:themeColor="hyperlink"/>
      <w:u w:val="single"/>
      <w14:textFill>
        <w14:solidFill>
          <w14:schemeClr w14:val="hlink"/>
        </w14:solidFill>
      </w14:textFill>
    </w:rPr>
  </w:style>
  <w:style w:type="character" w:customStyle="1" w:styleId="18">
    <w:name w:val="Header Char"/>
    <w:basedOn w:val="15"/>
    <w:semiHidden/>
    <w:qFormat/>
    <w:uiPriority w:val="99"/>
    <w:rPr>
      <w:rFonts w:ascii="Times New Roman" w:hAnsi="Times New Roman"/>
      <w:sz w:val="18"/>
      <w:szCs w:val="18"/>
    </w:rPr>
  </w:style>
  <w:style w:type="character" w:customStyle="1" w:styleId="19">
    <w:name w:val="页眉 Char"/>
    <w:link w:val="10"/>
    <w:semiHidden/>
    <w:qFormat/>
    <w:locked/>
    <w:uiPriority w:val="99"/>
    <w:rPr>
      <w:sz w:val="18"/>
    </w:rPr>
  </w:style>
  <w:style w:type="character" w:customStyle="1" w:styleId="20">
    <w:name w:val="Footer Char"/>
    <w:basedOn w:val="15"/>
    <w:semiHidden/>
    <w:qFormat/>
    <w:uiPriority w:val="99"/>
    <w:rPr>
      <w:rFonts w:ascii="Times New Roman" w:hAnsi="Times New Roman"/>
      <w:sz w:val="18"/>
      <w:szCs w:val="18"/>
    </w:rPr>
  </w:style>
  <w:style w:type="character" w:customStyle="1" w:styleId="21">
    <w:name w:val="页脚 Char"/>
    <w:link w:val="9"/>
    <w:qFormat/>
    <w:locked/>
    <w:uiPriority w:val="99"/>
    <w:rPr>
      <w:sz w:val="18"/>
    </w:rPr>
  </w:style>
  <w:style w:type="character" w:customStyle="1" w:styleId="22">
    <w:name w:val="Body Text Char"/>
    <w:basedOn w:val="15"/>
    <w:semiHidden/>
    <w:qFormat/>
    <w:uiPriority w:val="99"/>
    <w:rPr>
      <w:rFonts w:ascii="Times New Roman" w:hAnsi="Times New Roman"/>
      <w:szCs w:val="24"/>
    </w:rPr>
  </w:style>
  <w:style w:type="character" w:customStyle="1" w:styleId="23">
    <w:name w:val="正文文本 Char"/>
    <w:link w:val="6"/>
    <w:qFormat/>
    <w:locked/>
    <w:uiPriority w:val="99"/>
    <w:rPr>
      <w:rFonts w:ascii="仿宋_GB2312" w:hAnsi="Times New Roman" w:eastAsia="仿宋_GB2312"/>
      <w:sz w:val="24"/>
    </w:rPr>
  </w:style>
  <w:style w:type="paragraph" w:customStyle="1" w:styleId="24">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customStyle="1" w:styleId="25">
    <w:name w:val="List Paragraph"/>
    <w:basedOn w:val="1"/>
    <w:qFormat/>
    <w:uiPriority w:val="34"/>
    <w:pPr>
      <w:ind w:firstLine="420" w:firstLineChars="200"/>
    </w:pPr>
  </w:style>
  <w:style w:type="character" w:customStyle="1" w:styleId="26">
    <w:name w:val="标题 1 Char"/>
    <w:basedOn w:val="15"/>
    <w:link w:val="3"/>
    <w:qFormat/>
    <w:uiPriority w:val="9"/>
    <w:rPr>
      <w:rFonts w:ascii="Times New Roman" w:hAnsi="Times New Roman"/>
      <w:b/>
      <w:bCs/>
      <w:kern w:val="44"/>
      <w:sz w:val="44"/>
      <w:szCs w:val="44"/>
    </w:rPr>
  </w:style>
  <w:style w:type="character" w:customStyle="1" w:styleId="27">
    <w:name w:val="标题 2 Char"/>
    <w:basedOn w:val="15"/>
    <w:link w:val="4"/>
    <w:qFormat/>
    <w:uiPriority w:val="9"/>
    <w:rPr>
      <w:rFonts w:asciiTheme="majorHAnsi" w:hAnsiTheme="majorHAnsi" w:eastAsiaTheme="majorEastAsia" w:cstheme="majorBidi"/>
      <w:b/>
      <w:bCs/>
      <w:kern w:val="2"/>
      <w:sz w:val="32"/>
      <w:szCs w:val="32"/>
    </w:rPr>
  </w:style>
  <w:style w:type="paragraph" w:customStyle="1" w:styleId="28">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9">
    <w:name w:val="批注框文本 Char"/>
    <w:basedOn w:val="15"/>
    <w:link w:val="8"/>
    <w:semiHidden/>
    <w:qFormat/>
    <w:uiPriority w:val="99"/>
    <w:rPr>
      <w:rFonts w:ascii="Times New Roman" w:hAnsi="Times New Roman"/>
      <w:kern w:val="2"/>
      <w:sz w:val="18"/>
      <w:szCs w:val="18"/>
    </w:rPr>
  </w:style>
  <w:style w:type="character" w:customStyle="1" w:styleId="30">
    <w:name w:val="标题 3 Char"/>
    <w:basedOn w:val="15"/>
    <w:link w:val="5"/>
    <w:qFormat/>
    <w:uiPriority w:val="9"/>
    <w:rPr>
      <w:rFonts w:ascii="Times New Roman" w:hAnsi="Times New Roman"/>
      <w:b/>
      <w:bCs/>
      <w:kern w:val="2"/>
      <w:sz w:val="32"/>
      <w:szCs w:val="32"/>
    </w:rPr>
  </w:style>
  <w:style w:type="paragraph" w:customStyle="1" w:styleId="31">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2">
    <w:name w:val="s1"/>
    <w:basedOn w:val="15"/>
    <w:qFormat/>
    <w:uiPriority w:val="99"/>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hart" Target="charts/chart7.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5.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package" Target="../embeddings/Workbook7.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7.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收、支决算总计变动情况图</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2021年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Sheet1!$B$2</c:f>
              <c:numCache>
                <c:formatCode>General</c:formatCode>
                <c:ptCount val="1"/>
                <c:pt idx="0">
                  <c:v>4734.68</c:v>
                </c:pt>
              </c:numCache>
            </c:numRef>
          </c:val>
        </c:ser>
        <c:ser>
          <c:idx val="1"/>
          <c:order val="1"/>
          <c:tx>
            <c:strRef>
              <c:f>Sheet1!$C$1</c:f>
              <c:strCache>
                <c:ptCount val="1"/>
                <c:pt idx="0">
                  <c:v>2020年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Sheet1!$C$2</c:f>
              <c:numCache>
                <c:formatCode>General</c:formatCode>
                <c:ptCount val="1"/>
                <c:pt idx="0">
                  <c:v>4376.31</c:v>
                </c:pt>
              </c:numCache>
            </c:numRef>
          </c:val>
        </c:ser>
        <c:dLbls>
          <c:showLegendKey val="0"/>
          <c:showVal val="1"/>
          <c:showCatName val="0"/>
          <c:showSerName val="0"/>
          <c:showPercent val="0"/>
          <c:showBubbleSize val="0"/>
        </c:dLbls>
        <c:gapWidth val="219"/>
        <c:overlap val="-27"/>
        <c:axId val="694208431"/>
        <c:axId val="367882405"/>
      </c:barChart>
      <c:catAx>
        <c:axId val="69420843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67882405"/>
        <c:crosses val="autoZero"/>
        <c:auto val="1"/>
        <c:lblAlgn val="ctr"/>
        <c:lblOffset val="100"/>
        <c:noMultiLvlLbl val="0"/>
      </c:catAx>
      <c:valAx>
        <c:axId val="367882405"/>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94208431"/>
        <c:crosses val="autoZero"/>
        <c:crossBetween val="between"/>
      </c:valAx>
      <c:spPr>
        <a:noFill/>
        <a:ln>
          <a:noFill/>
        </a:ln>
        <a:effectLst/>
      </c:spPr>
    </c:plotArea>
    <c:legend>
      <c:legendPos val="b"/>
      <c:layout>
        <c:manualLayout>
          <c:xMode val="edge"/>
          <c:yMode val="edge"/>
          <c:x val="0.4120625"/>
          <c:y val="0.929"/>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4df776b7-b95d-4da5-a97d-aa691a7a394e}"/>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收入决算结构图</a:t>
            </a:r>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a:ln w="25400" cap="flat" cmpd="sng" algn="ctr">
              <a:solidFill>
                <a:schemeClr val="accent1">
                  <a:shade val="50000"/>
                </a:schemeClr>
              </a:solidFill>
              <a:prstDash val="solid"/>
            </a:ln>
            <a:sp3d>
              <a:extrusionClr>
                <a:srgbClr val="FFFFFF"/>
              </a:extrusionClr>
              <a:contourClr>
                <a:srgbClr val="FFFFFF"/>
              </a:contourClr>
            </a:sp3d>
          </c:spPr>
          <c:explosion val="0"/>
          <c:dPt>
            <c:idx val="0"/>
            <c:bubble3D val="0"/>
            <c:spPr>
              <a:solidFill>
                <a:schemeClr val="accent1"/>
              </a:solidFill>
              <a:ln w="25400" cap="flat" cmpd="sng" algn="ctr">
                <a:solidFill>
                  <a:schemeClr val="accent1">
                    <a:shade val="50000"/>
                  </a:schemeClr>
                </a:solidFill>
                <a:prstDash val="solid"/>
              </a:ln>
              <a:effectLst/>
              <a:sp3d>
                <a:extrusionClr>
                  <a:srgbClr val="FFFFFF"/>
                </a:extrusionClr>
                <a:contourClr>
                  <a:srgbClr val="FFFFFF"/>
                </a:contourClr>
              </a:sp3d>
            </c:spPr>
          </c:dPt>
          <c:dPt>
            <c:idx val="1"/>
            <c:bubble3D val="0"/>
            <c:spPr>
              <a:solidFill>
                <a:schemeClr val="accent2"/>
              </a:solidFill>
              <a:ln w="25400" cap="flat" cmpd="sng" algn="ctr">
                <a:solidFill>
                  <a:schemeClr val="accent1">
                    <a:shade val="50000"/>
                  </a:schemeClr>
                </a:solidFill>
                <a:prstDash val="solid"/>
              </a:ln>
              <a:effectLst/>
              <a:sp3d>
                <a:extrusionClr>
                  <a:srgbClr val="FFFFFF"/>
                </a:extrusionClr>
                <a:contourClr>
                  <a:srgbClr val="FFFFFF"/>
                </a:contourClr>
              </a:sp3d>
            </c:spPr>
          </c:dPt>
          <c:dLbls>
            <c:dLbl>
              <c:idx val="0"/>
              <c:layout>
                <c:manualLayout>
                  <c:x val="0.109998234692871"/>
                  <c:y val="-0.018843881776695"/>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a:t>72.67%</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02498242224947"/>
                  <c:y val="0.011343888782583"/>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a:t>27.33%</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一般公共预算财政拨款收入</c:v>
                </c:pt>
                <c:pt idx="1">
                  <c:v>其他收入</c:v>
                </c:pt>
              </c:strCache>
            </c:strRef>
          </c:cat>
          <c:val>
            <c:numRef>
              <c:f>Sheet1!$B$2:$B$3</c:f>
              <c:numCache>
                <c:formatCode>General</c:formatCode>
                <c:ptCount val="2"/>
                <c:pt idx="0">
                  <c:v>3159.11</c:v>
                </c:pt>
                <c:pt idx="1">
                  <c:v>1187.82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d899742f-bc2a-4205-b38e-f849d7c07c2f}"/>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支出决算结构图</a:t>
            </a:r>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6"/>
              </a:solidFill>
              <a:ln w="19050">
                <a:solidFill>
                  <a:schemeClr val="lt1"/>
                </a:solidFill>
              </a:ln>
              <a:effectLst/>
            </c:spPr>
          </c:dPt>
          <c:dPt>
            <c:idx val="1"/>
            <c:bubble3D val="0"/>
            <c:spPr>
              <a:solidFill>
                <a:schemeClr val="accent5"/>
              </a:solidFill>
              <a:ln w="19050">
                <a:solidFill>
                  <a:schemeClr val="lt1"/>
                </a:solidFill>
              </a:ln>
              <a:effectLst/>
            </c:spPr>
          </c:dPt>
          <c:dLbls>
            <c:dLbl>
              <c:idx val="0"/>
              <c:layout>
                <c:manualLayout>
                  <c:x val="0.0457839738268714"/>
                  <c:y val="0.0217913655511695"/>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a:t>65.72%</a:t>
                    </a:r>
                    <a:endParaRPr lang="en-US" altLang="zh-CN"/>
                  </a:p>
                </c:rich>
              </c:tx>
              <c:dLblPos val="bestFit"/>
              <c:showLegendKey val="0"/>
              <c:showVal val="1"/>
              <c:showCatName val="0"/>
              <c:showSerName val="0"/>
              <c:showPercent val="1"/>
              <c:showBubbleSize val="0"/>
              <c:extLst>
                <c:ext xmlns:c15="http://schemas.microsoft.com/office/drawing/2012/chart" uri="{CE6537A1-D6FC-4f65-9D91-7224C49458BB}">
                  <c15:layout/>
                </c:ext>
              </c:extLst>
            </c:dLbl>
            <c:dLbl>
              <c:idx val="1"/>
              <c:layout>
                <c:manualLayout>
                  <c:x val="-0.00453397824059556"/>
                  <c:y val="-0.0917913561479536"/>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a:t>34.28%</a:t>
                    </a:r>
                    <a:endParaRPr lang="en-US" altLang="zh-CN"/>
                  </a:p>
                </c:rich>
              </c:tx>
              <c:dLblPos val="bestFit"/>
              <c:showLegendKey val="0"/>
              <c:showVal val="1"/>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基本支出</c:v>
                </c:pt>
                <c:pt idx="1">
                  <c:v>项目支出</c:v>
                </c:pt>
              </c:strCache>
            </c:strRef>
          </c:cat>
          <c:val>
            <c:numRef>
              <c:f>Sheet1!$B$2:$B$3</c:f>
              <c:numCache>
                <c:formatCode>General</c:formatCode>
                <c:ptCount val="2"/>
                <c:pt idx="0">
                  <c:v>3043.56</c:v>
                </c:pt>
                <c:pt idx="1">
                  <c:v>1587.33</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4299bb8b-0644-41a9-a466-55d23c6b5338}"/>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财政拨款收、支决算总计变动情况</a:t>
            </a:r>
          </a:p>
        </c:rich>
      </c:tx>
      <c:layout/>
      <c:overlay val="0"/>
      <c:spPr>
        <a:noFill/>
        <a:ln>
          <a:noFill/>
        </a:ln>
        <a:effectLst/>
      </c:spPr>
    </c:title>
    <c:autoTitleDeleted val="0"/>
    <c:plotArea>
      <c:layout/>
      <c:barChart>
        <c:barDir val="col"/>
        <c:grouping val="clustered"/>
        <c:varyColors val="0"/>
        <c:ser>
          <c:idx val="0"/>
          <c:order val="0"/>
          <c:tx>
            <c:strRef>
              <c:f>Sheet1!$A$1</c:f>
              <c:strCache>
                <c:ptCount val="1"/>
                <c:pt idx="0">
                  <c:v>2021年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Sheet1!#REF!</c:f>
              <c:numCache>
                <c:ptCount val="0"/>
              </c:numCache>
            </c:numRef>
          </c:cat>
          <c:val>
            <c:numRef>
              <c:f>Sheet1!$A$2</c:f>
              <c:numCache>
                <c:formatCode>General</c:formatCode>
                <c:ptCount val="1"/>
                <c:pt idx="0">
                  <c:v>3159.11</c:v>
                </c:pt>
              </c:numCache>
            </c:numRef>
          </c:val>
        </c:ser>
        <c:ser>
          <c:idx val="1"/>
          <c:order val="1"/>
          <c:tx>
            <c:strRef>
              <c:f>Sheet1!$B$1</c:f>
              <c:strCache>
                <c:ptCount val="1"/>
                <c:pt idx="0">
                  <c:v>2020年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Sheet1!#REF!</c:f>
              <c:numCache>
                <c:ptCount val="0"/>
              </c:numCache>
            </c:numRef>
          </c:cat>
          <c:val>
            <c:numRef>
              <c:f>Sheet1!$B$2</c:f>
              <c:numCache>
                <c:formatCode>General</c:formatCode>
                <c:ptCount val="1"/>
                <c:pt idx="0">
                  <c:v>2974.76</c:v>
                </c:pt>
              </c:numCache>
            </c:numRef>
          </c:val>
        </c:ser>
        <c:ser>
          <c:idx val="2"/>
          <c:order val="2"/>
          <c:tx>
            <c:strRef>
              <c:f>Sheet1!#REF!</c:f>
              <c:strCache>
                <c:ptCount val="1"/>
                <c:pt idx="0">
                  <c:v/>
                </c:pt>
              </c:strCache>
            </c:strRef>
          </c:tx>
          <c:spPr>
            <a:solidFill>
              <a:schemeClr val="accent3"/>
            </a:solidFill>
            <a:ln>
              <a:noFill/>
            </a:ln>
            <a:effectLst/>
          </c:spPr>
          <c:invertIfNegative val="0"/>
          <c:dLbls>
            <c:delete val="1"/>
          </c:dLbls>
          <c:cat>
            <c:numRef>
              <c:f>Sheet1!#REF!</c:f>
              <c:numCache>
                <c:ptCount val="0"/>
              </c:numCache>
            </c:numRef>
          </c:cat>
          <c:val>
            <c:numRef>
              <c:f>Sheet1!#REF!</c:f>
              <c:numCache>
                <c:formatCode>General</c:formatCode>
                <c:ptCount val="1"/>
                <c:pt idx="0">
                  <c:v>1</c:v>
                </c:pt>
              </c:numCache>
            </c:numRef>
          </c:val>
        </c:ser>
        <c:dLbls>
          <c:showLegendKey val="0"/>
          <c:showVal val="0"/>
          <c:showCatName val="0"/>
          <c:showSerName val="0"/>
          <c:showPercent val="0"/>
          <c:showBubbleSize val="0"/>
        </c:dLbls>
        <c:gapWidth val="219"/>
        <c:overlap val="-27"/>
        <c:axId val="742590229"/>
        <c:axId val="831455420"/>
      </c:barChart>
      <c:catAx>
        <c:axId val="74259022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31455420"/>
        <c:crosses val="autoZero"/>
        <c:auto val="1"/>
        <c:lblAlgn val="ctr"/>
        <c:lblOffset val="100"/>
        <c:noMultiLvlLbl val="0"/>
      </c:catAx>
      <c:valAx>
        <c:axId val="8314554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2590229"/>
        <c:crosses val="autoZero"/>
        <c:crossBetween val="between"/>
      </c:valAx>
      <c:spPr>
        <a:noFill/>
        <a:ln>
          <a:noFill/>
        </a:ln>
        <a:effectLst/>
      </c:spPr>
    </c:plotArea>
    <c:legend>
      <c:legendPos val="b"/>
      <c:legendEntry>
        <c:idx val="2"/>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97547945-e462-4f6b-8ae8-57a2e14ef96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一般公共预算财政拨款支出决算变动情况</a:t>
            </a:r>
          </a:p>
        </c:rich>
      </c:tx>
      <c:layout/>
      <c:overlay val="0"/>
      <c:spPr>
        <a:noFill/>
        <a:ln>
          <a:noFill/>
        </a:ln>
        <a:effectLst/>
      </c:spPr>
    </c:title>
    <c:autoTitleDeleted val="0"/>
    <c:plotArea>
      <c:layout/>
      <c:barChart>
        <c:barDir val="col"/>
        <c:grouping val="clustered"/>
        <c:varyColors val="0"/>
        <c:ser>
          <c:idx val="0"/>
          <c:order val="0"/>
          <c:tx>
            <c:strRef>
              <c:f>Sheet1!$A$1</c:f>
              <c:strCache>
                <c:ptCount val="1"/>
                <c:pt idx="0">
                  <c:v>2021年</c:v>
                </c:pt>
              </c:strCache>
            </c:strRef>
          </c:tx>
          <c:spPr>
            <a:solidFill>
              <a:schemeClr val="accent5"/>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Sheet1!#REF!</c:f>
              <c:numCache>
                <c:ptCount val="0"/>
              </c:numCache>
            </c:numRef>
          </c:cat>
          <c:val>
            <c:numRef>
              <c:f>Sheet1!$A$2</c:f>
              <c:numCache>
                <c:formatCode>General</c:formatCode>
                <c:ptCount val="1"/>
                <c:pt idx="0">
                  <c:v>3243.97</c:v>
                </c:pt>
              </c:numCache>
            </c:numRef>
          </c:val>
        </c:ser>
        <c:ser>
          <c:idx val="1"/>
          <c:order val="1"/>
          <c:tx>
            <c:strRef>
              <c:f>Sheet1!$B$1</c:f>
              <c:strCache>
                <c:ptCount val="1"/>
                <c:pt idx="0">
                  <c:v>2020年</c:v>
                </c:pt>
              </c:strCache>
            </c:strRef>
          </c:tx>
          <c:spPr>
            <a:solidFill>
              <a:srgbClr val="FFC000"/>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Sheet1!#REF!</c:f>
              <c:numCache>
                <c:ptCount val="0"/>
              </c:numCache>
            </c:numRef>
          </c:cat>
          <c:val>
            <c:numRef>
              <c:f>Sheet1!$B$2</c:f>
              <c:numCache>
                <c:formatCode>General</c:formatCode>
                <c:ptCount val="1"/>
                <c:pt idx="0">
                  <c:v>2984.4</c:v>
                </c:pt>
              </c:numCache>
            </c:numRef>
          </c:val>
        </c:ser>
        <c:ser>
          <c:idx val="2"/>
          <c:order val="2"/>
          <c:tx>
            <c:strRef>
              <c:f>Sheet1!#REF!</c:f>
              <c:strCache>
                <c:ptCount val="1"/>
                <c:pt idx="0">
                  <c:v/>
                </c:pt>
              </c:strCache>
            </c:strRef>
          </c:tx>
          <c:spPr>
            <a:solidFill>
              <a:schemeClr val="accent3"/>
            </a:solidFill>
            <a:ln>
              <a:noFill/>
            </a:ln>
            <a:effectLst/>
          </c:spPr>
          <c:invertIfNegative val="0"/>
          <c:dLbls>
            <c:delete val="1"/>
          </c:dLbls>
          <c:cat>
            <c:numRef>
              <c:f>Sheet1!#REF!</c:f>
              <c:numCache>
                <c:ptCount val="0"/>
              </c:numCache>
            </c:numRef>
          </c:cat>
          <c:val>
            <c:numRef>
              <c:f>Sheet1!#REF!</c:f>
              <c:numCache>
                <c:formatCode>General</c:formatCode>
                <c:ptCount val="1"/>
                <c:pt idx="0">
                  <c:v>1</c:v>
                </c:pt>
              </c:numCache>
            </c:numRef>
          </c:val>
        </c:ser>
        <c:dLbls>
          <c:showLegendKey val="0"/>
          <c:showVal val="0"/>
          <c:showCatName val="0"/>
          <c:showSerName val="0"/>
          <c:showPercent val="0"/>
          <c:showBubbleSize val="0"/>
        </c:dLbls>
        <c:gapWidth val="219"/>
        <c:overlap val="-27"/>
        <c:axId val="761334447"/>
        <c:axId val="200310868"/>
      </c:barChart>
      <c:catAx>
        <c:axId val="76133444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0310868"/>
        <c:crosses val="autoZero"/>
        <c:auto val="1"/>
        <c:lblAlgn val="ctr"/>
        <c:lblOffset val="100"/>
        <c:noMultiLvlLbl val="0"/>
      </c:catAx>
      <c:valAx>
        <c:axId val="2003108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1334447"/>
        <c:crosses val="autoZero"/>
        <c:crossBetween val="between"/>
      </c:valAx>
      <c:spPr>
        <a:noFill/>
        <a:ln>
          <a:noFill/>
        </a:ln>
        <a:effectLst/>
      </c:spPr>
    </c:plotArea>
    <c:legend>
      <c:legendPos val="b"/>
      <c:legendEntry>
        <c:idx val="2"/>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e17d0ec9-b2d0-4201-95ac-2346c950df92}"/>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一般公共预算财政拨款支出决算结构</a:t>
            </a:r>
          </a:p>
        </c:rich>
      </c:tx>
      <c:layout/>
      <c:overlay val="0"/>
      <c:spPr>
        <a:noFill/>
        <a:ln>
          <a:noFill/>
        </a:ln>
        <a:effectLst/>
      </c:spPr>
    </c:title>
    <c:autoTitleDeleted val="0"/>
    <c:plotArea>
      <c:layout/>
      <c:pieChart>
        <c:varyColors val="1"/>
        <c:ser>
          <c:idx val="0"/>
          <c:order val="0"/>
          <c:tx>
            <c:strRef>
              <c:f>Sheet1!$B$1</c:f>
              <c:strCache>
                <c:ptCount val="1"/>
                <c:pt idx="0">
                  <c:v>列2</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6">
                  <a:lumMod val="60000"/>
                  <a:lumOff val="40000"/>
                </a:schemeClr>
              </a:solidFill>
              <a:ln w="19050">
                <a:solidFill>
                  <a:schemeClr val="lt1"/>
                </a:solidFill>
              </a:ln>
              <a:effectLst/>
            </c:spPr>
          </c:dPt>
          <c:dLbls>
            <c:dLbl>
              <c:idx val="0"/>
              <c:layout>
                <c:manualLayout>
                  <c:x val="0.100270808270959"/>
                  <c:y val="0.00699485980619541"/>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41465595917211"/>
                  <c:y val="0.0298670731370597"/>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29284120996248"/>
                  <c:y val="-0.026644318184707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69933313386645"/>
                  <c:y val="-0.0263757481951849"/>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公共安全支出</c:v>
                </c:pt>
                <c:pt idx="1">
                  <c:v>社会保障和就业</c:v>
                </c:pt>
                <c:pt idx="2">
                  <c:v>卫生健康支出</c:v>
                </c:pt>
                <c:pt idx="3">
                  <c:v>住房保障支出</c:v>
                </c:pt>
              </c:strCache>
            </c:strRef>
          </c:cat>
          <c:val>
            <c:numRef>
              <c:f>Sheet1!$B$2:$B$5</c:f>
              <c:numCache>
                <c:formatCode>0.00%</c:formatCode>
                <c:ptCount val="4"/>
                <c:pt idx="0">
                  <c:v>0.8556</c:v>
                </c:pt>
                <c:pt idx="1">
                  <c:v>0.0524</c:v>
                </c:pt>
                <c:pt idx="2">
                  <c:v>0.0312</c:v>
                </c:pt>
                <c:pt idx="3">
                  <c:v>0.0608</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c2625fce-48b3-4bac-b4a1-40c4c95682c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“三公”经费财政拨款支出结构</a:t>
            </a:r>
          </a:p>
        </c:rich>
      </c:tx>
      <c:layout/>
      <c:overlay val="0"/>
      <c:spPr>
        <a:noFill/>
        <a:ln>
          <a:noFill/>
        </a:ln>
        <a:effectLst/>
      </c:spPr>
    </c:title>
    <c:autoTitleDeleted val="0"/>
    <c:plotArea>
      <c:layout/>
      <c:pieChart>
        <c:varyColors val="1"/>
        <c:ser>
          <c:idx val="0"/>
          <c:order val="0"/>
          <c:tx>
            <c:strRef>
              <c:f>Sheet1!$B$1</c:f>
              <c:strCache>
                <c:ptCount val="1"/>
                <c:pt idx="0">
                  <c:v>列1</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0.024375"/>
                  <c:y val="0.0075"/>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11643790669678"/>
                  <c:y val="-0.026232952128760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485205376443168"/>
                  <c:y val="0.00356135762753559"/>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因公出国（境）费支出</c:v>
                </c:pt>
                <c:pt idx="1">
                  <c:v>公务用车购置及运行维护费支出</c:v>
                </c:pt>
                <c:pt idx="2">
                  <c:v>公务接待费支出</c:v>
                </c:pt>
              </c:strCache>
            </c:strRef>
          </c:cat>
          <c:val>
            <c:numRef>
              <c:f>Sheet1!$B$2:$B$4</c:f>
              <c:numCache>
                <c:formatCode>0%</c:formatCode>
                <c:ptCount val="3"/>
                <c:pt idx="0">
                  <c:v>0</c:v>
                </c:pt>
                <c:pt idx="1" c:formatCode="0.00%">
                  <c:v>0.9924</c:v>
                </c:pt>
                <c:pt idx="2" c:formatCode="0.00%">
                  <c:v>0.0076</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c15531d0-3911-4f70-8b15-716333a3072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四川省财政厅</Company>
  <Pages>31</Pages>
  <Words>10312</Words>
  <Characters>11136</Characters>
  <Lines>61</Lines>
  <Paragraphs>17</Paragraphs>
  <TotalTime>1</TotalTime>
  <ScaleCrop>false</ScaleCrop>
  <LinksUpToDate>false</LinksUpToDate>
  <CharactersWithSpaces>11251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HUAWEI</cp:lastModifiedBy>
  <cp:lastPrinted>2022-08-06T02:23:00Z</cp:lastPrinted>
  <dcterms:modified xsi:type="dcterms:W3CDTF">2024-12-23T07:45:42Z</dcterms:modified>
  <dc:title>四川省***</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0645E1F6F5AB4AE4A8E642C67B73ECC9</vt:lpwstr>
  </property>
</Properties>
</file>