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B9896">
      <w:pPr>
        <w:spacing w:line="600" w:lineRule="exact"/>
        <w:jc w:val="center"/>
        <w:outlineLvl w:val="0"/>
        <w:rPr>
          <w:rFonts w:ascii="方正小标宋简体" w:hAnsi="宋体" w:eastAsia="方正小标宋简体"/>
          <w:sz w:val="72"/>
          <w:szCs w:val="72"/>
        </w:rPr>
      </w:pPr>
      <w:bookmarkStart w:id="0" w:name="_Toc15396597"/>
      <w:bookmarkStart w:id="1" w:name="_Toc15377193"/>
      <w:bookmarkStart w:id="2" w:name="_Toc15306267"/>
      <w:bookmarkStart w:id="3" w:name="_Toc15378441"/>
      <w:bookmarkStart w:id="4" w:name="_Toc15377425"/>
      <w:bookmarkStart w:id="5" w:name="_Toc15396475"/>
    </w:p>
    <w:p w14:paraId="4F6EAA65">
      <w:pPr>
        <w:spacing w:line="600" w:lineRule="exact"/>
        <w:jc w:val="center"/>
        <w:outlineLvl w:val="0"/>
        <w:rPr>
          <w:rFonts w:ascii="方正小标宋简体" w:hAnsi="宋体" w:eastAsia="方正小标宋简体"/>
          <w:sz w:val="72"/>
          <w:szCs w:val="72"/>
        </w:rPr>
      </w:pPr>
    </w:p>
    <w:p w14:paraId="537F62AA">
      <w:pPr>
        <w:spacing w:line="600" w:lineRule="exact"/>
        <w:jc w:val="center"/>
        <w:outlineLvl w:val="0"/>
        <w:rPr>
          <w:rFonts w:ascii="方正小标宋简体" w:hAnsi="宋体" w:eastAsia="方正小标宋简体"/>
          <w:sz w:val="72"/>
          <w:szCs w:val="72"/>
        </w:rPr>
      </w:pPr>
    </w:p>
    <w:p w14:paraId="452BDA57">
      <w:pPr>
        <w:pStyle w:val="2"/>
        <w:rPr>
          <w:rFonts w:ascii="方正小标宋简体" w:hAnsi="宋体" w:eastAsia="方正小标宋简体"/>
          <w:sz w:val="72"/>
          <w:szCs w:val="72"/>
        </w:rPr>
      </w:pPr>
    </w:p>
    <w:p w14:paraId="54468BF6">
      <w:pPr>
        <w:pStyle w:val="2"/>
        <w:rPr>
          <w:rFonts w:ascii="方正小标宋简体" w:hAnsi="宋体" w:eastAsia="方正小标宋简体"/>
          <w:sz w:val="72"/>
          <w:szCs w:val="72"/>
        </w:rPr>
      </w:pPr>
    </w:p>
    <w:p w14:paraId="28E00F59">
      <w:pPr>
        <w:adjustRightInd w:val="0"/>
        <w:snapToGrid w:val="0"/>
        <w:spacing w:line="360" w:lineRule="auto"/>
        <w:jc w:val="center"/>
        <w:outlineLvl w:val="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w:t>
      </w:r>
      <w:r>
        <w:rPr>
          <w:rFonts w:hint="eastAsia" w:ascii="方正小标宋简体" w:hAnsi="方正小标宋简体" w:eastAsia="方正小标宋简体" w:cs="方正小标宋简体"/>
          <w:sz w:val="52"/>
          <w:szCs w:val="52"/>
          <w:lang w:val="en-US" w:eastAsia="zh-CN"/>
        </w:rPr>
        <w:t>3</w:t>
      </w:r>
      <w:r>
        <w:rPr>
          <w:rFonts w:hint="eastAsia" w:ascii="方正小标宋简体" w:hAnsi="方正小标宋简体" w:eastAsia="方正小标宋简体" w:cs="方正小标宋简体"/>
          <w:sz w:val="52"/>
          <w:szCs w:val="52"/>
        </w:rPr>
        <w:t>年度</w:t>
      </w:r>
      <w:bookmarkEnd w:id="0"/>
      <w:bookmarkEnd w:id="1"/>
      <w:bookmarkEnd w:id="2"/>
      <w:bookmarkEnd w:id="3"/>
      <w:bookmarkEnd w:id="4"/>
      <w:bookmarkEnd w:id="5"/>
      <w:bookmarkStart w:id="6" w:name="_Toc15306268"/>
      <w:bookmarkStart w:id="7" w:name="_Toc15377426"/>
      <w:bookmarkStart w:id="8" w:name="_Toc15396476"/>
      <w:bookmarkStart w:id="9" w:name="_Toc15396598"/>
      <w:bookmarkStart w:id="10" w:name="_Toc15378442"/>
      <w:bookmarkStart w:id="11" w:name="_Toc15377194"/>
      <w:r>
        <w:rPr>
          <w:rFonts w:hint="eastAsia" w:ascii="方正小标宋简体" w:hAnsi="方正小标宋简体" w:eastAsia="方正小标宋简体" w:cs="方正小标宋简体"/>
          <w:sz w:val="52"/>
          <w:szCs w:val="52"/>
        </w:rPr>
        <w:t>遂宁市强制</w:t>
      </w:r>
      <w:r>
        <w:rPr>
          <w:rFonts w:hint="eastAsia" w:ascii="方正小标宋简体" w:hAnsi="方正小标宋简体" w:eastAsia="方正小标宋简体" w:cs="方正小标宋简体"/>
          <w:sz w:val="52"/>
          <w:szCs w:val="52"/>
          <w:lang w:val="en-US" w:eastAsia="zh-CN"/>
        </w:rPr>
        <w:t>医疗</w:t>
      </w:r>
      <w:r>
        <w:rPr>
          <w:rFonts w:hint="eastAsia" w:ascii="方正小标宋简体" w:hAnsi="方正小标宋简体" w:eastAsia="方正小标宋简体" w:cs="方正小标宋简体"/>
          <w:sz w:val="52"/>
          <w:szCs w:val="52"/>
        </w:rPr>
        <w:t xml:space="preserve">所 </w:t>
      </w:r>
      <w:r>
        <w:rPr>
          <w:rFonts w:ascii="方正小标宋简体" w:hAnsi="方正小标宋简体" w:eastAsia="方正小标宋简体" w:cs="方正小标宋简体"/>
          <w:sz w:val="52"/>
          <w:szCs w:val="52"/>
        </w:rPr>
        <w:t xml:space="preserve"> </w:t>
      </w:r>
    </w:p>
    <w:p w14:paraId="29568E8D">
      <w:pPr>
        <w:adjustRightInd w:val="0"/>
        <w:snapToGrid w:val="0"/>
        <w:spacing w:line="360" w:lineRule="auto"/>
        <w:jc w:val="center"/>
        <w:outlineLvl w:val="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单位决算</w:t>
      </w:r>
      <w:bookmarkEnd w:id="6"/>
      <w:bookmarkEnd w:id="7"/>
      <w:bookmarkEnd w:id="8"/>
      <w:bookmarkEnd w:id="9"/>
      <w:bookmarkEnd w:id="10"/>
      <w:bookmarkEnd w:id="11"/>
    </w:p>
    <w:p w14:paraId="67214F6A">
      <w:pPr>
        <w:widowControl/>
        <w:numPr>
          <w:ilvl w:val="0"/>
          <w:numId w:val="1"/>
        </w:numPr>
        <w:adjustRightInd w:val="0"/>
        <w:snapToGrid w:val="0"/>
        <w:spacing w:line="580" w:lineRule="exact"/>
        <w:contextualSpacing/>
        <w:jc w:val="left"/>
        <w:rPr>
          <w:rFonts w:hint="eastAsia" w:ascii="仿宋_GB2312" w:hAnsi="Calibri" w:eastAsia="仿宋_GB2312" w:cs="仿宋"/>
          <w:color w:val="auto"/>
          <w:kern w:val="0"/>
          <w:sz w:val="32"/>
          <w:szCs w:val="32"/>
          <w:highlight w:val="none"/>
          <w:lang w:val="en-US" w:eastAsia="zh-CN" w:bidi="ar-SA"/>
        </w:rPr>
      </w:pPr>
      <w:r>
        <w:rPr>
          <w:rFonts w:ascii="方正小标宋简体" w:hAnsi="宋体" w:eastAsia="方正小标宋简体"/>
          <w:sz w:val="36"/>
          <w:szCs w:val="36"/>
        </w:rPr>
        <w:br w:type="page"/>
      </w:r>
    </w:p>
    <w:p w14:paraId="687304B7">
      <w:pPr>
        <w:pStyle w:val="14"/>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14:paraId="0F3DD1FC">
      <w:pPr>
        <w:widowControl/>
        <w:jc w:val="center"/>
        <w:rPr>
          <w:rFonts w:ascii="黑体" w:hAnsi="黑体" w:eastAsia="黑体"/>
          <w:color w:val="auto"/>
          <w:sz w:val="48"/>
          <w:szCs w:val="48"/>
          <w:highlight w:val="none"/>
        </w:rPr>
      </w:pPr>
      <w:bookmarkStart w:id="12" w:name="_Toc15377196"/>
      <w:bookmarkStart w:id="13" w:name="_Toc15396599"/>
      <w:r>
        <w:rPr>
          <w:rFonts w:hint="eastAsia" w:ascii="黑体" w:hAnsi="黑体" w:eastAsia="黑体"/>
          <w:color w:val="auto"/>
          <w:sz w:val="48"/>
          <w:szCs w:val="48"/>
          <w:highlight w:val="none"/>
        </w:rPr>
        <w:t>目录</w:t>
      </w:r>
    </w:p>
    <w:p w14:paraId="35CB9842">
      <w:pPr>
        <w:widowControl/>
        <w:jc w:val="center"/>
        <w:rPr>
          <w:rFonts w:ascii="黑体" w:hAnsi="黑体" w:eastAsia="黑体" w:cstheme="minorBidi"/>
          <w:color w:val="auto"/>
          <w:sz w:val="28"/>
          <w:szCs w:val="28"/>
          <w:highlight w:val="none"/>
        </w:rPr>
      </w:pPr>
    </w:p>
    <w:p w14:paraId="762136E6">
      <w:pPr>
        <w:pStyle w:val="11"/>
        <w:rPr>
          <w:color w:val="auto"/>
          <w:highlight w:val="none"/>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22</w:t>
      </w:r>
      <w:r>
        <w:rPr>
          <w:rFonts w:hint="eastAsia"/>
          <w:color w:val="auto"/>
          <w:highlight w:val="none"/>
        </w:rPr>
        <w:t>日</w:t>
      </w:r>
    </w:p>
    <w:p w14:paraId="2514FF96">
      <w:pPr>
        <w:rPr>
          <w:color w:val="auto"/>
          <w:highlight w:val="none"/>
        </w:rPr>
      </w:pPr>
    </w:p>
    <w:p w14:paraId="1B8AC08E">
      <w:pPr>
        <w:pStyle w:val="11"/>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val="en-US" w:eastAsia="zh-CN"/>
        </w:rPr>
        <w:t xml:space="preserve"> 单位</w:t>
      </w:r>
      <w:r>
        <w:rPr>
          <w:rFonts w:hint="eastAsia"/>
          <w:color w:val="auto"/>
          <w:sz w:val="24"/>
          <w:highlight w:val="none"/>
        </w:rPr>
        <w:t>概况</w:t>
      </w:r>
      <w:r>
        <w:rPr>
          <w:rFonts w:hint="eastAsia"/>
          <w:color w:val="auto"/>
          <w:sz w:val="24"/>
          <w:highlight w:val="none"/>
          <w:lang w:val="en-US" w:eastAsia="zh-CN"/>
        </w:rPr>
        <w:t>................................................1</w:t>
      </w:r>
    </w:p>
    <w:p w14:paraId="64C91075">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一、</w:t>
      </w:r>
      <w:r>
        <w:rPr>
          <w:rFonts w:hint="eastAsia"/>
          <w:color w:val="auto"/>
          <w:sz w:val="24"/>
          <w:highlight w:val="none"/>
          <w:lang w:val="en-US" w:eastAsia="zh-CN"/>
        </w:rPr>
        <w:t>主要职责......................................................................................................1</w:t>
      </w:r>
    </w:p>
    <w:p w14:paraId="0C76C67E">
      <w:pPr>
        <w:pStyle w:val="12"/>
        <w:adjustRightInd w:val="0"/>
        <w:snapToGrid w:val="0"/>
        <w:spacing w:line="440" w:lineRule="exact"/>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二、</w:t>
      </w:r>
      <w:r>
        <w:rPr>
          <w:rFonts w:hint="eastAsia" w:asciiTheme="minorEastAsia" w:hAnsiTheme="minorEastAsia" w:eastAsiaTheme="minorEastAsia" w:cstheme="minorEastAsia"/>
          <w:color w:val="auto"/>
          <w:sz w:val="24"/>
          <w:highlight w:val="none"/>
          <w:lang w:val="en-US" w:eastAsia="zh-CN"/>
        </w:rPr>
        <w:t>机构设置</w:t>
      </w:r>
      <w:r>
        <w:rPr>
          <w:rFonts w:hint="eastAsia"/>
          <w:color w:val="auto"/>
          <w:sz w:val="24"/>
          <w:highlight w:val="none"/>
          <w:lang w:val="en-US" w:eastAsia="zh-CN"/>
        </w:rPr>
        <w:t>......................................................................................................1</w:t>
      </w:r>
    </w:p>
    <w:p w14:paraId="1F316323">
      <w:pPr>
        <w:pStyle w:val="11"/>
        <w:adjustRightInd w:val="0"/>
        <w:snapToGrid w:val="0"/>
        <w:spacing w:before="0" w:line="440" w:lineRule="exact"/>
        <w:jc w:val="left"/>
        <w:rPr>
          <w:rFonts w:hint="default" w:eastAsia="仿宋"/>
          <w:color w:val="auto"/>
          <w:sz w:val="24"/>
          <w:szCs w:val="24"/>
          <w:highlight w:val="none"/>
          <w:lang w:val="en-US" w:eastAsia="zh-CN"/>
        </w:rPr>
      </w:pPr>
      <w:r>
        <w:rPr>
          <w:rFonts w:hint="eastAsia"/>
          <w:color w:val="auto"/>
          <w:sz w:val="24"/>
          <w:highlight w:val="none"/>
        </w:rPr>
        <w:t>第二部分</w:t>
      </w:r>
      <w:r>
        <w:rPr>
          <w:rFonts w:hint="eastAsia"/>
          <w:color w:val="auto"/>
          <w:sz w:val="24"/>
          <w:highlight w:val="none"/>
          <w:lang w:val="en-US" w:eastAsia="zh-CN"/>
        </w:rPr>
        <w:t xml:space="preserve"> 2023年度</w:t>
      </w:r>
      <w:r>
        <w:rPr>
          <w:rFonts w:hint="eastAsia"/>
          <w:color w:val="auto"/>
          <w:sz w:val="24"/>
          <w:highlight w:val="none"/>
          <w:lang w:eastAsia="zh-CN"/>
        </w:rPr>
        <w:t>单位</w:t>
      </w:r>
      <w:r>
        <w:rPr>
          <w:rFonts w:hint="eastAsia"/>
          <w:color w:val="auto"/>
          <w:sz w:val="24"/>
          <w:highlight w:val="none"/>
        </w:rPr>
        <w:t>决算情况说明</w:t>
      </w:r>
      <w:r>
        <w:rPr>
          <w:rFonts w:hint="eastAsia"/>
          <w:color w:val="auto"/>
          <w:sz w:val="24"/>
          <w:highlight w:val="none"/>
          <w:lang w:val="en-US" w:eastAsia="zh-CN"/>
        </w:rPr>
        <w:t>.................................2</w:t>
      </w:r>
    </w:p>
    <w:p w14:paraId="73D5EEB2">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val="en-US" w:eastAsia="zh-CN"/>
        </w:rPr>
        <w:t>......................................................................2</w:t>
      </w:r>
    </w:p>
    <w:p w14:paraId="635A6740">
      <w:pPr>
        <w:pStyle w:val="12"/>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二、收入决算情况说明</w:t>
      </w:r>
      <w:r>
        <w:rPr>
          <w:rFonts w:hint="eastAsia"/>
          <w:color w:val="auto"/>
          <w:sz w:val="24"/>
          <w:highlight w:val="none"/>
          <w:lang w:val="en-US" w:eastAsia="zh-CN"/>
        </w:rPr>
        <w:t>......................................................................................2</w:t>
      </w:r>
    </w:p>
    <w:p w14:paraId="5A9996F6">
      <w:pPr>
        <w:pStyle w:val="12"/>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三、支出决算情况说明</w:t>
      </w:r>
      <w:r>
        <w:rPr>
          <w:rFonts w:hint="eastAsia"/>
          <w:color w:val="auto"/>
          <w:sz w:val="24"/>
          <w:highlight w:val="none"/>
          <w:lang w:val="en-US" w:eastAsia="zh-CN"/>
        </w:rPr>
        <w:t>......................................................................................3</w:t>
      </w:r>
    </w:p>
    <w:p w14:paraId="6AA2CF2A">
      <w:pPr>
        <w:pStyle w:val="12"/>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四、财政拨款收入支出决算总体情况说明</w:t>
      </w:r>
      <w:r>
        <w:rPr>
          <w:rFonts w:hint="eastAsia"/>
          <w:color w:val="auto"/>
          <w:sz w:val="24"/>
          <w:highlight w:val="none"/>
          <w:lang w:val="en-US" w:eastAsia="zh-CN"/>
        </w:rPr>
        <w:t>......................................................4</w:t>
      </w:r>
    </w:p>
    <w:p w14:paraId="124D75C3">
      <w:pPr>
        <w:pStyle w:val="12"/>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五、一般公共预算财政拨款支出决算情况说明</w:t>
      </w:r>
      <w:r>
        <w:rPr>
          <w:rFonts w:hint="eastAsia"/>
          <w:color w:val="auto"/>
          <w:sz w:val="24"/>
          <w:highlight w:val="none"/>
          <w:lang w:val="en-US" w:eastAsia="zh-CN"/>
        </w:rPr>
        <w:t>..............................................4</w:t>
      </w:r>
    </w:p>
    <w:p w14:paraId="1EA67DA0">
      <w:pPr>
        <w:pStyle w:val="12"/>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六、一般公共预算财政拨款基本支出决算情况说明</w:t>
      </w:r>
      <w:r>
        <w:rPr>
          <w:rFonts w:hint="eastAsia"/>
          <w:color w:val="auto"/>
          <w:sz w:val="24"/>
          <w:highlight w:val="none"/>
          <w:lang w:val="en-US" w:eastAsia="zh-CN"/>
        </w:rPr>
        <w:t>......................................6</w:t>
      </w:r>
    </w:p>
    <w:p w14:paraId="36D2AC28">
      <w:pPr>
        <w:pStyle w:val="12"/>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七、</w:t>
      </w:r>
      <w:r>
        <w:rPr>
          <w:rFonts w:hint="eastAsia"/>
          <w:color w:val="auto"/>
          <w:sz w:val="24"/>
          <w:highlight w:val="none"/>
          <w:lang w:val="en-US" w:eastAsia="zh-CN"/>
        </w:rPr>
        <w:t>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color w:val="auto"/>
          <w:sz w:val="24"/>
          <w:highlight w:val="none"/>
          <w:lang w:val="en-US" w:eastAsia="zh-CN"/>
        </w:rPr>
        <w:t>..............................................6</w:t>
      </w:r>
    </w:p>
    <w:p w14:paraId="640DC9AD">
      <w:pPr>
        <w:pStyle w:val="12"/>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八、政府性基金预算支出决算情况说明</w:t>
      </w:r>
      <w:r>
        <w:rPr>
          <w:rFonts w:hint="eastAsia"/>
          <w:color w:val="auto"/>
          <w:sz w:val="24"/>
          <w:highlight w:val="none"/>
          <w:lang w:val="en-US" w:eastAsia="zh-CN"/>
        </w:rPr>
        <w:t>..........................................................7</w:t>
      </w:r>
    </w:p>
    <w:p w14:paraId="128E1374">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九、国有资本经营预算支出决算情况说明</w:t>
      </w:r>
      <w:r>
        <w:rPr>
          <w:rFonts w:hint="eastAsia"/>
          <w:color w:val="auto"/>
          <w:sz w:val="24"/>
          <w:highlight w:val="none"/>
          <w:lang w:val="en-US" w:eastAsia="zh-CN"/>
        </w:rPr>
        <w:t>......................................................7</w:t>
      </w:r>
    </w:p>
    <w:p w14:paraId="07A601A7">
      <w:pPr>
        <w:pStyle w:val="12"/>
        <w:adjustRightInd w:val="0"/>
        <w:snapToGrid w:val="0"/>
        <w:spacing w:line="440" w:lineRule="exact"/>
        <w:jc w:val="left"/>
        <w:rPr>
          <w:rFonts w:hint="default"/>
          <w:color w:val="auto"/>
          <w:sz w:val="24"/>
          <w:highlight w:val="none"/>
          <w:lang w:val="en-US" w:eastAsia="zh-CN"/>
        </w:rPr>
      </w:pPr>
      <w:r>
        <w:rPr>
          <w:rFonts w:hint="eastAsia"/>
          <w:color w:val="auto"/>
          <w:sz w:val="24"/>
          <w:highlight w:val="none"/>
        </w:rPr>
        <w:t>十、其他重要事项的情况说明</w:t>
      </w:r>
      <w:r>
        <w:rPr>
          <w:rFonts w:hint="eastAsia"/>
          <w:color w:val="auto"/>
          <w:sz w:val="24"/>
          <w:highlight w:val="none"/>
          <w:lang w:val="en-US" w:eastAsia="zh-CN"/>
        </w:rPr>
        <w:t>..........................................................................7</w:t>
      </w:r>
    </w:p>
    <w:p w14:paraId="64C1BE2F">
      <w:pPr>
        <w:pStyle w:val="11"/>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val="en-US" w:eastAsia="zh-CN"/>
        </w:rPr>
        <w:t>.................................................9</w:t>
      </w:r>
    </w:p>
    <w:p w14:paraId="2340C91C">
      <w:pPr>
        <w:pStyle w:val="11"/>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val="en-US" w:eastAsia="zh-CN"/>
        </w:rPr>
        <w:t>....................................................11</w:t>
      </w:r>
    </w:p>
    <w:p w14:paraId="7727FCBF">
      <w:pPr>
        <w:pStyle w:val="11"/>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val="en-US" w:eastAsia="zh-CN"/>
        </w:rPr>
        <w:t>....................................................12</w:t>
      </w:r>
    </w:p>
    <w:p w14:paraId="7B72F7E8">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一、收入支出决算总表</w:t>
      </w:r>
      <w:r>
        <w:rPr>
          <w:rFonts w:hint="eastAsia"/>
          <w:color w:val="auto"/>
          <w:sz w:val="24"/>
          <w:highlight w:val="none"/>
          <w:lang w:val="en-US" w:eastAsia="zh-CN"/>
        </w:rPr>
        <w:t>...................................................................................12</w:t>
      </w:r>
    </w:p>
    <w:p w14:paraId="40DA8A2C">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二、收入决算表</w:t>
      </w:r>
      <w:r>
        <w:rPr>
          <w:rFonts w:hint="eastAsia"/>
          <w:color w:val="auto"/>
          <w:sz w:val="24"/>
          <w:highlight w:val="none"/>
          <w:lang w:val="en-US" w:eastAsia="zh-CN"/>
        </w:rPr>
        <w:t>...............................................................................................12</w:t>
      </w:r>
    </w:p>
    <w:p w14:paraId="09623AA3">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三、支出决算表</w:t>
      </w:r>
      <w:r>
        <w:rPr>
          <w:rFonts w:hint="eastAsia"/>
          <w:color w:val="auto"/>
          <w:sz w:val="24"/>
          <w:highlight w:val="none"/>
          <w:lang w:val="en-US" w:eastAsia="zh-CN"/>
        </w:rPr>
        <w:t>...............................................................................................12</w:t>
      </w:r>
    </w:p>
    <w:p w14:paraId="76B7510C">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四、财政拨款收入支出决算总表</w:t>
      </w:r>
      <w:r>
        <w:rPr>
          <w:rFonts w:hint="eastAsia"/>
          <w:color w:val="auto"/>
          <w:sz w:val="24"/>
          <w:highlight w:val="none"/>
          <w:lang w:val="en-US" w:eastAsia="zh-CN"/>
        </w:rPr>
        <w:t>...................................................................12</w:t>
      </w:r>
    </w:p>
    <w:p w14:paraId="3B976AF1">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五、财政拨款支出决算明细表</w:t>
      </w:r>
      <w:r>
        <w:rPr>
          <w:rFonts w:hint="eastAsia"/>
          <w:color w:val="auto"/>
          <w:sz w:val="24"/>
          <w:highlight w:val="none"/>
          <w:lang w:val="en-US" w:eastAsia="zh-CN"/>
        </w:rPr>
        <w:t>.......................................................................12</w:t>
      </w:r>
    </w:p>
    <w:p w14:paraId="0AA28501">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六、一般公共预算财政拨款支出决算表</w:t>
      </w:r>
      <w:r>
        <w:rPr>
          <w:rFonts w:hint="eastAsia"/>
          <w:color w:val="auto"/>
          <w:sz w:val="24"/>
          <w:highlight w:val="none"/>
          <w:lang w:val="en-US" w:eastAsia="zh-CN"/>
        </w:rPr>
        <w:t>.......................................................12</w:t>
      </w:r>
    </w:p>
    <w:p w14:paraId="53EF329B">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七、一般公共预算财政拨款支出决算明细表</w:t>
      </w:r>
      <w:r>
        <w:rPr>
          <w:rFonts w:hint="eastAsia"/>
          <w:color w:val="auto"/>
          <w:sz w:val="24"/>
          <w:highlight w:val="none"/>
          <w:lang w:val="en-US" w:eastAsia="zh-CN"/>
        </w:rPr>
        <w:t>...............................................12</w:t>
      </w:r>
    </w:p>
    <w:p w14:paraId="234E28E6">
      <w:pPr>
        <w:pStyle w:val="12"/>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八、一般公共预算财政拨款基本支出决算表</w:t>
      </w:r>
      <w:r>
        <w:rPr>
          <w:rFonts w:hint="eastAsia"/>
          <w:color w:val="auto"/>
          <w:sz w:val="24"/>
          <w:highlight w:val="none"/>
          <w:lang w:val="en-US" w:eastAsia="zh-CN"/>
        </w:rPr>
        <w:t>...............................................12</w:t>
      </w:r>
    </w:p>
    <w:p w14:paraId="56B9AE9B">
      <w:pPr>
        <w:pStyle w:val="12"/>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r>
        <w:rPr>
          <w:rFonts w:hint="eastAsia"/>
          <w:color w:val="auto"/>
          <w:sz w:val="24"/>
          <w:highlight w:val="none"/>
          <w:lang w:val="en-US" w:eastAsia="zh-CN"/>
        </w:rPr>
        <w:t>...............................................12</w:t>
      </w:r>
    </w:p>
    <w:p w14:paraId="15FD007B">
      <w:pPr>
        <w:pStyle w:val="12"/>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r>
        <w:rPr>
          <w:rFonts w:hint="eastAsia"/>
          <w:color w:val="auto"/>
          <w:sz w:val="24"/>
          <w:highlight w:val="none"/>
          <w:lang w:val="en-US" w:eastAsia="zh-CN"/>
        </w:rPr>
        <w:t>...........................................12</w:t>
      </w:r>
    </w:p>
    <w:p w14:paraId="33120280">
      <w:pPr>
        <w:pStyle w:val="12"/>
        <w:adjustRightInd w:val="0"/>
        <w:snapToGrid w:val="0"/>
        <w:spacing w:line="440" w:lineRule="exact"/>
        <w:jc w:val="left"/>
        <w:rPr>
          <w:rFonts w:hint="eastAsia"/>
          <w:color w:val="auto"/>
          <w:sz w:val="24"/>
          <w:highlight w:val="none"/>
        </w:rPr>
      </w:pPr>
      <w:r>
        <w:rPr>
          <w:rFonts w:hint="eastAsia"/>
          <w:color w:val="auto"/>
          <w:sz w:val="24"/>
          <w:highlight w:val="none"/>
        </w:rPr>
        <w:t>十</w:t>
      </w:r>
      <w:r>
        <w:rPr>
          <w:rFonts w:hint="eastAsia"/>
          <w:color w:val="auto"/>
          <w:sz w:val="24"/>
          <w:highlight w:val="none"/>
          <w:lang w:val="en-US" w:eastAsia="zh-CN"/>
        </w:rPr>
        <w:t>一</w:t>
      </w:r>
      <w:r>
        <w:rPr>
          <w:rFonts w:hint="eastAsia"/>
          <w:color w:val="auto"/>
          <w:sz w:val="24"/>
          <w:highlight w:val="none"/>
        </w:rPr>
        <w:t>、国有资本经营预算</w:t>
      </w:r>
      <w:r>
        <w:rPr>
          <w:rFonts w:hint="eastAsia"/>
          <w:color w:val="auto"/>
          <w:sz w:val="24"/>
          <w:highlight w:val="none"/>
          <w:lang w:eastAsia="zh-CN"/>
        </w:rPr>
        <w:t>财政拨款收入</w:t>
      </w:r>
      <w:r>
        <w:rPr>
          <w:rFonts w:hint="eastAsia"/>
          <w:color w:val="auto"/>
          <w:sz w:val="24"/>
          <w:highlight w:val="none"/>
        </w:rPr>
        <w:t>支出决算表</w:t>
      </w:r>
      <w:r>
        <w:rPr>
          <w:rFonts w:hint="eastAsia"/>
          <w:color w:val="auto"/>
          <w:sz w:val="24"/>
          <w:highlight w:val="none"/>
          <w:lang w:val="en-US" w:eastAsia="zh-CN"/>
        </w:rPr>
        <w:t>...................................12</w:t>
      </w:r>
    </w:p>
    <w:p w14:paraId="30CDE90B">
      <w:pPr>
        <w:pStyle w:val="12"/>
        <w:adjustRightInd w:val="0"/>
        <w:snapToGrid w:val="0"/>
        <w:spacing w:line="440" w:lineRule="exact"/>
        <w:jc w:val="left"/>
        <w:rPr>
          <w:rFonts w:hint="eastAsia"/>
        </w:rPr>
      </w:pPr>
      <w:r>
        <w:rPr>
          <w:rFonts w:hint="eastAsia"/>
          <w:color w:val="auto"/>
          <w:sz w:val="24"/>
          <w:highlight w:val="none"/>
          <w:lang w:val="en-US" w:eastAsia="zh-CN"/>
        </w:rPr>
        <w:t>十二、国有资本经营预算财政拨款支出决算表...........................................12</w:t>
      </w:r>
    </w:p>
    <w:p w14:paraId="7CAED21D">
      <w:pPr>
        <w:pStyle w:val="12"/>
        <w:adjustRightInd w:val="0"/>
        <w:snapToGrid w:val="0"/>
        <w:spacing w:line="440" w:lineRule="exact"/>
        <w:jc w:val="left"/>
        <w:rPr>
          <w:rFonts w:hint="default"/>
          <w:lang w:val="en-US"/>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r>
        <w:rPr>
          <w:rFonts w:hint="eastAsia"/>
          <w:color w:val="auto"/>
          <w:sz w:val="24"/>
          <w:highlight w:val="none"/>
          <w:lang w:val="en-US" w:eastAsia="zh-CN"/>
        </w:rPr>
        <w:t>十三、财政拨款“三公”经费支出决算表...................................................12</w:t>
      </w:r>
    </w:p>
    <w:p w14:paraId="728C32BC">
      <w:pPr>
        <w:widowControl/>
        <w:spacing w:line="440" w:lineRule="exact"/>
        <w:jc w:val="left"/>
        <w:rPr>
          <w:rFonts w:ascii="仿宋" w:hAnsi="仿宋" w:eastAsia="仿宋"/>
          <w:bCs/>
          <w:kern w:val="44"/>
          <w:sz w:val="24"/>
        </w:rPr>
      </w:pPr>
    </w:p>
    <w:p w14:paraId="708CCB93">
      <w:pPr>
        <w:pStyle w:val="3"/>
        <w:jc w:val="center"/>
        <w:rPr>
          <w:rStyle w:val="28"/>
          <w:rFonts w:ascii="黑体" w:hAnsi="黑体" w:eastAsia="黑体"/>
          <w:b/>
          <w:bCs w:val="0"/>
        </w:rPr>
      </w:pPr>
      <w:r>
        <w:rPr>
          <w:rFonts w:hint="eastAsia" w:ascii="黑体" w:hAnsi="黑体" w:eastAsia="黑体"/>
          <w:b w:val="0"/>
        </w:rPr>
        <w:t xml:space="preserve">第一部分 </w:t>
      </w:r>
      <w:r>
        <w:rPr>
          <w:rStyle w:val="28"/>
          <w:rFonts w:hint="eastAsia" w:ascii="黑体" w:hAnsi="黑体" w:eastAsia="黑体"/>
          <w:b w:val="0"/>
          <w:bCs w:val="0"/>
          <w:lang w:val="en-US" w:eastAsia="zh-CN"/>
        </w:rPr>
        <w:t>单位</w:t>
      </w:r>
      <w:r>
        <w:rPr>
          <w:rStyle w:val="28"/>
          <w:rFonts w:hint="eastAsia" w:ascii="黑体" w:hAnsi="黑体" w:eastAsia="黑体"/>
          <w:b w:val="0"/>
          <w:bCs w:val="0"/>
        </w:rPr>
        <w:t>概况</w:t>
      </w:r>
      <w:bookmarkEnd w:id="12"/>
      <w:bookmarkEnd w:id="13"/>
    </w:p>
    <w:p w14:paraId="443F9353">
      <w:pPr>
        <w:widowControl/>
        <w:jc w:val="left"/>
        <w:rPr>
          <w:rFonts w:ascii="黑体" w:eastAsia="黑体"/>
          <w:sz w:val="32"/>
          <w:szCs w:val="32"/>
        </w:rPr>
      </w:pPr>
    </w:p>
    <w:p w14:paraId="679604A5">
      <w:pPr>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一、主要职责</w:t>
      </w:r>
    </w:p>
    <w:p w14:paraId="5098B9F8">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1.组织专业医疗机构人员在市级公安监管场所内开展日常巡诊，为市级公安监管场所被监管人员提供健康检查、常规检查、一般治疗、急救处置、传染病预防控制等医疗卫生服务</w:t>
      </w:r>
      <w:r>
        <w:rPr>
          <w:rFonts w:hint="eastAsia" w:ascii="仿宋" w:hAnsi="仿宋" w:eastAsia="仿宋" w:cs="仿宋"/>
          <w:sz w:val="32"/>
          <w:szCs w:val="32"/>
        </w:rPr>
        <w:t>。</w:t>
      </w:r>
    </w:p>
    <w:p w14:paraId="0B272E8C">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对市级公安监管场所新收被监管人员进行入所前健康检查</w:t>
      </w:r>
      <w:r>
        <w:rPr>
          <w:rFonts w:hint="eastAsia" w:ascii="仿宋" w:hAnsi="仿宋" w:eastAsia="仿宋" w:cs="仿宋"/>
          <w:sz w:val="32"/>
          <w:szCs w:val="32"/>
        </w:rPr>
        <w:t>。</w:t>
      </w:r>
    </w:p>
    <w:p w14:paraId="0B4DBCB6">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对有肇事肇祸行为、危害公共安全或者严重危害公民人身安全，经法定程序鉴定依法不负刑事责任，且有继续危害社会可能的严重精神障碍患者和被人民法院决定强制医疗的精神病人进行依法强制监管</w:t>
      </w:r>
      <w:r>
        <w:rPr>
          <w:rFonts w:hint="eastAsia" w:ascii="仿宋" w:hAnsi="仿宋" w:eastAsia="仿宋" w:cs="仿宋"/>
          <w:sz w:val="32"/>
          <w:szCs w:val="32"/>
        </w:rPr>
        <w:t>。</w:t>
      </w:r>
    </w:p>
    <w:p w14:paraId="4F84EC72">
      <w:pPr>
        <w:pStyle w:val="2"/>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lang w:val="en-US" w:eastAsia="zh-CN"/>
        </w:rPr>
      </w:pPr>
      <w:r>
        <w:rPr>
          <w:rFonts w:hint="eastAsia" w:ascii="仿宋" w:hAnsi="仿宋" w:eastAsia="仿宋" w:cs="仿宋"/>
          <w:sz w:val="32"/>
          <w:szCs w:val="32"/>
          <w:lang w:val="en-US" w:eastAsia="zh-CN"/>
        </w:rPr>
        <w:t xml:space="preserve">    4.承担在治精神病人的精神疾病治疗、心理治疗、身体康复训练、道德教育、安全监管、诊断评估和保障工作。</w:t>
      </w:r>
    </w:p>
    <w:p w14:paraId="03B623EF">
      <w:pPr>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bookmarkStart w:id="14" w:name="_Toc15396601"/>
      <w:bookmarkStart w:id="15" w:name="_Toc15377200"/>
      <w:r>
        <w:rPr>
          <w:rFonts w:hint="eastAsia" w:ascii="黑体" w:hAnsi="黑体" w:eastAsia="黑体" w:cs="黑体"/>
          <w:sz w:val="32"/>
          <w:szCs w:val="32"/>
          <w:lang w:val="en-US" w:eastAsia="zh-CN"/>
        </w:rPr>
        <w:t>二、机构设置</w:t>
      </w:r>
      <w:bookmarkEnd w:id="14"/>
      <w:bookmarkEnd w:id="15"/>
    </w:p>
    <w:p w14:paraId="5FF8D004">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遂宁市强制医疗所属市公安局下属二级预算单位,无内设科室。</w:t>
      </w:r>
    </w:p>
    <w:p w14:paraId="646300BC">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p>
    <w:p w14:paraId="5563E2E1">
      <w:pPr>
        <w:pStyle w:val="2"/>
        <w:spacing w:before="93"/>
        <w:rPr>
          <w:rFonts w:hint="eastAsia"/>
        </w:rPr>
      </w:pPr>
    </w:p>
    <w:p w14:paraId="2AE19CD8">
      <w:pPr>
        <w:pStyle w:val="2"/>
        <w:spacing w:before="93"/>
        <w:rPr>
          <w:rFonts w:hint="eastAsia"/>
        </w:rPr>
      </w:pPr>
    </w:p>
    <w:p w14:paraId="37544D89">
      <w:pPr>
        <w:pStyle w:val="3"/>
        <w:ind w:right="440"/>
        <w:jc w:val="center"/>
        <w:rPr>
          <w:rStyle w:val="28"/>
          <w:rFonts w:ascii="黑体" w:hAnsi="黑体" w:eastAsia="黑体"/>
          <w:b w:val="0"/>
          <w:bCs/>
        </w:rPr>
      </w:pPr>
      <w:bookmarkStart w:id="16" w:name="_Toc15396602"/>
      <w:bookmarkStart w:id="17" w:name="_Toc15377204"/>
      <w:r>
        <w:rPr>
          <w:rFonts w:hint="eastAsia" w:ascii="黑体" w:hAnsi="黑体" w:eastAsia="黑体"/>
          <w:b w:val="0"/>
          <w:lang w:val="en-US" w:eastAsia="zh-CN"/>
        </w:rPr>
        <w:t xml:space="preserve">  </w:t>
      </w:r>
      <w:r>
        <w:rPr>
          <w:rFonts w:hint="eastAsia" w:ascii="黑体" w:hAnsi="黑体" w:eastAsia="黑体"/>
          <w:b w:val="0"/>
        </w:rPr>
        <w:t>第二部分 202</w:t>
      </w:r>
      <w:r>
        <w:rPr>
          <w:rFonts w:hint="eastAsia" w:ascii="黑体" w:hAnsi="黑体" w:eastAsia="黑体"/>
          <w:b w:val="0"/>
          <w:lang w:val="en-US" w:eastAsia="zh-CN"/>
        </w:rPr>
        <w:t>3</w:t>
      </w:r>
      <w:r>
        <w:rPr>
          <w:rFonts w:hint="eastAsia" w:ascii="黑体" w:hAnsi="黑体" w:eastAsia="黑体"/>
          <w:b w:val="0"/>
        </w:rPr>
        <w:t>年度</w:t>
      </w:r>
      <w:r>
        <w:rPr>
          <w:rStyle w:val="28"/>
          <w:rFonts w:hint="eastAsia" w:ascii="黑体" w:hAnsi="黑体" w:eastAsia="黑体"/>
          <w:b w:val="0"/>
          <w:bCs/>
          <w:lang w:val="en-US" w:eastAsia="zh-CN"/>
        </w:rPr>
        <w:t>单位</w:t>
      </w:r>
      <w:r>
        <w:rPr>
          <w:rStyle w:val="28"/>
          <w:rFonts w:hint="eastAsia" w:ascii="黑体" w:hAnsi="黑体" w:eastAsia="黑体"/>
          <w:b w:val="0"/>
          <w:bCs/>
        </w:rPr>
        <w:t>决算情况说明</w:t>
      </w:r>
      <w:bookmarkEnd w:id="16"/>
      <w:bookmarkEnd w:id="17"/>
    </w:p>
    <w:p w14:paraId="0278B584"/>
    <w:p w14:paraId="50F33074">
      <w:pPr>
        <w:pStyle w:val="27"/>
        <w:numPr>
          <w:ilvl w:val="0"/>
          <w:numId w:val="2"/>
        </w:numPr>
        <w:spacing w:line="600" w:lineRule="exact"/>
        <w:ind w:firstLineChars="0"/>
        <w:outlineLvl w:val="1"/>
        <w:rPr>
          <w:rStyle w:val="29"/>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29"/>
          <w:rFonts w:hint="eastAsia" w:ascii="黑体" w:hAnsi="黑体" w:eastAsia="黑体"/>
          <w:b w:val="0"/>
        </w:rPr>
        <w:t>入支出决算总体情况说明</w:t>
      </w:r>
      <w:bookmarkEnd w:id="18"/>
      <w:bookmarkEnd w:id="19"/>
    </w:p>
    <w:p w14:paraId="2DEBA0F7">
      <w:pPr>
        <w:spacing w:line="600" w:lineRule="exact"/>
        <w:ind w:firstLine="640" w:firstLineChars="200"/>
        <w:rPr>
          <w:rFonts w:hint="eastAsia" w:eastAsia="仿宋_GB2312"/>
          <w:lang w:eastAsia="zh-CN"/>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年度收、支总计</w:t>
      </w:r>
      <w:r>
        <w:rPr>
          <w:rFonts w:hint="eastAsia" w:ascii="仿宋" w:hAnsi="仿宋" w:eastAsia="仿宋"/>
          <w:sz w:val="32"/>
          <w:szCs w:val="32"/>
          <w:lang w:val="en-US" w:eastAsia="zh-CN"/>
        </w:rPr>
        <w:t>408.69</w:t>
      </w:r>
      <w:r>
        <w:rPr>
          <w:rFonts w:hint="eastAsia" w:ascii="仿宋" w:hAnsi="仿宋" w:eastAsia="仿宋"/>
          <w:sz w:val="32"/>
          <w:szCs w:val="32"/>
        </w:rPr>
        <w:t>万元。与202</w:t>
      </w:r>
      <w:r>
        <w:rPr>
          <w:rFonts w:hint="eastAsia" w:ascii="仿宋" w:hAnsi="仿宋" w:eastAsia="仿宋"/>
          <w:sz w:val="32"/>
          <w:szCs w:val="32"/>
          <w:lang w:val="en-US" w:eastAsia="zh-CN"/>
        </w:rPr>
        <w:t>2</w:t>
      </w:r>
      <w:r>
        <w:rPr>
          <w:rFonts w:hint="eastAsia" w:ascii="仿宋" w:hAnsi="仿宋" w:eastAsia="仿宋"/>
          <w:sz w:val="32"/>
          <w:szCs w:val="32"/>
        </w:rPr>
        <w:t>年</w:t>
      </w:r>
      <w:r>
        <w:rPr>
          <w:rFonts w:hint="eastAsia" w:ascii="仿宋" w:hAnsi="仿宋" w:eastAsia="仿宋"/>
          <w:sz w:val="32"/>
          <w:szCs w:val="32"/>
          <w:lang w:val="en-US" w:eastAsia="zh-CN"/>
        </w:rPr>
        <w:t>367.09万</w:t>
      </w:r>
      <w:r>
        <w:rPr>
          <w:rFonts w:hint="eastAsia" w:ascii="仿宋" w:hAnsi="仿宋" w:eastAsia="仿宋"/>
          <w:sz w:val="32"/>
          <w:szCs w:val="32"/>
        </w:rPr>
        <w:t>相比，收、支总计各</w:t>
      </w:r>
      <w:r>
        <w:rPr>
          <w:rFonts w:hint="eastAsia" w:ascii="仿宋" w:hAnsi="仿宋" w:eastAsia="仿宋"/>
          <w:sz w:val="32"/>
          <w:szCs w:val="32"/>
          <w:lang w:val="en-US" w:eastAsia="zh-CN"/>
        </w:rPr>
        <w:t>增加41.60</w:t>
      </w:r>
      <w:r>
        <w:rPr>
          <w:rFonts w:hint="eastAsia" w:ascii="仿宋" w:hAnsi="仿宋" w:eastAsia="仿宋"/>
          <w:sz w:val="32"/>
          <w:szCs w:val="32"/>
        </w:rPr>
        <w:t>万元，分别</w:t>
      </w:r>
      <w:r>
        <w:rPr>
          <w:rFonts w:hint="eastAsia" w:ascii="仿宋" w:hAnsi="仿宋" w:eastAsia="仿宋"/>
          <w:sz w:val="32"/>
          <w:szCs w:val="32"/>
          <w:lang w:val="en-US" w:eastAsia="zh-CN"/>
        </w:rPr>
        <w:t>增长11.33%</w:t>
      </w:r>
      <w:r>
        <w:rPr>
          <w:rFonts w:hint="eastAsia" w:ascii="仿宋" w:hAnsi="仿宋" w:eastAsia="仿宋"/>
          <w:sz w:val="32"/>
          <w:szCs w:val="32"/>
        </w:rPr>
        <w:t>。主要原因</w:t>
      </w:r>
      <w:r>
        <w:rPr>
          <w:rFonts w:hint="eastAsia" w:ascii="仿宋" w:hAnsi="仿宋" w:eastAsia="仿宋"/>
          <w:sz w:val="32"/>
          <w:szCs w:val="32"/>
          <w:lang w:val="en-US" w:eastAsia="zh-CN"/>
        </w:rPr>
        <w:t>为人员经费及项目经费的增长</w:t>
      </w:r>
      <w:r>
        <w:rPr>
          <w:rFonts w:hint="eastAsia" w:ascii="仿宋" w:hAnsi="仿宋" w:eastAsia="仿宋"/>
          <w:sz w:val="32"/>
          <w:szCs w:val="32"/>
        </w:rPr>
        <w:t>。</w:t>
      </w:r>
    </w:p>
    <w:p w14:paraId="25F12BF7">
      <w:pPr>
        <w:pStyle w:val="2"/>
        <w:spacing w:beforeLines="0"/>
        <w:rPr>
          <w:rFonts w:hint="eastAsia" w:eastAsia="仿宋_GB2312"/>
          <w:lang w:eastAsia="zh-CN"/>
        </w:rPr>
      </w:pPr>
      <w:r>
        <w:drawing>
          <wp:anchor distT="0" distB="0" distL="114300" distR="114300" simplePos="0" relativeHeight="251659264" behindDoc="0" locked="0" layoutInCell="1" allowOverlap="1">
            <wp:simplePos x="0" y="0"/>
            <wp:positionH relativeFrom="column">
              <wp:posOffset>537845</wp:posOffset>
            </wp:positionH>
            <wp:positionV relativeFrom="paragraph">
              <wp:posOffset>273685</wp:posOffset>
            </wp:positionV>
            <wp:extent cx="4354830" cy="2507615"/>
            <wp:effectExtent l="4445" t="4445" r="14605" b="17780"/>
            <wp:wrapTopAndBottom/>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792D1FC2">
      <w:pPr>
        <w:spacing w:line="240" w:lineRule="auto"/>
        <w:jc w:val="center"/>
        <w:rPr>
          <w:rFonts w:hint="eastAsia"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14:paraId="1DFF5EE4">
      <w:pPr>
        <w:pStyle w:val="27"/>
        <w:numPr>
          <w:ilvl w:val="0"/>
          <w:numId w:val="2"/>
        </w:numPr>
        <w:spacing w:line="600" w:lineRule="exact"/>
        <w:ind w:firstLineChars="0"/>
        <w:outlineLvl w:val="1"/>
        <w:rPr>
          <w:rStyle w:val="29"/>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29"/>
          <w:rFonts w:hint="eastAsia" w:ascii="黑体" w:hAnsi="黑体" w:eastAsia="黑体"/>
          <w:b w:val="0"/>
        </w:rPr>
        <w:t>入决算情况说明</w:t>
      </w:r>
      <w:bookmarkEnd w:id="20"/>
      <w:bookmarkEnd w:id="21"/>
    </w:p>
    <w:p w14:paraId="5997F31C">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年本年收入合计</w:t>
      </w:r>
      <w:r>
        <w:rPr>
          <w:rFonts w:hint="eastAsia" w:ascii="仿宋" w:hAnsi="仿宋" w:eastAsia="仿宋"/>
          <w:sz w:val="32"/>
          <w:szCs w:val="32"/>
          <w:lang w:val="en-US" w:eastAsia="zh-CN"/>
        </w:rPr>
        <w:t>408.69</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408.69</w:t>
      </w:r>
      <w:r>
        <w:rPr>
          <w:rFonts w:hint="eastAsia" w:ascii="仿宋" w:hAnsi="仿宋" w:eastAsia="仿宋"/>
          <w:sz w:val="32"/>
          <w:szCs w:val="32"/>
        </w:rPr>
        <w:t>万元，占100</w:t>
      </w:r>
      <w:r>
        <w:rPr>
          <w:rFonts w:ascii="仿宋" w:hAnsi="仿宋" w:eastAsia="仿宋"/>
          <w:sz w:val="32"/>
          <w:szCs w:val="32"/>
        </w:rPr>
        <w:t>%</w:t>
      </w:r>
      <w:r>
        <w:rPr>
          <w:rFonts w:hint="eastAsia" w:ascii="仿宋" w:hAnsi="仿宋" w:eastAsia="仿宋"/>
          <w:sz w:val="32"/>
          <w:szCs w:val="32"/>
        </w:rPr>
        <w:t>；政府性基金预算财政拨款收入0万元，占0</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；事业收入0万元，占0</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；附属单位上缴收入0万元，占0；其他收入0万元，占0</w:t>
      </w:r>
      <w:r>
        <w:rPr>
          <w:rFonts w:ascii="仿宋" w:hAnsi="仿宋" w:eastAsia="仿宋"/>
          <w:sz w:val="32"/>
          <w:szCs w:val="32"/>
        </w:rPr>
        <w:t>%</w:t>
      </w:r>
      <w:r>
        <w:rPr>
          <w:rFonts w:hint="eastAsia" w:ascii="仿宋" w:hAnsi="仿宋" w:eastAsia="仿宋"/>
          <w:sz w:val="32"/>
          <w:szCs w:val="32"/>
        </w:rPr>
        <w:t>。</w:t>
      </w:r>
    </w:p>
    <w:p w14:paraId="0D80E510">
      <w:pPr>
        <w:pStyle w:val="2"/>
        <w:spacing w:beforeLines="0"/>
        <w:jc w:val="center"/>
        <w:rPr>
          <w:rFonts w:hint="eastAsia" w:ascii="仿宋" w:hAnsi="仿宋" w:eastAsia="仿宋"/>
          <w:sz w:val="32"/>
          <w:szCs w:val="32"/>
        </w:rPr>
      </w:pPr>
      <w:r>
        <w:drawing>
          <wp:anchor distT="0" distB="0" distL="114300" distR="114300" simplePos="0" relativeHeight="251660288" behindDoc="0" locked="0" layoutInCell="1" allowOverlap="1">
            <wp:simplePos x="0" y="0"/>
            <wp:positionH relativeFrom="column">
              <wp:posOffset>641985</wp:posOffset>
            </wp:positionH>
            <wp:positionV relativeFrom="paragraph">
              <wp:posOffset>230505</wp:posOffset>
            </wp:positionV>
            <wp:extent cx="3866515" cy="2279015"/>
            <wp:effectExtent l="4445" t="4445" r="15240" b="17780"/>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sz w:val="32"/>
          <w:szCs w:val="32"/>
        </w:rPr>
        <w:t>（图2：收入决算结构图）</w:t>
      </w:r>
    </w:p>
    <w:p w14:paraId="78A1430B">
      <w:pPr>
        <w:pStyle w:val="27"/>
        <w:numPr>
          <w:ilvl w:val="0"/>
          <w:numId w:val="2"/>
        </w:numPr>
        <w:spacing w:line="600" w:lineRule="exact"/>
        <w:ind w:firstLineChars="0"/>
        <w:outlineLvl w:val="1"/>
        <w:rPr>
          <w:rStyle w:val="29"/>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29"/>
          <w:rFonts w:hint="eastAsia" w:ascii="黑体" w:hAnsi="黑体" w:eastAsia="黑体"/>
          <w:b w:val="0"/>
        </w:rPr>
        <w:t>出决算情况说明</w:t>
      </w:r>
      <w:bookmarkEnd w:id="22"/>
      <w:bookmarkEnd w:id="23"/>
    </w:p>
    <w:p w14:paraId="04093773">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年本年支出合计</w:t>
      </w:r>
      <w:r>
        <w:rPr>
          <w:rFonts w:hint="eastAsia" w:ascii="仿宋" w:hAnsi="仿宋" w:eastAsia="仿宋"/>
          <w:sz w:val="32"/>
          <w:szCs w:val="32"/>
          <w:lang w:val="en-US" w:eastAsia="zh-CN"/>
        </w:rPr>
        <w:t>408.69</w:t>
      </w:r>
      <w:r>
        <w:rPr>
          <w:rFonts w:hint="eastAsia" w:ascii="仿宋" w:hAnsi="仿宋" w:eastAsia="仿宋"/>
          <w:sz w:val="32"/>
          <w:szCs w:val="32"/>
        </w:rPr>
        <w:t>万元，其中：基本支出</w:t>
      </w:r>
      <w:r>
        <w:rPr>
          <w:rFonts w:hint="eastAsia" w:ascii="仿宋" w:hAnsi="仿宋" w:eastAsia="仿宋"/>
          <w:sz w:val="32"/>
          <w:szCs w:val="32"/>
          <w:lang w:val="en-US" w:eastAsia="zh-CN"/>
        </w:rPr>
        <w:t>133.59</w:t>
      </w:r>
      <w:r>
        <w:rPr>
          <w:rFonts w:hint="eastAsia" w:ascii="仿宋" w:hAnsi="仿宋" w:eastAsia="仿宋"/>
          <w:sz w:val="32"/>
          <w:szCs w:val="32"/>
        </w:rPr>
        <w:t>万元，占</w:t>
      </w:r>
      <w:r>
        <w:rPr>
          <w:rFonts w:hint="eastAsia" w:ascii="仿宋" w:hAnsi="仿宋" w:eastAsia="仿宋"/>
          <w:sz w:val="32"/>
          <w:szCs w:val="32"/>
          <w:lang w:val="en-US" w:eastAsia="zh-CN"/>
        </w:rPr>
        <w:t>32.69</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275.09</w:t>
      </w:r>
      <w:r>
        <w:rPr>
          <w:rFonts w:hint="eastAsia" w:ascii="仿宋" w:hAnsi="仿宋" w:eastAsia="仿宋"/>
          <w:sz w:val="32"/>
          <w:szCs w:val="32"/>
        </w:rPr>
        <w:t>万元，占</w:t>
      </w:r>
      <w:r>
        <w:rPr>
          <w:rFonts w:hint="eastAsia" w:ascii="仿宋" w:hAnsi="仿宋" w:eastAsia="仿宋"/>
          <w:sz w:val="32"/>
          <w:szCs w:val="32"/>
          <w:lang w:val="en-US" w:eastAsia="zh-CN"/>
        </w:rPr>
        <w:t>67.31</w:t>
      </w:r>
      <w:r>
        <w:rPr>
          <w:rFonts w:ascii="仿宋" w:hAnsi="仿宋" w:eastAsia="仿宋"/>
          <w:sz w:val="32"/>
          <w:szCs w:val="32"/>
        </w:rPr>
        <w:t>%</w:t>
      </w:r>
      <w:r>
        <w:rPr>
          <w:rFonts w:hint="eastAsia" w:ascii="仿宋" w:hAnsi="仿宋" w:eastAsia="仿宋"/>
          <w:sz w:val="32"/>
          <w:szCs w:val="32"/>
        </w:rPr>
        <w:t>；上缴上级支出0万元，占0</w:t>
      </w:r>
      <w:r>
        <w:rPr>
          <w:rFonts w:ascii="仿宋" w:hAnsi="仿宋" w:eastAsia="仿宋"/>
          <w:sz w:val="32"/>
          <w:szCs w:val="32"/>
        </w:rPr>
        <w:t>%</w:t>
      </w:r>
      <w:r>
        <w:rPr>
          <w:rFonts w:hint="eastAsia" w:ascii="仿宋" w:hAnsi="仿宋" w:eastAsia="仿宋"/>
          <w:sz w:val="32"/>
          <w:szCs w:val="32"/>
        </w:rPr>
        <w:t>；经营支出0万元，占0</w:t>
      </w:r>
      <w:r>
        <w:rPr>
          <w:rFonts w:ascii="仿宋" w:hAnsi="仿宋" w:eastAsia="仿宋"/>
          <w:sz w:val="32"/>
          <w:szCs w:val="32"/>
        </w:rPr>
        <w:t>%</w:t>
      </w:r>
      <w:r>
        <w:rPr>
          <w:rFonts w:hint="eastAsia" w:ascii="仿宋" w:hAnsi="仿宋" w:eastAsia="仿宋"/>
          <w:sz w:val="32"/>
          <w:szCs w:val="32"/>
        </w:rPr>
        <w:t>；对附属单位补助支出0万元，占0</w:t>
      </w:r>
      <w:r>
        <w:rPr>
          <w:rFonts w:ascii="仿宋" w:hAnsi="仿宋" w:eastAsia="仿宋"/>
          <w:sz w:val="32"/>
          <w:szCs w:val="32"/>
        </w:rPr>
        <w:t>%</w:t>
      </w:r>
      <w:r>
        <w:rPr>
          <w:rFonts w:hint="eastAsia" w:ascii="仿宋" w:hAnsi="仿宋" w:eastAsia="仿宋"/>
          <w:sz w:val="32"/>
          <w:szCs w:val="32"/>
        </w:rPr>
        <w:t>。</w:t>
      </w:r>
    </w:p>
    <w:p w14:paraId="16A9D669">
      <w:pPr>
        <w:pStyle w:val="2"/>
        <w:jc w:val="center"/>
        <w:rPr>
          <w:rFonts w:hint="eastAsia" w:ascii="黑体" w:hAnsi="黑体" w:eastAsia="黑体"/>
          <w:sz w:val="32"/>
          <w:szCs w:val="32"/>
        </w:rPr>
      </w:pPr>
      <w:r>
        <w:drawing>
          <wp:anchor distT="0" distB="0" distL="114300" distR="114300" simplePos="0" relativeHeight="251661312" behindDoc="0" locked="0" layoutInCell="1" allowOverlap="1">
            <wp:simplePos x="0" y="0"/>
            <wp:positionH relativeFrom="column">
              <wp:posOffset>481965</wp:posOffset>
            </wp:positionH>
            <wp:positionV relativeFrom="paragraph">
              <wp:posOffset>92710</wp:posOffset>
            </wp:positionV>
            <wp:extent cx="4288155" cy="2529205"/>
            <wp:effectExtent l="4445" t="4445" r="5080" b="11430"/>
            <wp:wrapTopAndBottom/>
            <wp:docPr id="5"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sz w:val="32"/>
          <w:szCs w:val="32"/>
        </w:rPr>
        <w:t>（图3：支出决算结构图）</w:t>
      </w:r>
      <w:bookmarkStart w:id="24" w:name="_Toc15377208"/>
      <w:bookmarkStart w:id="25" w:name="_Toc15396606"/>
    </w:p>
    <w:p w14:paraId="00403542">
      <w:pPr>
        <w:spacing w:line="600" w:lineRule="exact"/>
        <w:ind w:firstLine="640" w:firstLineChars="200"/>
        <w:outlineLvl w:val="1"/>
        <w:rPr>
          <w:rStyle w:val="29"/>
          <w:rFonts w:ascii="黑体" w:hAnsi="黑体" w:eastAsia="黑体"/>
          <w:b w:val="0"/>
        </w:rPr>
      </w:pPr>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24"/>
      <w:bookmarkEnd w:id="25"/>
    </w:p>
    <w:p w14:paraId="7BCF731E">
      <w:pPr>
        <w:spacing w:line="600" w:lineRule="exact"/>
        <w:ind w:firstLine="640" w:firstLineChars="200"/>
        <w:rPr>
          <w:rFonts w:hint="eastAsia" w:eastAsia="仿宋_GB2312"/>
          <w:lang w:eastAsia="zh-CN"/>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年财政拨款收、支总计</w:t>
      </w:r>
      <w:r>
        <w:rPr>
          <w:rFonts w:hint="eastAsia" w:ascii="仿宋" w:hAnsi="仿宋" w:eastAsia="仿宋"/>
          <w:sz w:val="32"/>
          <w:szCs w:val="32"/>
          <w:lang w:val="en-US" w:eastAsia="zh-CN"/>
        </w:rPr>
        <w:t>408.69</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w:t>
      </w:r>
      <w:r>
        <w:rPr>
          <w:rFonts w:hint="eastAsia" w:ascii="仿宋" w:hAnsi="仿宋" w:eastAsia="仿宋"/>
          <w:sz w:val="32"/>
          <w:szCs w:val="32"/>
          <w:lang w:val="en-US" w:eastAsia="zh-CN"/>
        </w:rPr>
        <w:t>367.09</w:t>
      </w:r>
      <w:r>
        <w:rPr>
          <w:rFonts w:hint="eastAsia" w:ascii="仿宋" w:hAnsi="仿宋" w:eastAsia="仿宋"/>
          <w:sz w:val="32"/>
          <w:szCs w:val="32"/>
        </w:rPr>
        <w:t>万元相比，财政拨款收、支总计各</w:t>
      </w:r>
      <w:r>
        <w:rPr>
          <w:rFonts w:hint="eastAsia" w:ascii="仿宋" w:hAnsi="仿宋" w:eastAsia="仿宋"/>
          <w:sz w:val="32"/>
          <w:szCs w:val="32"/>
          <w:lang w:val="en-US" w:eastAsia="zh-CN"/>
        </w:rPr>
        <w:t>增加41.60</w:t>
      </w:r>
      <w:r>
        <w:rPr>
          <w:rFonts w:hint="eastAsia" w:ascii="仿宋" w:hAnsi="仿宋" w:eastAsia="仿宋"/>
          <w:sz w:val="32"/>
          <w:szCs w:val="32"/>
        </w:rPr>
        <w:t>万元，分别</w:t>
      </w:r>
      <w:r>
        <w:rPr>
          <w:rFonts w:hint="eastAsia" w:ascii="仿宋" w:hAnsi="仿宋" w:eastAsia="仿宋"/>
          <w:sz w:val="32"/>
          <w:szCs w:val="32"/>
          <w:lang w:val="en-US" w:eastAsia="zh-CN"/>
        </w:rPr>
        <w:t>增长11.33%</w:t>
      </w:r>
      <w:r>
        <w:rPr>
          <w:rFonts w:hint="eastAsia" w:ascii="仿宋" w:hAnsi="仿宋" w:eastAsia="仿宋"/>
          <w:sz w:val="32"/>
          <w:szCs w:val="32"/>
        </w:rPr>
        <w:t>。主要原因</w:t>
      </w:r>
      <w:r>
        <w:rPr>
          <w:rFonts w:hint="eastAsia" w:ascii="仿宋" w:hAnsi="仿宋" w:eastAsia="仿宋"/>
          <w:sz w:val="32"/>
          <w:szCs w:val="32"/>
          <w:lang w:val="en-US" w:eastAsia="zh-CN"/>
        </w:rPr>
        <w:t>为人员经费及项目经费的增长</w:t>
      </w:r>
      <w:r>
        <w:rPr>
          <w:rFonts w:hint="eastAsia" w:ascii="仿宋" w:hAnsi="仿宋" w:eastAsia="仿宋"/>
          <w:sz w:val="32"/>
          <w:szCs w:val="32"/>
        </w:rPr>
        <w:t>。</w:t>
      </w:r>
      <w:r>
        <w:drawing>
          <wp:anchor distT="0" distB="0" distL="114300" distR="114300" simplePos="0" relativeHeight="251662336" behindDoc="0" locked="0" layoutInCell="1" allowOverlap="1">
            <wp:simplePos x="0" y="0"/>
            <wp:positionH relativeFrom="column">
              <wp:posOffset>406400</wp:posOffset>
            </wp:positionH>
            <wp:positionV relativeFrom="paragraph">
              <wp:posOffset>182245</wp:posOffset>
            </wp:positionV>
            <wp:extent cx="4572000" cy="2245995"/>
            <wp:effectExtent l="4445" t="4445" r="10795" b="5080"/>
            <wp:wrapTopAndBottom/>
            <wp:docPr id="6"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25566530">
      <w:pPr>
        <w:spacing w:line="240" w:lineRule="auto"/>
        <w:jc w:val="center"/>
        <w:rPr>
          <w:rFonts w:hint="eastAsia" w:ascii="黑体" w:hAnsi="黑体" w:eastAsia="黑体"/>
          <w:sz w:val="32"/>
          <w:szCs w:val="32"/>
        </w:rPr>
      </w:pPr>
      <w:r>
        <w:rPr>
          <w:rFonts w:hint="eastAsia" w:ascii="仿宋" w:hAnsi="仿宋" w:eastAsia="仿宋"/>
          <w:sz w:val="32"/>
          <w:szCs w:val="32"/>
        </w:rPr>
        <w:t>（图4：财政拨款收、支决算总计变动情况）</w:t>
      </w:r>
      <w:bookmarkStart w:id="26" w:name="_Toc15377209"/>
      <w:bookmarkStart w:id="27" w:name="_Toc15396607"/>
    </w:p>
    <w:p w14:paraId="550A818C">
      <w:pPr>
        <w:spacing w:line="600" w:lineRule="exact"/>
        <w:ind w:firstLine="640" w:firstLineChars="200"/>
        <w:outlineLvl w:val="1"/>
        <w:rPr>
          <w:rStyle w:val="29"/>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26"/>
      <w:bookmarkEnd w:id="27"/>
    </w:p>
    <w:p w14:paraId="3A5ADE81">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14:paraId="57BB03A9">
      <w:pPr>
        <w:spacing w:line="600" w:lineRule="exact"/>
        <w:ind w:firstLine="420" w:firstLineChars="200"/>
      </w:pPr>
      <w:r>
        <w:drawing>
          <wp:anchor distT="0" distB="0" distL="114300" distR="114300" simplePos="0" relativeHeight="251663360" behindDoc="0" locked="0" layoutInCell="1" allowOverlap="1">
            <wp:simplePos x="0" y="0"/>
            <wp:positionH relativeFrom="column">
              <wp:posOffset>475615</wp:posOffset>
            </wp:positionH>
            <wp:positionV relativeFrom="paragraph">
              <wp:posOffset>1659890</wp:posOffset>
            </wp:positionV>
            <wp:extent cx="4364355" cy="2084705"/>
            <wp:effectExtent l="4445" t="5080" r="5080" b="13335"/>
            <wp:wrapTopAndBottom/>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408.69</w:t>
      </w:r>
      <w:r>
        <w:rPr>
          <w:rFonts w:hint="eastAsia" w:ascii="仿宋" w:hAnsi="仿宋" w:eastAsia="仿宋"/>
          <w:sz w:val="32"/>
          <w:szCs w:val="32"/>
        </w:rPr>
        <w:t>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w:t>
      </w:r>
      <w:r>
        <w:rPr>
          <w:rFonts w:hint="eastAsia" w:ascii="仿宋" w:hAnsi="仿宋" w:eastAsia="仿宋"/>
          <w:sz w:val="32"/>
          <w:szCs w:val="32"/>
          <w:lang w:val="en-US" w:eastAsia="zh-CN"/>
        </w:rPr>
        <w:t>367.09</w:t>
      </w:r>
      <w:r>
        <w:rPr>
          <w:rFonts w:hint="eastAsia" w:ascii="仿宋" w:hAnsi="仿宋" w:eastAsia="仿宋"/>
          <w:sz w:val="32"/>
          <w:szCs w:val="32"/>
        </w:rPr>
        <w:t>万元相比，一般公共预算财政拨款支出</w:t>
      </w:r>
      <w:r>
        <w:rPr>
          <w:rFonts w:hint="eastAsia" w:ascii="仿宋" w:hAnsi="仿宋" w:eastAsia="仿宋"/>
          <w:sz w:val="32"/>
          <w:szCs w:val="32"/>
          <w:lang w:val="en-US" w:eastAsia="zh-CN"/>
        </w:rPr>
        <w:t>增加41.60</w:t>
      </w:r>
      <w:r>
        <w:rPr>
          <w:rFonts w:hint="eastAsia" w:ascii="仿宋" w:hAnsi="仿宋" w:eastAsia="仿宋"/>
          <w:sz w:val="32"/>
          <w:szCs w:val="32"/>
        </w:rPr>
        <w:t>万元，</w:t>
      </w:r>
      <w:r>
        <w:rPr>
          <w:rFonts w:hint="eastAsia" w:ascii="仿宋" w:hAnsi="仿宋" w:eastAsia="仿宋"/>
          <w:sz w:val="32"/>
          <w:szCs w:val="32"/>
          <w:lang w:val="en-US" w:eastAsia="zh-CN"/>
        </w:rPr>
        <w:t>增长11.33%</w:t>
      </w:r>
      <w:r>
        <w:rPr>
          <w:rFonts w:hint="eastAsia" w:ascii="仿宋" w:hAnsi="仿宋" w:eastAsia="仿宋"/>
          <w:sz w:val="32"/>
          <w:szCs w:val="32"/>
        </w:rPr>
        <w:t>。主要原因</w:t>
      </w:r>
      <w:r>
        <w:rPr>
          <w:rFonts w:hint="eastAsia" w:ascii="仿宋" w:hAnsi="仿宋" w:eastAsia="仿宋"/>
          <w:sz w:val="32"/>
          <w:szCs w:val="32"/>
          <w:lang w:val="en-US" w:eastAsia="zh-CN"/>
        </w:rPr>
        <w:t>为人员经费及项目经费的增长</w:t>
      </w:r>
      <w:r>
        <w:rPr>
          <w:rFonts w:hint="eastAsia" w:ascii="仿宋" w:hAnsi="仿宋" w:eastAsia="仿宋"/>
          <w:sz w:val="32"/>
          <w:szCs w:val="32"/>
        </w:rPr>
        <w:t>。</w:t>
      </w:r>
    </w:p>
    <w:p w14:paraId="5393AE50">
      <w:pPr>
        <w:spacing w:line="240" w:lineRule="auto"/>
        <w:ind w:firstLine="0" w:firstLineChars="0"/>
        <w:jc w:val="center"/>
        <w:rPr>
          <w:rFonts w:ascii="仿宋" w:hAnsi="仿宋" w:eastAsia="仿宋"/>
          <w:sz w:val="32"/>
          <w:szCs w:val="32"/>
        </w:rPr>
      </w:pPr>
      <w:r>
        <w:rPr>
          <w:rFonts w:hint="eastAsia" w:ascii="仿宋" w:hAnsi="仿宋" w:eastAsia="仿宋"/>
          <w:sz w:val="32"/>
          <w:szCs w:val="32"/>
        </w:rPr>
        <w:t>（图5：一般公共预算财政拨款支出决算变动情况）</w:t>
      </w:r>
    </w:p>
    <w:p w14:paraId="174C0204">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14:paraId="4A040E4F">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408.69</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val="0"/>
          <w:bCs/>
          <w:sz w:val="32"/>
          <w:szCs w:val="32"/>
        </w:rPr>
        <w:t>公共安全支出</w:t>
      </w:r>
      <w:r>
        <w:rPr>
          <w:rFonts w:hint="eastAsia" w:ascii="仿宋" w:hAnsi="仿宋" w:eastAsia="仿宋"/>
          <w:b w:val="0"/>
          <w:bCs/>
          <w:sz w:val="32"/>
          <w:szCs w:val="32"/>
          <w:lang w:val="en-US" w:eastAsia="zh-CN"/>
        </w:rPr>
        <w:t>386.86</w:t>
      </w:r>
      <w:r>
        <w:rPr>
          <w:rFonts w:hint="eastAsia" w:ascii="仿宋" w:hAnsi="仿宋" w:eastAsia="仿宋"/>
          <w:b w:val="0"/>
          <w:bCs/>
          <w:sz w:val="32"/>
          <w:szCs w:val="32"/>
        </w:rPr>
        <w:t>万元，占</w:t>
      </w:r>
      <w:r>
        <w:rPr>
          <w:rFonts w:hint="eastAsia" w:ascii="仿宋" w:hAnsi="仿宋" w:eastAsia="仿宋"/>
          <w:b w:val="0"/>
          <w:bCs/>
          <w:sz w:val="32"/>
          <w:szCs w:val="32"/>
          <w:lang w:val="en-US" w:eastAsia="zh-CN"/>
        </w:rPr>
        <w:t>94.66</w:t>
      </w:r>
      <w:r>
        <w:rPr>
          <w:rFonts w:hint="eastAsia" w:ascii="仿宋" w:hAnsi="仿宋" w:eastAsia="仿宋"/>
          <w:b w:val="0"/>
          <w:bCs/>
          <w:sz w:val="32"/>
          <w:szCs w:val="32"/>
        </w:rPr>
        <w:t>%；社会保障和就业支出</w:t>
      </w:r>
      <w:r>
        <w:rPr>
          <w:rFonts w:hint="eastAsia" w:ascii="仿宋" w:hAnsi="仿宋" w:eastAsia="仿宋"/>
          <w:b w:val="0"/>
          <w:bCs/>
          <w:sz w:val="32"/>
          <w:szCs w:val="32"/>
          <w:lang w:val="en-US" w:eastAsia="zh-CN"/>
        </w:rPr>
        <w:t>10.36</w:t>
      </w:r>
      <w:r>
        <w:rPr>
          <w:rFonts w:hint="eastAsia" w:ascii="仿宋" w:hAnsi="仿宋" w:eastAsia="仿宋"/>
          <w:b w:val="0"/>
          <w:bCs/>
          <w:sz w:val="32"/>
          <w:szCs w:val="32"/>
        </w:rPr>
        <w:t>万元，占</w:t>
      </w:r>
      <w:r>
        <w:rPr>
          <w:rFonts w:hint="eastAsia" w:ascii="仿宋" w:hAnsi="仿宋" w:eastAsia="仿宋"/>
          <w:b w:val="0"/>
          <w:bCs/>
          <w:sz w:val="32"/>
          <w:szCs w:val="32"/>
          <w:lang w:val="en-US" w:eastAsia="zh-CN"/>
        </w:rPr>
        <w:t>2.53</w:t>
      </w:r>
      <w:r>
        <w:rPr>
          <w:rFonts w:ascii="仿宋" w:hAnsi="仿宋" w:eastAsia="仿宋"/>
          <w:b w:val="0"/>
          <w:bCs/>
          <w:sz w:val="32"/>
          <w:szCs w:val="32"/>
        </w:rPr>
        <w:t>%</w:t>
      </w:r>
      <w:r>
        <w:rPr>
          <w:rFonts w:hint="eastAsia" w:ascii="仿宋" w:hAnsi="仿宋" w:eastAsia="仿宋"/>
          <w:b w:val="0"/>
          <w:bCs/>
          <w:sz w:val="32"/>
          <w:szCs w:val="32"/>
        </w:rPr>
        <w:t>；卫生健康支出</w:t>
      </w:r>
      <w:r>
        <w:rPr>
          <w:rFonts w:hint="eastAsia" w:ascii="仿宋" w:hAnsi="仿宋" w:eastAsia="仿宋"/>
          <w:b w:val="0"/>
          <w:bCs/>
          <w:sz w:val="32"/>
          <w:szCs w:val="32"/>
          <w:lang w:val="en-US" w:eastAsia="zh-CN"/>
        </w:rPr>
        <w:t>3.89</w:t>
      </w:r>
      <w:r>
        <w:rPr>
          <w:rFonts w:hint="eastAsia" w:ascii="仿宋" w:hAnsi="仿宋" w:eastAsia="仿宋"/>
          <w:b w:val="0"/>
          <w:bCs/>
          <w:sz w:val="32"/>
          <w:szCs w:val="32"/>
        </w:rPr>
        <w:t>万元，占</w:t>
      </w:r>
      <w:r>
        <w:rPr>
          <w:rFonts w:hint="eastAsia" w:ascii="仿宋" w:hAnsi="仿宋" w:eastAsia="仿宋"/>
          <w:b w:val="0"/>
          <w:bCs/>
          <w:sz w:val="32"/>
          <w:szCs w:val="32"/>
          <w:lang w:val="en-US" w:eastAsia="zh-CN"/>
        </w:rPr>
        <w:t>0.95</w:t>
      </w:r>
      <w:r>
        <w:rPr>
          <w:rFonts w:ascii="仿宋" w:hAnsi="仿宋" w:eastAsia="仿宋"/>
          <w:b w:val="0"/>
          <w:bCs/>
          <w:sz w:val="32"/>
          <w:szCs w:val="32"/>
        </w:rPr>
        <w:t>%</w:t>
      </w:r>
      <w:r>
        <w:rPr>
          <w:rFonts w:hint="eastAsia" w:ascii="仿宋" w:hAnsi="仿宋" w:eastAsia="仿宋"/>
          <w:b w:val="0"/>
          <w:bCs/>
          <w:sz w:val="32"/>
          <w:szCs w:val="32"/>
        </w:rPr>
        <w:t>；住房保障支出</w:t>
      </w:r>
      <w:r>
        <w:rPr>
          <w:rFonts w:hint="eastAsia" w:ascii="仿宋" w:hAnsi="仿宋" w:eastAsia="仿宋"/>
          <w:b w:val="0"/>
          <w:bCs/>
          <w:sz w:val="32"/>
          <w:szCs w:val="32"/>
          <w:lang w:val="en-US" w:eastAsia="zh-CN"/>
        </w:rPr>
        <w:t>7.57</w:t>
      </w:r>
      <w:r>
        <w:rPr>
          <w:rFonts w:hint="eastAsia" w:ascii="仿宋" w:hAnsi="仿宋" w:eastAsia="仿宋"/>
          <w:b w:val="0"/>
          <w:bCs/>
          <w:sz w:val="32"/>
          <w:szCs w:val="32"/>
        </w:rPr>
        <w:t>万元，占</w:t>
      </w:r>
      <w:r>
        <w:rPr>
          <w:rFonts w:hint="eastAsia" w:ascii="仿宋" w:hAnsi="仿宋" w:eastAsia="仿宋"/>
          <w:b w:val="0"/>
          <w:bCs/>
          <w:sz w:val="32"/>
          <w:szCs w:val="32"/>
          <w:lang w:val="en-US" w:eastAsia="zh-CN"/>
        </w:rPr>
        <w:t>1.86</w:t>
      </w:r>
      <w:r>
        <w:rPr>
          <w:rFonts w:ascii="仿宋" w:hAnsi="仿宋" w:eastAsia="仿宋"/>
          <w:b w:val="0"/>
          <w:bCs/>
          <w:sz w:val="32"/>
          <w:szCs w:val="32"/>
        </w:rPr>
        <w:t>%</w:t>
      </w:r>
      <w:r>
        <w:rPr>
          <w:rFonts w:hint="eastAsia" w:ascii="仿宋" w:hAnsi="仿宋" w:eastAsia="仿宋"/>
          <w:b w:val="0"/>
          <w:bCs/>
          <w:sz w:val="32"/>
          <w:szCs w:val="32"/>
        </w:rPr>
        <w:t>。</w:t>
      </w:r>
    </w:p>
    <w:p w14:paraId="110BED5B">
      <w:pPr>
        <w:spacing w:line="240" w:lineRule="auto"/>
        <w:ind w:firstLine="0" w:firstLineChars="0"/>
        <w:jc w:val="center"/>
      </w:pPr>
      <w:r>
        <w:drawing>
          <wp:anchor distT="0" distB="0" distL="114300" distR="114300" simplePos="0" relativeHeight="251664384" behindDoc="0" locked="0" layoutInCell="1" allowOverlap="1">
            <wp:simplePos x="0" y="0"/>
            <wp:positionH relativeFrom="column">
              <wp:posOffset>462280</wp:posOffset>
            </wp:positionH>
            <wp:positionV relativeFrom="paragraph">
              <wp:posOffset>92075</wp:posOffset>
            </wp:positionV>
            <wp:extent cx="4572635" cy="2397125"/>
            <wp:effectExtent l="4445" t="4445" r="10160" b="6350"/>
            <wp:wrapTopAndBottom/>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 w:hAnsi="仿宋" w:eastAsia="仿宋"/>
          <w:sz w:val="32"/>
          <w:szCs w:val="32"/>
        </w:rPr>
        <w:t>（图6：一般公共预算财政拨款支出决算结构）</w:t>
      </w:r>
    </w:p>
    <w:p w14:paraId="720BD948">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14:paraId="32854331">
      <w:pPr>
        <w:spacing w:line="600" w:lineRule="exact"/>
        <w:ind w:firstLine="643" w:firstLineChars="200"/>
        <w:outlineLvl w:val="2"/>
        <w:rPr>
          <w:rFonts w:ascii="仿宋" w:hAnsi="仿宋" w:eastAsia="仿宋"/>
          <w:sz w:val="32"/>
          <w:szCs w:val="32"/>
        </w:rPr>
      </w:pPr>
      <w:bookmarkStart w:id="31" w:name="_Toc15377213"/>
      <w:bookmarkStart w:id="32" w:name="_Toc15378460"/>
      <w:bookmarkStart w:id="33" w:name="_Toc15377444"/>
      <w:r>
        <w:rPr>
          <w:rFonts w:hint="eastAsia" w:ascii="仿宋" w:hAnsi="仿宋" w:eastAsia="仿宋"/>
          <w:b/>
          <w:sz w:val="32"/>
          <w:szCs w:val="32"/>
        </w:rPr>
        <w:t>202</w:t>
      </w:r>
      <w:r>
        <w:rPr>
          <w:rFonts w:hint="eastAsia" w:ascii="仿宋" w:hAnsi="仿宋" w:eastAsia="仿宋"/>
          <w:b/>
          <w:sz w:val="32"/>
          <w:szCs w:val="32"/>
          <w:lang w:val="en-US" w:eastAsia="zh-CN"/>
        </w:rPr>
        <w:t>3</w:t>
      </w:r>
      <w:r>
        <w:rPr>
          <w:rFonts w:hint="eastAsia" w:ascii="仿宋" w:hAnsi="仿宋" w:eastAsia="仿宋"/>
          <w:b/>
          <w:sz w:val="32"/>
          <w:szCs w:val="32"/>
        </w:rPr>
        <w:t>年一般公共预算支出决算数为</w:t>
      </w:r>
      <w:r>
        <w:rPr>
          <w:rFonts w:hint="eastAsia" w:ascii="仿宋" w:hAnsi="仿宋" w:eastAsia="仿宋"/>
          <w:b/>
          <w:sz w:val="32"/>
          <w:szCs w:val="32"/>
          <w:lang w:val="en-US" w:eastAsia="zh-CN"/>
        </w:rPr>
        <w:t>408.69</w:t>
      </w:r>
      <w:r>
        <w:rPr>
          <w:rFonts w:hint="eastAsia" w:ascii="仿宋" w:hAnsi="仿宋" w:eastAsia="仿宋"/>
          <w:b/>
          <w:sz w:val="32"/>
          <w:szCs w:val="32"/>
        </w:rPr>
        <w:t>万元</w:t>
      </w:r>
      <w:r>
        <w:rPr>
          <w:rFonts w:hint="eastAsia" w:ascii="仿宋" w:hAnsi="仿宋" w:eastAsia="仿宋"/>
          <w:sz w:val="32"/>
          <w:szCs w:val="32"/>
        </w:rPr>
        <w:t>，</w:t>
      </w:r>
      <w:r>
        <w:rPr>
          <w:rStyle w:val="17"/>
          <w:rFonts w:hint="eastAsia" w:ascii="仿宋" w:hAnsi="仿宋" w:eastAsia="仿宋"/>
          <w:bCs/>
          <w:sz w:val="32"/>
          <w:szCs w:val="32"/>
        </w:rPr>
        <w:t>完成预算100</w:t>
      </w:r>
      <w:r>
        <w:rPr>
          <w:rStyle w:val="17"/>
          <w:rFonts w:ascii="仿宋" w:hAnsi="仿宋" w:eastAsia="仿宋"/>
          <w:bCs/>
          <w:sz w:val="32"/>
          <w:szCs w:val="32"/>
        </w:rPr>
        <w:t>%</w:t>
      </w:r>
      <w:r>
        <w:rPr>
          <w:rStyle w:val="17"/>
          <w:rFonts w:hint="eastAsia" w:ascii="仿宋" w:hAnsi="仿宋" w:eastAsia="仿宋"/>
          <w:bCs/>
          <w:sz w:val="32"/>
          <w:szCs w:val="32"/>
        </w:rPr>
        <w:t>。其中：</w:t>
      </w:r>
      <w:bookmarkEnd w:id="31"/>
      <w:bookmarkEnd w:id="32"/>
      <w:bookmarkEnd w:id="33"/>
    </w:p>
    <w:p w14:paraId="0361936C">
      <w:pPr>
        <w:spacing w:line="600" w:lineRule="exact"/>
        <w:ind w:firstLine="640" w:firstLineChars="200"/>
        <w:rPr>
          <w:b w:val="0"/>
          <w:bCs w:val="0"/>
        </w:rPr>
      </w:pPr>
      <w:r>
        <w:rPr>
          <w:rStyle w:val="17"/>
          <w:rFonts w:hint="eastAsia" w:ascii="仿宋" w:hAnsi="仿宋" w:eastAsia="仿宋"/>
          <w:b w:val="0"/>
          <w:bCs w:val="0"/>
          <w:sz w:val="32"/>
          <w:szCs w:val="32"/>
        </w:rPr>
        <w:t>1</w:t>
      </w:r>
      <w:r>
        <w:rPr>
          <w:rStyle w:val="17"/>
          <w:rFonts w:ascii="仿宋" w:hAnsi="仿宋" w:eastAsia="仿宋"/>
          <w:b w:val="0"/>
          <w:bCs w:val="0"/>
          <w:sz w:val="32"/>
          <w:szCs w:val="32"/>
        </w:rPr>
        <w:t>.</w:t>
      </w:r>
      <w:r>
        <w:rPr>
          <w:rStyle w:val="17"/>
          <w:rFonts w:hint="eastAsia" w:ascii="仿宋" w:hAnsi="仿宋" w:eastAsia="仿宋"/>
          <w:b w:val="0"/>
          <w:bCs w:val="0"/>
          <w:sz w:val="32"/>
          <w:szCs w:val="32"/>
        </w:rPr>
        <w:t>公共安全支出（204）公安（02）行政运行（01）</w:t>
      </w:r>
      <w:r>
        <w:rPr>
          <w:rStyle w:val="17"/>
          <w:rFonts w:ascii="仿宋" w:hAnsi="仿宋" w:eastAsia="仿宋"/>
          <w:b w:val="0"/>
          <w:bCs w:val="0"/>
          <w:sz w:val="32"/>
          <w:szCs w:val="32"/>
        </w:rPr>
        <w:t xml:space="preserve">: </w:t>
      </w:r>
      <w:r>
        <w:rPr>
          <w:rStyle w:val="17"/>
          <w:rFonts w:hint="eastAsia" w:ascii="仿宋" w:hAnsi="仿宋" w:eastAsia="仿宋"/>
          <w:b w:val="0"/>
          <w:bCs w:val="0"/>
          <w:sz w:val="32"/>
          <w:szCs w:val="32"/>
        </w:rPr>
        <w:t>支出决算为</w:t>
      </w:r>
      <w:r>
        <w:rPr>
          <w:rStyle w:val="17"/>
          <w:rFonts w:hint="eastAsia" w:ascii="仿宋" w:hAnsi="仿宋" w:eastAsia="仿宋"/>
          <w:b w:val="0"/>
          <w:bCs w:val="0"/>
          <w:sz w:val="32"/>
          <w:szCs w:val="32"/>
          <w:lang w:val="en-US" w:eastAsia="zh-CN"/>
        </w:rPr>
        <w:t>111.77</w:t>
      </w:r>
      <w:r>
        <w:rPr>
          <w:rStyle w:val="17"/>
          <w:rFonts w:hint="eastAsia" w:ascii="仿宋" w:hAnsi="仿宋" w:eastAsia="仿宋"/>
          <w:b w:val="0"/>
          <w:bCs w:val="0"/>
          <w:sz w:val="32"/>
          <w:szCs w:val="32"/>
        </w:rPr>
        <w:t>万元，完成预算100</w:t>
      </w:r>
      <w:r>
        <w:rPr>
          <w:rStyle w:val="17"/>
          <w:rFonts w:ascii="仿宋" w:hAnsi="仿宋" w:eastAsia="仿宋"/>
          <w:b w:val="0"/>
          <w:bCs w:val="0"/>
          <w:sz w:val="32"/>
          <w:szCs w:val="32"/>
        </w:rPr>
        <w:t>%</w:t>
      </w:r>
      <w:r>
        <w:rPr>
          <w:rStyle w:val="17"/>
          <w:rFonts w:hint="eastAsia" w:ascii="仿宋" w:hAnsi="仿宋" w:eastAsia="仿宋"/>
          <w:b w:val="0"/>
          <w:bCs w:val="0"/>
          <w:sz w:val="32"/>
          <w:szCs w:val="32"/>
        </w:rPr>
        <w:t>。</w:t>
      </w:r>
    </w:p>
    <w:p w14:paraId="4ECDE995">
      <w:pPr>
        <w:spacing w:line="600" w:lineRule="exact"/>
        <w:ind w:firstLine="640" w:firstLineChars="200"/>
        <w:rPr>
          <w:rStyle w:val="17"/>
          <w:rFonts w:ascii="仿宋" w:hAnsi="仿宋" w:eastAsia="仿宋"/>
          <w:b w:val="0"/>
          <w:bCs w:val="0"/>
          <w:sz w:val="32"/>
          <w:szCs w:val="32"/>
        </w:rPr>
      </w:pPr>
      <w:r>
        <w:rPr>
          <w:rStyle w:val="17"/>
          <w:rFonts w:hint="eastAsia" w:ascii="仿宋" w:hAnsi="仿宋" w:eastAsia="仿宋"/>
          <w:b w:val="0"/>
          <w:bCs w:val="0"/>
          <w:sz w:val="32"/>
          <w:szCs w:val="32"/>
        </w:rPr>
        <w:t>2</w:t>
      </w:r>
      <w:r>
        <w:rPr>
          <w:rStyle w:val="17"/>
          <w:rFonts w:ascii="仿宋" w:hAnsi="仿宋" w:eastAsia="仿宋"/>
          <w:b w:val="0"/>
          <w:bCs w:val="0"/>
          <w:sz w:val="32"/>
          <w:szCs w:val="32"/>
        </w:rPr>
        <w:t>.</w:t>
      </w:r>
      <w:r>
        <w:rPr>
          <w:rStyle w:val="17"/>
          <w:rFonts w:hint="eastAsia" w:ascii="仿宋" w:hAnsi="仿宋" w:eastAsia="仿宋"/>
          <w:b w:val="0"/>
          <w:bCs w:val="0"/>
          <w:sz w:val="32"/>
          <w:szCs w:val="32"/>
        </w:rPr>
        <w:t>公共安全支出（204）公安（02）一般行政管理事务（02）</w:t>
      </w:r>
      <w:r>
        <w:rPr>
          <w:rStyle w:val="17"/>
          <w:rFonts w:ascii="仿宋" w:hAnsi="仿宋" w:eastAsia="仿宋"/>
          <w:b w:val="0"/>
          <w:bCs w:val="0"/>
          <w:sz w:val="32"/>
          <w:szCs w:val="32"/>
        </w:rPr>
        <w:t xml:space="preserve">: </w:t>
      </w:r>
      <w:r>
        <w:rPr>
          <w:rStyle w:val="17"/>
          <w:rFonts w:hint="eastAsia" w:ascii="仿宋" w:hAnsi="仿宋" w:eastAsia="仿宋"/>
          <w:b w:val="0"/>
          <w:bCs w:val="0"/>
          <w:sz w:val="32"/>
          <w:szCs w:val="32"/>
        </w:rPr>
        <w:t>支出决算为</w:t>
      </w:r>
      <w:r>
        <w:rPr>
          <w:rStyle w:val="17"/>
          <w:rFonts w:hint="eastAsia" w:ascii="仿宋" w:hAnsi="仿宋" w:eastAsia="仿宋"/>
          <w:b w:val="0"/>
          <w:bCs w:val="0"/>
          <w:sz w:val="32"/>
          <w:szCs w:val="32"/>
          <w:lang w:val="en-US" w:eastAsia="zh-CN"/>
        </w:rPr>
        <w:t>275.09</w:t>
      </w:r>
      <w:r>
        <w:rPr>
          <w:rStyle w:val="17"/>
          <w:rFonts w:hint="eastAsia" w:ascii="仿宋" w:hAnsi="仿宋" w:eastAsia="仿宋"/>
          <w:b w:val="0"/>
          <w:bCs w:val="0"/>
          <w:sz w:val="32"/>
          <w:szCs w:val="32"/>
        </w:rPr>
        <w:t>万元，完成预算100</w:t>
      </w:r>
      <w:r>
        <w:rPr>
          <w:rStyle w:val="17"/>
          <w:rFonts w:ascii="仿宋" w:hAnsi="仿宋" w:eastAsia="仿宋"/>
          <w:b w:val="0"/>
          <w:bCs w:val="0"/>
          <w:sz w:val="32"/>
          <w:szCs w:val="32"/>
        </w:rPr>
        <w:t>%</w:t>
      </w:r>
      <w:r>
        <w:rPr>
          <w:rStyle w:val="17"/>
          <w:rFonts w:hint="eastAsia" w:ascii="仿宋" w:hAnsi="仿宋" w:eastAsia="仿宋"/>
          <w:b w:val="0"/>
          <w:bCs w:val="0"/>
          <w:sz w:val="32"/>
          <w:szCs w:val="32"/>
        </w:rPr>
        <w:t>。</w:t>
      </w:r>
    </w:p>
    <w:p w14:paraId="05D8BBF8">
      <w:pPr>
        <w:spacing w:line="600" w:lineRule="exact"/>
        <w:ind w:firstLine="640" w:firstLineChars="200"/>
        <w:rPr>
          <w:rStyle w:val="17"/>
          <w:rFonts w:ascii="仿宋" w:hAnsi="仿宋" w:eastAsia="仿宋"/>
          <w:b w:val="0"/>
          <w:bCs w:val="0"/>
          <w:sz w:val="32"/>
          <w:szCs w:val="32"/>
        </w:rPr>
      </w:pPr>
      <w:r>
        <w:rPr>
          <w:rStyle w:val="17"/>
          <w:rFonts w:hint="eastAsia" w:ascii="仿宋" w:hAnsi="仿宋" w:eastAsia="仿宋"/>
          <w:b w:val="0"/>
          <w:bCs w:val="0"/>
          <w:sz w:val="32"/>
          <w:szCs w:val="32"/>
          <w:lang w:val="en-US" w:eastAsia="zh-CN"/>
        </w:rPr>
        <w:t>3</w:t>
      </w:r>
      <w:r>
        <w:rPr>
          <w:rStyle w:val="17"/>
          <w:rFonts w:ascii="仿宋" w:hAnsi="仿宋" w:eastAsia="仿宋"/>
          <w:b w:val="0"/>
          <w:bCs w:val="0"/>
          <w:sz w:val="32"/>
          <w:szCs w:val="32"/>
        </w:rPr>
        <w:t>.</w:t>
      </w:r>
      <w:r>
        <w:rPr>
          <w:rStyle w:val="17"/>
          <w:rFonts w:hint="eastAsia" w:ascii="仿宋" w:hAnsi="仿宋" w:eastAsia="仿宋"/>
          <w:b w:val="0"/>
          <w:bCs w:val="0"/>
          <w:sz w:val="32"/>
          <w:szCs w:val="32"/>
        </w:rPr>
        <w:t>社会保障和就业</w:t>
      </w:r>
      <w:r>
        <w:rPr>
          <w:rStyle w:val="17"/>
          <w:rFonts w:hint="eastAsia" w:ascii="仿宋" w:hAnsi="仿宋" w:eastAsia="仿宋"/>
          <w:b w:val="0"/>
          <w:bCs w:val="0"/>
          <w:sz w:val="32"/>
          <w:szCs w:val="32"/>
          <w:lang w:val="en-US" w:eastAsia="zh-CN"/>
        </w:rPr>
        <w:t>支出</w:t>
      </w:r>
      <w:r>
        <w:rPr>
          <w:rStyle w:val="17"/>
          <w:rFonts w:hint="eastAsia" w:ascii="仿宋" w:hAnsi="仿宋" w:eastAsia="仿宋"/>
          <w:b w:val="0"/>
          <w:bCs w:val="0"/>
          <w:sz w:val="32"/>
          <w:szCs w:val="32"/>
        </w:rPr>
        <w:t>（208）行政事业单位养老支出（05）机关事业单位基本养老保险缴费支出（05）</w:t>
      </w:r>
      <w:r>
        <w:rPr>
          <w:rStyle w:val="17"/>
          <w:rFonts w:ascii="仿宋" w:hAnsi="仿宋" w:eastAsia="仿宋"/>
          <w:b w:val="0"/>
          <w:bCs w:val="0"/>
          <w:sz w:val="32"/>
          <w:szCs w:val="32"/>
        </w:rPr>
        <w:t xml:space="preserve">: </w:t>
      </w:r>
      <w:r>
        <w:rPr>
          <w:rStyle w:val="17"/>
          <w:rFonts w:hint="eastAsia" w:ascii="仿宋" w:hAnsi="仿宋" w:eastAsia="仿宋"/>
          <w:b w:val="0"/>
          <w:bCs w:val="0"/>
          <w:sz w:val="32"/>
          <w:szCs w:val="32"/>
        </w:rPr>
        <w:t>支出决算为</w:t>
      </w:r>
      <w:r>
        <w:rPr>
          <w:rStyle w:val="17"/>
          <w:rFonts w:hint="eastAsia" w:ascii="仿宋" w:hAnsi="仿宋" w:eastAsia="仿宋"/>
          <w:b w:val="0"/>
          <w:bCs w:val="0"/>
          <w:sz w:val="32"/>
          <w:szCs w:val="32"/>
          <w:lang w:val="en-US" w:eastAsia="zh-CN"/>
        </w:rPr>
        <w:t>10.36</w:t>
      </w:r>
      <w:r>
        <w:rPr>
          <w:rStyle w:val="17"/>
          <w:rFonts w:hint="eastAsia" w:ascii="仿宋" w:hAnsi="仿宋" w:eastAsia="仿宋"/>
          <w:b w:val="0"/>
          <w:bCs w:val="0"/>
          <w:sz w:val="32"/>
          <w:szCs w:val="32"/>
        </w:rPr>
        <w:t>万元，完成预算100</w:t>
      </w:r>
      <w:r>
        <w:rPr>
          <w:rStyle w:val="17"/>
          <w:rFonts w:ascii="仿宋" w:hAnsi="仿宋" w:eastAsia="仿宋"/>
          <w:b w:val="0"/>
          <w:bCs w:val="0"/>
          <w:sz w:val="32"/>
          <w:szCs w:val="32"/>
        </w:rPr>
        <w:t>%</w:t>
      </w:r>
      <w:r>
        <w:rPr>
          <w:rStyle w:val="17"/>
          <w:rFonts w:hint="eastAsia" w:ascii="仿宋" w:hAnsi="仿宋" w:eastAsia="仿宋"/>
          <w:b w:val="0"/>
          <w:bCs w:val="0"/>
          <w:sz w:val="32"/>
          <w:szCs w:val="32"/>
        </w:rPr>
        <w:t>。</w:t>
      </w:r>
    </w:p>
    <w:p w14:paraId="07828E54">
      <w:pPr>
        <w:spacing w:line="600" w:lineRule="exact"/>
        <w:ind w:firstLine="640" w:firstLineChars="200"/>
        <w:rPr>
          <w:rFonts w:ascii="仿宋" w:hAnsi="仿宋" w:eastAsia="仿宋"/>
          <w:b w:val="0"/>
          <w:bCs w:val="0"/>
          <w:sz w:val="32"/>
          <w:szCs w:val="32"/>
        </w:rPr>
      </w:pPr>
      <w:r>
        <w:rPr>
          <w:rStyle w:val="17"/>
          <w:rFonts w:hint="eastAsia" w:ascii="仿宋" w:hAnsi="仿宋" w:eastAsia="仿宋"/>
          <w:b w:val="0"/>
          <w:bCs w:val="0"/>
          <w:sz w:val="32"/>
          <w:szCs w:val="32"/>
          <w:lang w:val="en-US" w:eastAsia="zh-CN"/>
        </w:rPr>
        <w:t>4</w:t>
      </w:r>
      <w:r>
        <w:rPr>
          <w:rStyle w:val="17"/>
          <w:rFonts w:ascii="仿宋" w:hAnsi="仿宋" w:eastAsia="仿宋"/>
          <w:b w:val="0"/>
          <w:bCs w:val="0"/>
          <w:sz w:val="32"/>
          <w:szCs w:val="32"/>
        </w:rPr>
        <w:t>.</w:t>
      </w:r>
      <w:r>
        <w:rPr>
          <w:rFonts w:hint="eastAsia" w:ascii="仿宋" w:hAnsi="仿宋" w:eastAsia="仿宋"/>
          <w:b w:val="0"/>
          <w:bCs w:val="0"/>
          <w:sz w:val="32"/>
          <w:szCs w:val="32"/>
        </w:rPr>
        <w:t>卫生健康</w:t>
      </w:r>
      <w:r>
        <w:rPr>
          <w:rStyle w:val="17"/>
          <w:rFonts w:hint="eastAsia" w:ascii="仿宋" w:hAnsi="仿宋" w:eastAsia="仿宋"/>
          <w:b w:val="0"/>
          <w:bCs w:val="0"/>
          <w:sz w:val="32"/>
          <w:szCs w:val="32"/>
        </w:rPr>
        <w:t>（210）行政事业单位医疗（11）行政单位医疗（01）</w:t>
      </w:r>
      <w:r>
        <w:rPr>
          <w:rStyle w:val="17"/>
          <w:rFonts w:ascii="仿宋" w:hAnsi="仿宋" w:eastAsia="仿宋"/>
          <w:b w:val="0"/>
          <w:bCs w:val="0"/>
          <w:sz w:val="32"/>
          <w:szCs w:val="32"/>
        </w:rPr>
        <w:t>:</w:t>
      </w:r>
      <w:r>
        <w:rPr>
          <w:rStyle w:val="17"/>
          <w:rFonts w:hint="eastAsia" w:ascii="仿宋" w:hAnsi="仿宋" w:eastAsia="仿宋"/>
          <w:b w:val="0"/>
          <w:bCs w:val="0"/>
          <w:sz w:val="32"/>
          <w:szCs w:val="32"/>
        </w:rPr>
        <w:t>支出决算为</w:t>
      </w:r>
      <w:r>
        <w:rPr>
          <w:rStyle w:val="17"/>
          <w:rFonts w:hint="eastAsia" w:ascii="仿宋" w:hAnsi="仿宋" w:eastAsia="仿宋"/>
          <w:b w:val="0"/>
          <w:bCs w:val="0"/>
          <w:sz w:val="32"/>
          <w:szCs w:val="32"/>
          <w:lang w:val="en-US" w:eastAsia="zh-CN"/>
        </w:rPr>
        <w:t>3.89</w:t>
      </w:r>
      <w:r>
        <w:rPr>
          <w:rStyle w:val="17"/>
          <w:rFonts w:hint="eastAsia" w:ascii="仿宋" w:hAnsi="仿宋" w:eastAsia="仿宋"/>
          <w:b w:val="0"/>
          <w:bCs w:val="0"/>
          <w:sz w:val="32"/>
          <w:szCs w:val="32"/>
        </w:rPr>
        <w:t>万元，完成预算100</w:t>
      </w:r>
      <w:r>
        <w:rPr>
          <w:rStyle w:val="17"/>
          <w:rFonts w:ascii="仿宋" w:hAnsi="仿宋" w:eastAsia="仿宋"/>
          <w:b w:val="0"/>
          <w:bCs w:val="0"/>
          <w:sz w:val="32"/>
          <w:szCs w:val="32"/>
        </w:rPr>
        <w:t>%</w:t>
      </w:r>
      <w:r>
        <w:rPr>
          <w:rStyle w:val="17"/>
          <w:rFonts w:hint="eastAsia" w:ascii="仿宋" w:hAnsi="仿宋" w:eastAsia="仿宋"/>
          <w:b w:val="0"/>
          <w:bCs w:val="0"/>
          <w:sz w:val="32"/>
          <w:szCs w:val="32"/>
        </w:rPr>
        <w:t>。</w:t>
      </w:r>
    </w:p>
    <w:p w14:paraId="4C27EA0F">
      <w:pPr>
        <w:spacing w:line="600" w:lineRule="exact"/>
        <w:ind w:firstLine="640" w:firstLineChars="200"/>
        <w:rPr>
          <w:rFonts w:ascii="仿宋" w:hAnsi="仿宋" w:eastAsia="仿宋"/>
          <w:b/>
          <w:sz w:val="32"/>
          <w:szCs w:val="32"/>
        </w:rPr>
      </w:pPr>
      <w:r>
        <w:rPr>
          <w:rStyle w:val="17"/>
          <w:rFonts w:hint="eastAsia" w:ascii="仿宋" w:hAnsi="仿宋" w:eastAsia="仿宋"/>
          <w:b w:val="0"/>
          <w:bCs w:val="0"/>
          <w:sz w:val="32"/>
          <w:szCs w:val="32"/>
          <w:lang w:val="en-US" w:eastAsia="zh-CN"/>
        </w:rPr>
        <w:t>5</w:t>
      </w:r>
      <w:r>
        <w:rPr>
          <w:rStyle w:val="17"/>
          <w:rFonts w:ascii="仿宋" w:hAnsi="仿宋" w:eastAsia="仿宋"/>
          <w:b w:val="0"/>
          <w:bCs w:val="0"/>
          <w:sz w:val="32"/>
          <w:szCs w:val="32"/>
        </w:rPr>
        <w:t>.</w:t>
      </w:r>
      <w:r>
        <w:rPr>
          <w:rFonts w:hint="eastAsia" w:ascii="仿宋" w:hAnsi="仿宋" w:eastAsia="仿宋"/>
          <w:b w:val="0"/>
          <w:bCs w:val="0"/>
          <w:sz w:val="32"/>
          <w:szCs w:val="32"/>
        </w:rPr>
        <w:t>住房保障支出</w:t>
      </w:r>
      <w:r>
        <w:rPr>
          <w:rStyle w:val="17"/>
          <w:rFonts w:hint="eastAsia" w:ascii="仿宋" w:hAnsi="仿宋" w:eastAsia="仿宋"/>
          <w:b w:val="0"/>
          <w:bCs w:val="0"/>
          <w:sz w:val="32"/>
          <w:szCs w:val="32"/>
        </w:rPr>
        <w:t>（221）住房改革支出（02）住房公积金（01）</w:t>
      </w:r>
      <w:r>
        <w:rPr>
          <w:rStyle w:val="17"/>
          <w:rFonts w:ascii="仿宋" w:hAnsi="仿宋" w:eastAsia="仿宋"/>
          <w:b w:val="0"/>
          <w:bCs w:val="0"/>
          <w:sz w:val="32"/>
          <w:szCs w:val="32"/>
        </w:rPr>
        <w:t>:</w:t>
      </w:r>
      <w:r>
        <w:rPr>
          <w:rStyle w:val="17"/>
          <w:rFonts w:hint="eastAsia" w:ascii="仿宋" w:hAnsi="仿宋" w:eastAsia="仿宋"/>
          <w:b w:val="0"/>
          <w:bCs w:val="0"/>
          <w:sz w:val="32"/>
          <w:szCs w:val="32"/>
        </w:rPr>
        <w:t>支出决算为</w:t>
      </w:r>
      <w:r>
        <w:rPr>
          <w:rStyle w:val="17"/>
          <w:rFonts w:hint="eastAsia" w:ascii="仿宋" w:hAnsi="仿宋" w:eastAsia="仿宋"/>
          <w:b w:val="0"/>
          <w:bCs w:val="0"/>
          <w:sz w:val="32"/>
          <w:szCs w:val="32"/>
          <w:lang w:val="en-US" w:eastAsia="zh-CN"/>
        </w:rPr>
        <w:t>7.57</w:t>
      </w:r>
      <w:r>
        <w:rPr>
          <w:rStyle w:val="17"/>
          <w:rFonts w:hint="eastAsia" w:ascii="仿宋" w:hAnsi="仿宋" w:eastAsia="仿宋"/>
          <w:b w:val="0"/>
          <w:bCs w:val="0"/>
          <w:sz w:val="32"/>
          <w:szCs w:val="32"/>
        </w:rPr>
        <w:t>万元，完成预算100</w:t>
      </w:r>
      <w:r>
        <w:rPr>
          <w:rStyle w:val="17"/>
          <w:rFonts w:ascii="仿宋" w:hAnsi="仿宋" w:eastAsia="仿宋"/>
          <w:b w:val="0"/>
          <w:bCs w:val="0"/>
          <w:sz w:val="32"/>
          <w:szCs w:val="32"/>
        </w:rPr>
        <w:t>%</w:t>
      </w:r>
      <w:r>
        <w:rPr>
          <w:rStyle w:val="17"/>
          <w:rFonts w:hint="eastAsia" w:ascii="仿宋" w:hAnsi="仿宋" w:eastAsia="仿宋"/>
          <w:b w:val="0"/>
          <w:bCs w:val="0"/>
          <w:sz w:val="32"/>
          <w:szCs w:val="32"/>
        </w:rPr>
        <w:t>。</w:t>
      </w:r>
    </w:p>
    <w:p w14:paraId="04CA1CE0">
      <w:pPr>
        <w:tabs>
          <w:tab w:val="right" w:pos="8306"/>
        </w:tabs>
        <w:spacing w:line="600" w:lineRule="exact"/>
        <w:ind w:firstLine="640"/>
        <w:outlineLvl w:val="1"/>
        <w:rPr>
          <w:rStyle w:val="29"/>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4"/>
      <w:bookmarkEnd w:id="35"/>
      <w:r>
        <w:rPr>
          <w:rStyle w:val="29"/>
          <w:rFonts w:ascii="黑体" w:hAnsi="黑体" w:eastAsia="黑体"/>
          <w:b w:val="0"/>
        </w:rPr>
        <w:tab/>
      </w:r>
    </w:p>
    <w:p w14:paraId="0A6F6761">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年一般公共预算财政拨款基本支出</w:t>
      </w:r>
      <w:r>
        <w:rPr>
          <w:rFonts w:hint="eastAsia" w:ascii="仿宋" w:hAnsi="仿宋" w:eastAsia="仿宋"/>
          <w:sz w:val="32"/>
          <w:szCs w:val="32"/>
          <w:lang w:val="en-US" w:eastAsia="zh-CN"/>
        </w:rPr>
        <w:t>133.60</w:t>
      </w:r>
      <w:r>
        <w:rPr>
          <w:rFonts w:hint="eastAsia" w:ascii="仿宋" w:hAnsi="仿宋" w:eastAsia="仿宋"/>
          <w:sz w:val="32"/>
          <w:szCs w:val="32"/>
        </w:rPr>
        <w:t>万元，其中：</w:t>
      </w:r>
    </w:p>
    <w:p w14:paraId="57C53F0D">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w:t>
      </w:r>
      <w:r>
        <w:rPr>
          <w:rFonts w:hint="eastAsia" w:ascii="仿宋" w:hAnsi="仿宋" w:eastAsia="仿宋"/>
          <w:sz w:val="32"/>
          <w:szCs w:val="32"/>
          <w:lang w:val="en-US" w:eastAsia="zh-CN"/>
        </w:rPr>
        <w:t>94.21</w:t>
      </w:r>
      <w:r>
        <w:rPr>
          <w:rFonts w:hint="eastAsia" w:ascii="仿宋" w:hAnsi="仿宋" w:eastAsia="仿宋"/>
          <w:sz w:val="32"/>
          <w:szCs w:val="32"/>
        </w:rPr>
        <w:t>万元，主要包括：基本工资、津贴补贴、奖金、机关事业单位基本养老保险缴费、其他社会保障缴费、住房公积金等。</w:t>
      </w:r>
    </w:p>
    <w:p w14:paraId="3732CDFD">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公用经费</w:t>
      </w:r>
      <w:r>
        <w:rPr>
          <w:rFonts w:hint="eastAsia" w:ascii="仿宋" w:hAnsi="仿宋" w:eastAsia="仿宋"/>
          <w:sz w:val="32"/>
          <w:szCs w:val="32"/>
          <w:lang w:val="en-US" w:eastAsia="zh-CN"/>
        </w:rPr>
        <w:t>39.39</w:t>
      </w:r>
      <w:r>
        <w:rPr>
          <w:rFonts w:hint="eastAsia" w:ascii="仿宋" w:hAnsi="仿宋" w:eastAsia="仿宋"/>
          <w:sz w:val="32"/>
          <w:szCs w:val="32"/>
        </w:rPr>
        <w:t>万元，主要包括：办公费、咨询费、手续费、水费、电费、邮电费、物业管理费、差旅费、维修（护）费、租赁费、</w:t>
      </w:r>
      <w:r>
        <w:rPr>
          <w:rFonts w:hint="eastAsia" w:ascii="仿宋" w:hAnsi="仿宋" w:eastAsia="仿宋"/>
          <w:sz w:val="32"/>
          <w:szCs w:val="32"/>
          <w:lang w:val="en-US" w:eastAsia="zh-CN"/>
        </w:rPr>
        <w:t>被装购置费</w:t>
      </w:r>
      <w:r>
        <w:rPr>
          <w:rFonts w:hint="eastAsia" w:ascii="仿宋" w:hAnsi="仿宋" w:eastAsia="仿宋"/>
          <w:sz w:val="32"/>
          <w:szCs w:val="32"/>
        </w:rPr>
        <w:t>、劳务费、委托业务费、工会经费、福利费、其他交通费、其他商品和服务支出等。</w:t>
      </w:r>
      <w:bookmarkStart w:id="36" w:name="_Toc15396610"/>
      <w:bookmarkStart w:id="37" w:name="_Toc15377218"/>
    </w:p>
    <w:p w14:paraId="2FB27F59">
      <w:pPr>
        <w:spacing w:line="600" w:lineRule="exact"/>
        <w:ind w:firstLine="640"/>
        <w:outlineLvl w:val="1"/>
        <w:rPr>
          <w:rFonts w:hint="eastAsia" w:ascii="黑体" w:eastAsia="黑体"/>
          <w:sz w:val="32"/>
          <w:szCs w:val="32"/>
        </w:rPr>
      </w:pPr>
      <w:r>
        <w:rPr>
          <w:rFonts w:hint="eastAsia" w:ascii="黑体" w:eastAsia="黑体"/>
          <w:sz w:val="32"/>
          <w:szCs w:val="32"/>
        </w:rPr>
        <w:t>七、财政拨款“三公”经费支出决算情况说明</w:t>
      </w:r>
    </w:p>
    <w:p w14:paraId="724A5A53">
      <w:pPr>
        <w:pStyle w:val="13"/>
        <w:keepNext w:val="0"/>
        <w:keepLines w:val="0"/>
        <w:widowControl/>
        <w:suppressLineNumbers w:val="0"/>
        <w:spacing w:before="0" w:beforeAutospacing="0" w:after="0" w:afterAutospacing="0" w:line="600" w:lineRule="auto"/>
        <w:ind w:left="0" w:firstLine="640"/>
        <w:jc w:val="left"/>
      </w:pPr>
      <w:r>
        <w:rPr>
          <w:rFonts w:ascii="仿宋" w:hAnsi="仿宋" w:eastAsia="仿宋" w:cs="仿宋"/>
          <w:b/>
          <w:bCs/>
          <w:color w:val="000000"/>
          <w:sz w:val="32"/>
          <w:szCs w:val="32"/>
          <w:shd w:val="clear" w:fill="FFFFFF"/>
        </w:rPr>
        <w:t>（一）“三公”经费财政拨款支出决算总体情况说明</w:t>
      </w:r>
    </w:p>
    <w:p w14:paraId="4FF8F716">
      <w:pPr>
        <w:pStyle w:val="13"/>
        <w:keepNext w:val="0"/>
        <w:keepLines w:val="0"/>
        <w:widowControl/>
        <w:suppressLineNumbers w:val="0"/>
        <w:spacing w:before="0" w:beforeAutospacing="0" w:after="0" w:afterAutospacing="0" w:line="600" w:lineRule="auto"/>
        <w:ind w:left="0" w:firstLine="640"/>
        <w:jc w:val="left"/>
      </w:pPr>
      <w:r>
        <w:rPr>
          <w:rFonts w:hint="eastAsia" w:ascii="仿宋" w:hAnsi="仿宋" w:eastAsia="仿宋" w:cs="仿宋"/>
          <w:color w:val="000000"/>
          <w:sz w:val="32"/>
          <w:szCs w:val="32"/>
          <w:shd w:val="clear" w:fill="FFFFFF"/>
        </w:rPr>
        <w:t>202</w:t>
      </w:r>
      <w:r>
        <w:rPr>
          <w:rFonts w:hint="eastAsia" w:ascii="仿宋" w:hAnsi="仿宋" w:eastAsia="仿宋" w:cs="仿宋"/>
          <w:color w:val="000000"/>
          <w:sz w:val="32"/>
          <w:szCs w:val="32"/>
          <w:shd w:val="clear" w:fill="FFFFFF"/>
          <w:lang w:val="en-US" w:eastAsia="zh-CN"/>
        </w:rPr>
        <w:t>3</w:t>
      </w:r>
      <w:r>
        <w:rPr>
          <w:rFonts w:hint="eastAsia" w:ascii="仿宋" w:hAnsi="仿宋" w:eastAsia="仿宋" w:cs="仿宋"/>
          <w:color w:val="000000"/>
          <w:sz w:val="32"/>
          <w:szCs w:val="32"/>
          <w:shd w:val="clear" w:fill="FFFFFF"/>
        </w:rPr>
        <w:t>年“三公”经费财政拨款支出决算为</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万元。</w:t>
      </w:r>
    </w:p>
    <w:p w14:paraId="1CD30112">
      <w:pPr>
        <w:pStyle w:val="13"/>
        <w:keepNext w:val="0"/>
        <w:keepLines w:val="0"/>
        <w:widowControl/>
        <w:numPr>
          <w:ilvl w:val="0"/>
          <w:numId w:val="3"/>
        </w:numPr>
        <w:suppressLineNumbers w:val="0"/>
        <w:spacing w:before="0" w:beforeAutospacing="0" w:after="0" w:afterAutospacing="0" w:line="600" w:lineRule="auto"/>
        <w:ind w:left="0" w:firstLine="640"/>
        <w:jc w:val="left"/>
        <w:rPr>
          <w:rFonts w:hint="eastAsia" w:ascii="仿宋" w:hAnsi="仿宋" w:eastAsia="仿宋" w:cs="仿宋"/>
          <w:b/>
          <w:bCs/>
          <w:color w:val="000000"/>
          <w:sz w:val="32"/>
          <w:szCs w:val="32"/>
          <w:shd w:val="clear" w:fill="FFFFFF"/>
        </w:rPr>
      </w:pPr>
      <w:r>
        <w:rPr>
          <w:rFonts w:hint="eastAsia" w:ascii="仿宋" w:hAnsi="仿宋" w:eastAsia="仿宋" w:cs="仿宋"/>
          <w:b/>
          <w:bCs/>
          <w:color w:val="000000"/>
          <w:sz w:val="32"/>
          <w:szCs w:val="32"/>
          <w:shd w:val="clear" w:fill="FFFFFF"/>
        </w:rPr>
        <w:t>“三公”经费财政拨款支出决算具体情况说明</w:t>
      </w:r>
    </w:p>
    <w:p w14:paraId="22DCD7BD">
      <w:pPr>
        <w:pStyle w:val="13"/>
        <w:keepNext w:val="0"/>
        <w:keepLines w:val="0"/>
        <w:widowControl/>
        <w:numPr>
          <w:numId w:val="0"/>
        </w:numPr>
        <w:suppressLineNumbers w:val="0"/>
        <w:spacing w:before="0" w:beforeAutospacing="0" w:after="0" w:afterAutospacing="0" w:line="240" w:lineRule="auto"/>
        <w:ind w:left="0" w:leftChars="0" w:right="0" w:rightChars="0" w:firstLine="640" w:firstLineChars="200"/>
        <w:jc w:val="left"/>
        <w:rPr>
          <w:rFonts w:hint="eastAsia" w:ascii="仿宋" w:hAnsi="仿宋" w:eastAsia="仿宋" w:cs="仿宋"/>
        </w:rPr>
      </w:pPr>
      <w:r>
        <w:rPr>
          <w:rFonts w:hint="eastAsia" w:ascii="仿宋" w:hAnsi="仿宋" w:eastAsia="仿宋" w:cs="仿宋"/>
          <w:color w:val="000000"/>
          <w:sz w:val="32"/>
          <w:szCs w:val="32"/>
          <w:shd w:val="clear" w:fill="FFFFFF"/>
        </w:rPr>
        <w:t>202</w:t>
      </w:r>
      <w:r>
        <w:rPr>
          <w:rFonts w:hint="eastAsia" w:ascii="仿宋" w:hAnsi="仿宋" w:eastAsia="仿宋" w:cs="仿宋"/>
          <w:color w:val="000000"/>
          <w:sz w:val="32"/>
          <w:szCs w:val="32"/>
          <w:shd w:val="clear" w:fill="FFFFFF"/>
          <w:lang w:val="en-US" w:eastAsia="zh-CN"/>
        </w:rPr>
        <w:t>3</w:t>
      </w:r>
      <w:r>
        <w:rPr>
          <w:rFonts w:hint="eastAsia" w:ascii="仿宋" w:hAnsi="仿宋" w:eastAsia="仿宋" w:cs="仿宋"/>
          <w:color w:val="000000"/>
          <w:sz w:val="32"/>
          <w:szCs w:val="32"/>
          <w:shd w:val="clear" w:fill="FFFFFF"/>
        </w:rPr>
        <w:t>年“三公”经费财政拨款支出决算中，因公出国（境）费支出决算</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万元；公务用车购置及运行维护费支出决算</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万元；公务接待费支出决算</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万元。具体情况如下：</w:t>
      </w:r>
    </w:p>
    <w:p w14:paraId="2FB60B24">
      <w:pPr>
        <w:pStyle w:val="13"/>
        <w:keepNext w:val="0"/>
        <w:keepLines w:val="0"/>
        <w:widowControl/>
        <w:suppressLineNumbers w:val="0"/>
        <w:spacing w:before="0" w:beforeAutospacing="0" w:after="0" w:afterAutospacing="0" w:line="240" w:lineRule="auto"/>
        <w:ind w:left="0" w:firstLine="640"/>
        <w:jc w:val="left"/>
        <w:rPr>
          <w:rFonts w:hint="eastAsia" w:ascii="仿宋" w:hAnsi="仿宋" w:eastAsia="仿宋" w:cs="仿宋"/>
        </w:rPr>
      </w:pPr>
      <w:r>
        <w:rPr>
          <w:rFonts w:hint="eastAsia" w:ascii="仿宋" w:hAnsi="仿宋" w:eastAsia="仿宋" w:cs="仿宋"/>
          <w:b/>
          <w:bCs/>
          <w:color w:val="000000"/>
          <w:sz w:val="32"/>
          <w:szCs w:val="32"/>
          <w:shd w:val="clear" w:fill="FFFFFF"/>
        </w:rPr>
        <w:t>1.因公出国（境）经费支出</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万元</w:t>
      </w:r>
      <w:r>
        <w:rPr>
          <w:rFonts w:hint="eastAsia" w:ascii="仿宋" w:hAnsi="仿宋" w:eastAsia="仿宋" w:cs="仿宋"/>
          <w:color w:val="000000"/>
          <w:sz w:val="32"/>
          <w:szCs w:val="32"/>
          <w:shd w:val="clear" w:fill="FFFFFF"/>
        </w:rPr>
        <w:t>。全年安排因公出国（境）团组</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次，出国（境）</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人。</w:t>
      </w:r>
    </w:p>
    <w:p w14:paraId="3BA64225">
      <w:pPr>
        <w:pStyle w:val="13"/>
        <w:keepNext w:val="0"/>
        <w:keepLines w:val="0"/>
        <w:widowControl/>
        <w:suppressLineNumbers w:val="0"/>
        <w:spacing w:before="0" w:beforeAutospacing="0" w:after="0" w:afterAutospacing="0" w:line="240" w:lineRule="auto"/>
        <w:ind w:left="0" w:firstLine="640"/>
        <w:jc w:val="left"/>
        <w:rPr>
          <w:rFonts w:hint="eastAsia" w:ascii="仿宋" w:hAnsi="仿宋" w:eastAsia="仿宋" w:cs="仿宋"/>
          <w:color w:val="000000"/>
          <w:sz w:val="32"/>
          <w:szCs w:val="32"/>
          <w:shd w:val="clear" w:fill="FFFFFF"/>
        </w:rPr>
      </w:pPr>
      <w:r>
        <w:rPr>
          <w:rFonts w:hint="eastAsia" w:ascii="仿宋" w:hAnsi="仿宋" w:eastAsia="仿宋" w:cs="仿宋"/>
          <w:b/>
          <w:bCs/>
          <w:color w:val="000000"/>
          <w:sz w:val="32"/>
          <w:szCs w:val="32"/>
          <w:shd w:val="clear" w:fill="FFFFFF"/>
        </w:rPr>
        <w:t>2.公务用车购置及运行维护费支出</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万元</w:t>
      </w:r>
      <w:r>
        <w:rPr>
          <w:rFonts w:hint="eastAsia" w:ascii="仿宋" w:hAnsi="仿宋" w:eastAsia="仿宋" w:cs="仿宋"/>
          <w:color w:val="000000"/>
          <w:sz w:val="32"/>
          <w:szCs w:val="32"/>
          <w:shd w:val="clear" w:fill="FFFFFF"/>
        </w:rPr>
        <w:t>。</w:t>
      </w:r>
    </w:p>
    <w:p w14:paraId="1343586F">
      <w:pPr>
        <w:pStyle w:val="13"/>
        <w:keepNext w:val="0"/>
        <w:keepLines w:val="0"/>
        <w:widowControl/>
        <w:suppressLineNumbers w:val="0"/>
        <w:spacing w:before="0" w:beforeAutospacing="0" w:after="0" w:afterAutospacing="0" w:line="240" w:lineRule="auto"/>
        <w:ind w:left="0" w:firstLine="640"/>
        <w:jc w:val="left"/>
        <w:rPr>
          <w:rFonts w:hint="eastAsia" w:ascii="仿宋" w:hAnsi="仿宋" w:eastAsia="仿宋" w:cs="仿宋"/>
          <w:color w:val="000000"/>
          <w:sz w:val="32"/>
          <w:szCs w:val="32"/>
          <w:shd w:val="clear" w:fill="FFFFFF"/>
        </w:rPr>
      </w:pPr>
      <w:r>
        <w:rPr>
          <w:rFonts w:hint="eastAsia" w:ascii="仿宋" w:hAnsi="仿宋" w:eastAsia="仿宋" w:cs="仿宋"/>
          <w:color w:val="000000"/>
          <w:sz w:val="32"/>
          <w:szCs w:val="32"/>
          <w:shd w:val="clear" w:fill="FFFFFF"/>
        </w:rPr>
        <w:t>其中：</w:t>
      </w:r>
      <w:r>
        <w:rPr>
          <w:rFonts w:hint="eastAsia" w:ascii="仿宋" w:hAnsi="仿宋" w:eastAsia="仿宋" w:cs="仿宋"/>
          <w:b/>
          <w:bCs/>
          <w:color w:val="000000"/>
          <w:sz w:val="32"/>
          <w:szCs w:val="32"/>
          <w:shd w:val="clear" w:fill="FFFFFF"/>
        </w:rPr>
        <w:t>公务用车购置支出</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万元。全年按规定更新购置公务用车</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辆，其中：轿车</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辆、金额</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万元，越野车</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辆、金额</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万元，载客汽车</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辆、金额</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万元。截至202</w:t>
      </w:r>
      <w:r>
        <w:rPr>
          <w:rFonts w:hint="eastAsia" w:ascii="仿宋" w:hAnsi="仿宋" w:eastAsia="仿宋" w:cs="仿宋"/>
          <w:color w:val="000000"/>
          <w:sz w:val="32"/>
          <w:szCs w:val="32"/>
          <w:shd w:val="clear" w:fill="FFFFFF"/>
          <w:lang w:val="en-US" w:eastAsia="zh-CN"/>
        </w:rPr>
        <w:t>3</w:t>
      </w:r>
      <w:bookmarkStart w:id="63" w:name="_GoBack"/>
      <w:bookmarkEnd w:id="63"/>
      <w:r>
        <w:rPr>
          <w:rFonts w:hint="eastAsia" w:ascii="仿宋" w:hAnsi="仿宋" w:eastAsia="仿宋" w:cs="仿宋"/>
          <w:color w:val="000000"/>
          <w:sz w:val="32"/>
          <w:szCs w:val="32"/>
          <w:shd w:val="clear" w:fill="FFFFFF"/>
        </w:rPr>
        <w:t>年12月底，单位共有公务用车</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辆，其中：轿车</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辆、越野车</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辆、载客汽车</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辆。</w:t>
      </w:r>
    </w:p>
    <w:p w14:paraId="3ED486F4">
      <w:pPr>
        <w:pStyle w:val="13"/>
        <w:keepNext w:val="0"/>
        <w:keepLines w:val="0"/>
        <w:widowControl/>
        <w:suppressLineNumbers w:val="0"/>
        <w:spacing w:before="0" w:beforeAutospacing="0" w:after="0" w:afterAutospacing="0" w:line="240" w:lineRule="auto"/>
        <w:ind w:left="0" w:firstLine="640"/>
        <w:jc w:val="left"/>
        <w:rPr>
          <w:rFonts w:hint="eastAsia" w:ascii="仿宋" w:hAnsi="仿宋" w:eastAsia="仿宋" w:cs="仿宋"/>
        </w:rPr>
      </w:pPr>
      <w:r>
        <w:rPr>
          <w:rFonts w:hint="eastAsia" w:ascii="仿宋" w:hAnsi="仿宋" w:eastAsia="仿宋" w:cs="仿宋"/>
          <w:b/>
          <w:bCs/>
          <w:color w:val="000000"/>
          <w:sz w:val="32"/>
          <w:szCs w:val="32"/>
          <w:shd w:val="clear" w:fill="FFFFFF"/>
        </w:rPr>
        <w:t>公务用车运行维护费支出</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万元。</w:t>
      </w:r>
    </w:p>
    <w:p w14:paraId="6A63795A">
      <w:pPr>
        <w:pStyle w:val="13"/>
        <w:keepNext w:val="0"/>
        <w:keepLines w:val="0"/>
        <w:widowControl/>
        <w:suppressLineNumbers w:val="0"/>
        <w:spacing w:before="0" w:beforeAutospacing="0" w:after="0" w:afterAutospacing="0" w:line="240" w:lineRule="auto"/>
        <w:ind w:left="0" w:firstLine="640"/>
        <w:jc w:val="left"/>
        <w:rPr>
          <w:rFonts w:hint="eastAsia" w:ascii="仿宋" w:hAnsi="仿宋" w:eastAsia="仿宋" w:cs="仿宋"/>
          <w:color w:val="000000"/>
          <w:sz w:val="32"/>
          <w:szCs w:val="32"/>
          <w:shd w:val="clear" w:fill="FFFFFF"/>
        </w:rPr>
      </w:pPr>
      <w:r>
        <w:rPr>
          <w:rFonts w:hint="eastAsia" w:ascii="仿宋" w:hAnsi="仿宋" w:eastAsia="仿宋" w:cs="仿宋"/>
          <w:b/>
          <w:bCs/>
          <w:color w:val="000000"/>
          <w:sz w:val="32"/>
          <w:szCs w:val="32"/>
          <w:shd w:val="clear" w:fill="FFFFFF"/>
        </w:rPr>
        <w:t>3.公务接待费支出</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万元</w:t>
      </w:r>
      <w:r>
        <w:rPr>
          <w:rFonts w:hint="eastAsia" w:ascii="仿宋" w:hAnsi="仿宋" w:eastAsia="仿宋" w:cs="仿宋"/>
          <w:color w:val="000000"/>
          <w:sz w:val="32"/>
          <w:szCs w:val="32"/>
          <w:shd w:val="clear" w:fill="FFFFFF"/>
        </w:rPr>
        <w:t>。</w:t>
      </w:r>
    </w:p>
    <w:p w14:paraId="4BBD08A7">
      <w:pPr>
        <w:pStyle w:val="13"/>
        <w:keepNext w:val="0"/>
        <w:keepLines w:val="0"/>
        <w:widowControl/>
        <w:suppressLineNumbers w:val="0"/>
        <w:spacing w:before="0" w:beforeAutospacing="0" w:after="0" w:afterAutospacing="0" w:line="240" w:lineRule="auto"/>
        <w:ind w:left="0" w:firstLine="640"/>
        <w:jc w:val="left"/>
        <w:rPr>
          <w:rFonts w:hint="eastAsia" w:ascii="仿宋" w:hAnsi="仿宋" w:eastAsia="仿宋" w:cs="仿宋"/>
        </w:rPr>
      </w:pPr>
      <w:r>
        <w:rPr>
          <w:rFonts w:hint="eastAsia" w:ascii="仿宋" w:hAnsi="仿宋" w:eastAsia="仿宋" w:cs="仿宋"/>
          <w:color w:val="000000"/>
          <w:sz w:val="32"/>
          <w:szCs w:val="32"/>
          <w:shd w:val="clear" w:fill="FFFFFF"/>
        </w:rPr>
        <w:t>其中：</w:t>
      </w:r>
      <w:r>
        <w:rPr>
          <w:rFonts w:hint="eastAsia" w:ascii="仿宋" w:hAnsi="仿宋" w:eastAsia="仿宋" w:cs="仿宋"/>
          <w:b/>
          <w:bCs/>
          <w:color w:val="000000"/>
          <w:sz w:val="32"/>
          <w:szCs w:val="32"/>
          <w:shd w:val="clear" w:fill="FFFFFF"/>
        </w:rPr>
        <w:t>国内公务接待支出</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万元。国内公务接待</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批次，</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人次（不包括陪同人员），共计支出</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万元。</w:t>
      </w:r>
    </w:p>
    <w:p w14:paraId="6FD7E63F">
      <w:pPr>
        <w:pStyle w:val="13"/>
        <w:keepNext w:val="0"/>
        <w:keepLines w:val="0"/>
        <w:widowControl/>
        <w:suppressLineNumbers w:val="0"/>
        <w:spacing w:before="0" w:beforeAutospacing="0" w:after="0" w:afterAutospacing="0" w:line="240" w:lineRule="auto"/>
        <w:ind w:left="0" w:firstLine="642"/>
        <w:jc w:val="left"/>
        <w:rPr>
          <w:rFonts w:hint="eastAsia" w:ascii="仿宋_GB2312" w:eastAsia="仿宋_GB2312" w:cs="仿宋_GB2312"/>
          <w:color w:val="000000"/>
          <w:sz w:val="32"/>
          <w:szCs w:val="32"/>
          <w:shd w:val="clear" w:fill="FFFFFF"/>
        </w:rPr>
      </w:pPr>
      <w:r>
        <w:rPr>
          <w:rFonts w:hint="eastAsia" w:ascii="仿宋" w:hAnsi="仿宋" w:eastAsia="仿宋" w:cs="仿宋"/>
          <w:b/>
          <w:bCs/>
          <w:color w:val="000000"/>
          <w:sz w:val="32"/>
          <w:szCs w:val="32"/>
          <w:shd w:val="clear" w:fill="FFFFFF"/>
        </w:rPr>
        <w:t>外事接待支出</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万元。外事接待</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批次，</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人次（不包括陪同人员），共计支出</w:t>
      </w:r>
      <w:r>
        <w:rPr>
          <w:rFonts w:hint="eastAsia" w:ascii="仿宋" w:hAnsi="仿宋" w:eastAsia="仿宋" w:cs="仿宋"/>
          <w:color w:val="000000"/>
          <w:sz w:val="32"/>
          <w:szCs w:val="32"/>
          <w:shd w:val="clear" w:fill="FFFFFF"/>
          <w:lang w:val="en-US" w:eastAsia="zh-CN"/>
        </w:rPr>
        <w:t>0</w:t>
      </w:r>
      <w:r>
        <w:rPr>
          <w:rFonts w:hint="eastAsia" w:ascii="仿宋" w:hAnsi="仿宋" w:eastAsia="仿宋" w:cs="仿宋"/>
          <w:color w:val="000000"/>
          <w:sz w:val="32"/>
          <w:szCs w:val="32"/>
          <w:shd w:val="clear" w:fill="FFFFFF"/>
        </w:rPr>
        <w:t>万元。</w:t>
      </w:r>
    </w:p>
    <w:p w14:paraId="0DD2FF31">
      <w:pPr>
        <w:spacing w:line="600" w:lineRule="exact"/>
        <w:ind w:firstLine="640"/>
        <w:outlineLvl w:val="1"/>
        <w:rPr>
          <w:rStyle w:val="29"/>
          <w:rFonts w:ascii="黑体" w:hAnsi="黑体" w:eastAsia="黑体"/>
        </w:rPr>
      </w:pPr>
      <w:r>
        <w:rPr>
          <w:rFonts w:hint="eastAsia" w:ascii="黑体" w:eastAsia="黑体"/>
          <w:sz w:val="32"/>
          <w:szCs w:val="32"/>
        </w:rPr>
        <w:t>八、</w:t>
      </w:r>
      <w:r>
        <w:rPr>
          <w:rStyle w:val="29"/>
          <w:rFonts w:hint="eastAsia" w:ascii="黑体" w:hAnsi="黑体" w:eastAsia="黑体"/>
          <w:b w:val="0"/>
        </w:rPr>
        <w:t>政府性基金预算支出决算情况说明</w:t>
      </w:r>
      <w:bookmarkEnd w:id="36"/>
      <w:bookmarkEnd w:id="37"/>
    </w:p>
    <w:p w14:paraId="662A1DA0">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年政府性基金预算财政拨款支出0万元。</w:t>
      </w:r>
    </w:p>
    <w:p w14:paraId="76B4F760">
      <w:pPr>
        <w:spacing w:line="600" w:lineRule="exact"/>
        <w:ind w:firstLine="640"/>
        <w:rPr>
          <w:rFonts w:ascii="仿宋_GB2312" w:eastAsia="仿宋_GB2312"/>
          <w:sz w:val="32"/>
          <w:szCs w:val="32"/>
        </w:rPr>
      </w:pPr>
    </w:p>
    <w:p w14:paraId="144BCF2F">
      <w:pPr>
        <w:numPr>
          <w:ilvl w:val="0"/>
          <w:numId w:val="4"/>
        </w:numPr>
        <w:spacing w:line="600" w:lineRule="exact"/>
        <w:ind w:firstLine="640"/>
        <w:outlineLvl w:val="1"/>
        <w:rPr>
          <w:rStyle w:val="29"/>
          <w:rFonts w:ascii="黑体" w:hAnsi="黑体" w:eastAsia="黑体"/>
          <w:b w:val="0"/>
        </w:rPr>
      </w:pPr>
      <w:bookmarkStart w:id="38" w:name="_Toc15377219"/>
      <w:bookmarkStart w:id="39" w:name="_Toc15396611"/>
      <w:r>
        <w:rPr>
          <w:rStyle w:val="29"/>
          <w:rFonts w:hint="eastAsia" w:ascii="黑体" w:hAnsi="黑体" w:eastAsia="黑体"/>
          <w:b w:val="0"/>
        </w:rPr>
        <w:t>国有资本经营预算支出决算情况说明</w:t>
      </w:r>
      <w:bookmarkEnd w:id="38"/>
      <w:bookmarkEnd w:id="39"/>
    </w:p>
    <w:p w14:paraId="1903B0E6">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年国有资本经营预算财政拨款支出0万元。</w:t>
      </w:r>
    </w:p>
    <w:p w14:paraId="7423CCF3">
      <w:pPr>
        <w:spacing w:line="580" w:lineRule="exact"/>
        <w:jc w:val="center"/>
        <w:rPr>
          <w:rFonts w:ascii="方正小标宋简体" w:hAnsi="方正小标宋简体" w:eastAsia="方正小标宋简体" w:cs="方正小标宋简体"/>
          <w:sz w:val="44"/>
          <w:szCs w:val="44"/>
        </w:rPr>
      </w:pPr>
    </w:p>
    <w:p w14:paraId="12092193">
      <w:pPr>
        <w:numPr>
          <w:ilvl w:val="0"/>
          <w:numId w:val="4"/>
        </w:numPr>
        <w:spacing w:line="600" w:lineRule="exact"/>
        <w:ind w:firstLine="640"/>
        <w:outlineLvl w:val="1"/>
        <w:rPr>
          <w:rStyle w:val="29"/>
          <w:rFonts w:ascii="黑体" w:hAnsi="黑体" w:eastAsia="黑体"/>
          <w:b w:val="0"/>
        </w:rPr>
      </w:pPr>
      <w:bookmarkStart w:id="40" w:name="_Toc15377221"/>
      <w:bookmarkStart w:id="41" w:name="_Toc15396612"/>
      <w:r>
        <w:rPr>
          <w:rStyle w:val="29"/>
          <w:rFonts w:hint="eastAsia" w:ascii="黑体" w:hAnsi="黑体" w:eastAsia="黑体"/>
          <w:b w:val="0"/>
        </w:rPr>
        <w:t>其他重要事项的情况说明</w:t>
      </w:r>
      <w:bookmarkEnd w:id="40"/>
      <w:bookmarkEnd w:id="41"/>
    </w:p>
    <w:p w14:paraId="5ECAC182">
      <w:pPr>
        <w:spacing w:line="600" w:lineRule="exact"/>
        <w:ind w:firstLine="643" w:firstLineChars="200"/>
        <w:outlineLvl w:val="2"/>
        <w:rPr>
          <w:rFonts w:ascii="仿宋" w:hAnsi="仿宋" w:eastAsia="仿宋"/>
          <w:sz w:val="32"/>
          <w:szCs w:val="32"/>
        </w:rPr>
      </w:pPr>
      <w:bookmarkStart w:id="42" w:name="_Toc15377222"/>
      <w:r>
        <w:rPr>
          <w:rFonts w:hint="eastAsia" w:ascii="仿宋" w:hAnsi="仿宋" w:eastAsia="仿宋"/>
          <w:b/>
          <w:sz w:val="32"/>
          <w:szCs w:val="32"/>
        </w:rPr>
        <w:t>（一）机关运行经费支出情况</w:t>
      </w:r>
      <w:bookmarkEnd w:id="42"/>
    </w:p>
    <w:p w14:paraId="7F846191">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年，机关运行经费支出</w:t>
      </w:r>
      <w:r>
        <w:rPr>
          <w:rFonts w:hint="eastAsia" w:ascii="仿宋" w:hAnsi="仿宋" w:eastAsia="仿宋" w:cs="仿宋"/>
          <w:sz w:val="32"/>
          <w:szCs w:val="32"/>
          <w:lang w:val="en-US" w:eastAsia="zh-CN"/>
        </w:rPr>
        <w:t>39.39</w:t>
      </w:r>
      <w:r>
        <w:rPr>
          <w:rFonts w:hint="eastAsia" w:ascii="仿宋" w:hAnsi="仿宋" w:eastAsia="仿宋" w:cs="仿宋"/>
          <w:sz w:val="32"/>
          <w:szCs w:val="32"/>
        </w:rPr>
        <w:t>万元，较</w:t>
      </w:r>
      <w:r>
        <w:rPr>
          <w:rFonts w:hint="eastAsia" w:ascii="仿宋" w:hAnsi="仿宋" w:eastAsia="仿宋" w:cs="仿宋"/>
          <w:sz w:val="32"/>
          <w:szCs w:val="32"/>
          <w:lang w:val="en-US" w:eastAsia="zh-CN"/>
        </w:rPr>
        <w:t>2022</w:t>
      </w:r>
      <w:r>
        <w:rPr>
          <w:rFonts w:hint="eastAsia" w:ascii="仿宋" w:hAnsi="仿宋" w:eastAsia="仿宋" w:cs="仿宋"/>
          <w:sz w:val="32"/>
          <w:szCs w:val="32"/>
        </w:rPr>
        <w:t>年</w:t>
      </w:r>
      <w:r>
        <w:rPr>
          <w:rFonts w:hint="eastAsia" w:ascii="仿宋" w:hAnsi="仿宋" w:eastAsia="仿宋" w:cs="仿宋"/>
          <w:sz w:val="32"/>
          <w:szCs w:val="32"/>
          <w:lang w:val="en-US" w:eastAsia="zh-CN"/>
        </w:rPr>
        <w:t>59.45万元</w:t>
      </w:r>
      <w:r>
        <w:rPr>
          <w:rFonts w:hint="eastAsia" w:ascii="仿宋" w:hAnsi="仿宋" w:eastAsia="仿宋" w:cs="仿宋"/>
          <w:sz w:val="32"/>
          <w:szCs w:val="32"/>
        </w:rPr>
        <w:t>减少</w:t>
      </w:r>
      <w:r>
        <w:rPr>
          <w:rFonts w:hint="eastAsia" w:ascii="仿宋" w:hAnsi="仿宋" w:eastAsia="仿宋" w:cs="仿宋"/>
          <w:sz w:val="32"/>
          <w:szCs w:val="32"/>
          <w:lang w:val="en-US" w:eastAsia="zh-CN"/>
        </w:rPr>
        <w:t>20.06</w:t>
      </w:r>
      <w:r>
        <w:rPr>
          <w:rFonts w:hint="eastAsia" w:ascii="仿宋" w:hAnsi="仿宋" w:eastAsia="仿宋" w:cs="仿宋"/>
          <w:sz w:val="32"/>
          <w:szCs w:val="32"/>
        </w:rPr>
        <w:t>万元，下降</w:t>
      </w:r>
      <w:r>
        <w:rPr>
          <w:rFonts w:hint="eastAsia" w:ascii="仿宋" w:hAnsi="仿宋" w:eastAsia="仿宋" w:cs="仿宋"/>
          <w:sz w:val="32"/>
          <w:szCs w:val="32"/>
          <w:lang w:val="en-US" w:eastAsia="zh-CN"/>
        </w:rPr>
        <w:t>33.74</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olor w:val="auto"/>
          <w:sz w:val="32"/>
          <w:szCs w:val="32"/>
        </w:rPr>
        <w:t>主要原因是</w:t>
      </w:r>
      <w:r>
        <w:rPr>
          <w:rFonts w:hint="eastAsia" w:ascii="仿宋" w:hAnsi="仿宋" w:eastAsia="仿宋"/>
          <w:color w:val="auto"/>
          <w:sz w:val="32"/>
          <w:szCs w:val="32"/>
          <w:lang w:val="en-US" w:eastAsia="zh-CN"/>
        </w:rPr>
        <w:t>减少机关日常运行经费。</w:t>
      </w:r>
    </w:p>
    <w:p w14:paraId="306CC511">
      <w:pPr>
        <w:autoSpaceDE w:val="0"/>
        <w:autoSpaceDN w:val="0"/>
        <w:adjustRightInd w:val="0"/>
        <w:spacing w:line="600" w:lineRule="exact"/>
        <w:ind w:firstLine="643" w:firstLineChars="200"/>
        <w:jc w:val="left"/>
        <w:outlineLvl w:val="2"/>
        <w:rPr>
          <w:rFonts w:ascii="仿宋" w:hAnsi="仿宋" w:eastAsia="仿宋"/>
          <w:b/>
          <w:sz w:val="32"/>
          <w:szCs w:val="32"/>
        </w:rPr>
      </w:pPr>
      <w:bookmarkStart w:id="43" w:name="_Toc15377223"/>
      <w:r>
        <w:rPr>
          <w:rFonts w:hint="eastAsia" w:ascii="仿宋" w:hAnsi="仿宋" w:eastAsia="仿宋"/>
          <w:b/>
          <w:sz w:val="32"/>
          <w:szCs w:val="32"/>
        </w:rPr>
        <w:t>（二）政府采购支出情况</w:t>
      </w:r>
      <w:bookmarkEnd w:id="43"/>
    </w:p>
    <w:p w14:paraId="3D3F8A07">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政府采购支出总额0万元，其中：政府采购货物支出0万元、政府采购工程支出0万元、政府采购服务支出0万元。0。授予中小企业合同金额0万元，占政府采购支出总额的0%，其中：授予小微企业合同金额0万元，占政府采购支出总额的0%。</w:t>
      </w:r>
    </w:p>
    <w:p w14:paraId="1D3DC9AC">
      <w:pPr>
        <w:autoSpaceDE w:val="0"/>
        <w:autoSpaceDN w:val="0"/>
        <w:adjustRightInd w:val="0"/>
        <w:spacing w:line="600" w:lineRule="exact"/>
        <w:ind w:firstLine="643" w:firstLineChars="200"/>
        <w:jc w:val="left"/>
        <w:outlineLvl w:val="2"/>
        <w:rPr>
          <w:rFonts w:ascii="仿宋" w:hAnsi="仿宋" w:eastAsia="仿宋"/>
          <w:b/>
          <w:sz w:val="32"/>
          <w:szCs w:val="32"/>
        </w:rPr>
      </w:pPr>
      <w:bookmarkStart w:id="44" w:name="_Toc15377224"/>
      <w:r>
        <w:rPr>
          <w:rFonts w:hint="eastAsia" w:ascii="仿宋" w:hAnsi="仿宋" w:eastAsia="仿宋"/>
          <w:b/>
          <w:sz w:val="32"/>
          <w:szCs w:val="32"/>
        </w:rPr>
        <w:t>（三）国有资产占有使用情况</w:t>
      </w:r>
      <w:bookmarkEnd w:id="44"/>
    </w:p>
    <w:p w14:paraId="09B36421">
      <w:pPr>
        <w:autoSpaceDE w:val="0"/>
        <w:autoSpaceDN w:val="0"/>
        <w:adjustRightIn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截至202</w:t>
      </w:r>
      <w:r>
        <w:rPr>
          <w:rFonts w:hint="eastAsia" w:ascii="仿宋" w:hAnsi="仿宋" w:eastAsia="仿宋" w:cs="仿宋"/>
          <w:sz w:val="32"/>
          <w:szCs w:val="32"/>
          <w:lang w:val="en-US" w:eastAsia="zh-CN"/>
        </w:rPr>
        <w:t>3</w:t>
      </w:r>
      <w:r>
        <w:rPr>
          <w:rFonts w:hint="eastAsia" w:ascii="仿宋" w:hAnsi="仿宋" w:eastAsia="仿宋" w:cs="仿宋"/>
          <w:sz w:val="32"/>
          <w:szCs w:val="32"/>
        </w:rPr>
        <w:t>年12月31日，共有车辆</w:t>
      </w:r>
      <w:r>
        <w:rPr>
          <w:rFonts w:hint="eastAsia" w:ascii="仿宋" w:hAnsi="仿宋" w:eastAsia="仿宋" w:cs="仿宋"/>
          <w:sz w:val="32"/>
          <w:szCs w:val="32"/>
          <w:lang w:val="en-US" w:eastAsia="zh-CN"/>
        </w:rPr>
        <w:t>0</w:t>
      </w:r>
      <w:r>
        <w:rPr>
          <w:rFonts w:hint="eastAsia" w:ascii="仿宋" w:hAnsi="仿宋" w:eastAsia="仿宋" w:cs="仿宋"/>
          <w:sz w:val="32"/>
          <w:szCs w:val="32"/>
        </w:rPr>
        <w:t>辆，单价100万元以上专用设备0台（套）。</w:t>
      </w:r>
    </w:p>
    <w:p w14:paraId="65D0497C">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0144BBB4">
      <w:pPr>
        <w:spacing w:before="93" w:beforeLines="30"/>
        <w:ind w:firstLine="640" w:firstLineChars="200"/>
        <w:rPr>
          <w:rFonts w:ascii="仿宋_GB2312" w:eastAsia="仿宋_GB2312"/>
          <w:kern w:val="0"/>
          <w:sz w:val="30"/>
          <w:highlight w:val="yellow"/>
        </w:rPr>
      </w:pPr>
      <w:r>
        <w:rPr>
          <w:rFonts w:hint="eastAsia" w:ascii="仿宋_GB2312" w:hAnsi="仿宋_GB2312" w:eastAsia="仿宋_GB2312" w:cs="仿宋_GB2312"/>
          <w:kern w:val="0"/>
          <w:sz w:val="32"/>
          <w:szCs w:val="32"/>
        </w:rPr>
        <w:t>根据预算绩效管理要求，本单位在202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年度预算编制阶段，组织对艾滋病（HIV）筛查费</w:t>
      </w:r>
      <w:r>
        <w:rPr>
          <w:rFonts w:hint="eastAsia" w:ascii="仿宋_GB2312" w:hAnsi="仿宋_GB2312" w:eastAsia="仿宋_GB2312" w:cs="仿宋_GB2312"/>
          <w:kern w:val="0"/>
          <w:sz w:val="32"/>
          <w:szCs w:val="32"/>
          <w:lang w:eastAsia="zh-CN"/>
        </w:rPr>
        <w:t>、被强制医疗人员生活医疗被装费、监所门诊部运行维护费、监所医疗服务费、警务辅助人员专项支出、医疗卫生防疫费</w:t>
      </w:r>
      <w:r>
        <w:rPr>
          <w:rFonts w:hint="eastAsia" w:ascii="仿宋_GB2312" w:hAnsi="仿宋_GB2312" w:eastAsia="仿宋_GB2312" w:cs="仿宋_GB2312"/>
          <w:kern w:val="0"/>
          <w:sz w:val="32"/>
          <w:szCs w:val="32"/>
        </w:rPr>
        <w:t>等</w:t>
      </w:r>
      <w:r>
        <w:rPr>
          <w:rFonts w:hint="eastAsia" w:ascii="仿宋_GB2312" w:hAnsi="仿宋_GB2312" w:eastAsia="仿宋_GB2312" w:cs="仿宋_GB2312"/>
          <w:kern w:val="0"/>
          <w:sz w:val="32"/>
          <w:szCs w:val="32"/>
          <w:lang w:val="en-US" w:eastAsia="zh-CN"/>
        </w:rPr>
        <w:t>26</w:t>
      </w:r>
      <w:r>
        <w:rPr>
          <w:rFonts w:hint="eastAsia" w:ascii="仿宋_GB2312" w:hAnsi="仿宋_GB2312" w:eastAsia="仿宋_GB2312" w:cs="仿宋_GB2312"/>
          <w:kern w:val="0"/>
          <w:sz w:val="32"/>
          <w:szCs w:val="32"/>
        </w:rPr>
        <w:t>个项目开展了预算事前绩效评估，对</w:t>
      </w:r>
      <w:r>
        <w:rPr>
          <w:rFonts w:hint="eastAsia" w:ascii="仿宋_GB2312" w:hAnsi="仿宋_GB2312" w:eastAsia="仿宋_GB2312" w:cs="仿宋_GB2312"/>
          <w:kern w:val="0"/>
          <w:sz w:val="32"/>
          <w:szCs w:val="32"/>
          <w:lang w:val="en-US" w:eastAsia="zh-CN"/>
        </w:rPr>
        <w:t>26</w:t>
      </w:r>
      <w:r>
        <w:rPr>
          <w:rFonts w:hint="eastAsia" w:ascii="仿宋_GB2312" w:hAnsi="仿宋_GB2312" w:eastAsia="仿宋_GB2312" w:cs="仿宋_GB2312"/>
          <w:kern w:val="0"/>
          <w:sz w:val="32"/>
          <w:szCs w:val="32"/>
        </w:rPr>
        <w:t>个项目编制了绩效目标，预算执行过程中，选取</w:t>
      </w:r>
      <w:r>
        <w:rPr>
          <w:rFonts w:hint="eastAsia" w:ascii="仿宋_GB2312" w:hAnsi="仿宋_GB2312" w:eastAsia="仿宋_GB2312" w:cs="仿宋_GB2312"/>
          <w:kern w:val="0"/>
          <w:sz w:val="32"/>
          <w:szCs w:val="32"/>
          <w:lang w:val="en-US" w:eastAsia="zh-CN"/>
        </w:rPr>
        <w:t>26</w:t>
      </w:r>
      <w:r>
        <w:rPr>
          <w:rFonts w:hint="eastAsia" w:ascii="仿宋_GB2312" w:hAnsi="仿宋_GB2312" w:eastAsia="仿宋_GB2312" w:cs="仿宋_GB2312"/>
          <w:kern w:val="0"/>
          <w:sz w:val="32"/>
          <w:szCs w:val="32"/>
        </w:rPr>
        <w:t>个项目开展绩效监控，组织对</w:t>
      </w:r>
      <w:r>
        <w:rPr>
          <w:rFonts w:hint="eastAsia" w:ascii="仿宋_GB2312" w:hAnsi="仿宋_GB2312" w:eastAsia="仿宋_GB2312" w:cs="仿宋_GB2312"/>
          <w:kern w:val="0"/>
          <w:sz w:val="32"/>
          <w:szCs w:val="32"/>
          <w:lang w:val="en-US" w:eastAsia="zh-CN"/>
        </w:rPr>
        <w:t>26</w:t>
      </w:r>
      <w:r>
        <w:rPr>
          <w:rFonts w:hint="eastAsia" w:ascii="仿宋_GB2312" w:hAnsi="仿宋_GB2312" w:eastAsia="仿宋_GB2312" w:cs="仿宋_GB2312"/>
          <w:kern w:val="0"/>
          <w:sz w:val="32"/>
          <w:szCs w:val="32"/>
        </w:rPr>
        <w:t>个项目开展绩效自评。绩效自评表详见第四部分附件。</w:t>
      </w:r>
    </w:p>
    <w:p w14:paraId="2CC96843">
      <w:pPr>
        <w:pStyle w:val="2"/>
        <w:spacing w:before="93"/>
      </w:pPr>
    </w:p>
    <w:p w14:paraId="186A38F8">
      <w:pPr>
        <w:pStyle w:val="2"/>
        <w:spacing w:before="93"/>
        <w:rPr>
          <w:rFonts w:hint="eastAsia"/>
        </w:rPr>
      </w:pPr>
    </w:p>
    <w:p w14:paraId="5CC3D8CB">
      <w:pPr>
        <w:numPr>
          <w:ilvl w:val="0"/>
          <w:numId w:val="5"/>
        </w:numPr>
        <w:spacing w:line="600" w:lineRule="exact"/>
        <w:ind w:firstLine="660" w:firstLineChars="150"/>
        <w:jc w:val="center"/>
        <w:outlineLvl w:val="0"/>
        <w:rPr>
          <w:rStyle w:val="28"/>
          <w:rFonts w:ascii="黑体" w:hAnsi="黑体" w:eastAsia="黑体"/>
          <w:b w:val="0"/>
        </w:rPr>
      </w:pPr>
      <w:bookmarkStart w:id="45" w:name="_Toc15396613"/>
      <w:bookmarkStart w:id="46" w:name="_Toc15377225"/>
      <w:r>
        <w:rPr>
          <w:rFonts w:hint="eastAsia" w:ascii="黑体" w:hAnsi="黑体" w:eastAsia="黑体"/>
          <w:sz w:val="44"/>
          <w:szCs w:val="44"/>
        </w:rPr>
        <w:t>名</w:t>
      </w:r>
      <w:r>
        <w:rPr>
          <w:rStyle w:val="28"/>
          <w:rFonts w:hint="eastAsia" w:ascii="黑体" w:hAnsi="黑体" w:eastAsia="黑体"/>
          <w:b w:val="0"/>
        </w:rPr>
        <w:t>词解释</w:t>
      </w:r>
      <w:bookmarkEnd w:id="45"/>
      <w:bookmarkEnd w:id="46"/>
    </w:p>
    <w:p w14:paraId="30F09DAA">
      <w:pPr>
        <w:spacing w:line="600" w:lineRule="exact"/>
        <w:jc w:val="left"/>
        <w:rPr>
          <w:rFonts w:ascii="宋体"/>
          <w:b/>
          <w:sz w:val="44"/>
          <w:szCs w:val="44"/>
        </w:rPr>
      </w:pPr>
    </w:p>
    <w:p w14:paraId="6F4755F8">
      <w:pPr>
        <w:pStyle w:val="26"/>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1.财政拨款收入：指单位从同级财政部门取得的财政预算资金。</w:t>
      </w:r>
    </w:p>
    <w:p w14:paraId="14542FC0">
      <w:pPr>
        <w:pStyle w:val="26"/>
        <w:spacing w:before="156" w:beforeLines="50"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.公共安全支出（类）公安（款）行政运行（项），主要用于：人员基本工资、津贴补贴、绩效目标、福利费、办公费、手续费、差旅费、电费、邮电费等。</w:t>
      </w:r>
    </w:p>
    <w:p w14:paraId="4A83787C">
      <w:pPr>
        <w:pStyle w:val="26"/>
        <w:spacing w:before="156" w:beforeLines="50"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.公共安全支出（类）公安（款）一般行政管理事务（项），主要用于：</w:t>
      </w:r>
      <w:r>
        <w:rPr>
          <w:rFonts w:hint="eastAsia" w:ascii="仿宋" w:hAnsi="仿宋" w:eastAsia="仿宋" w:cs="仿宋"/>
          <w:sz w:val="32"/>
          <w:szCs w:val="32"/>
          <w:lang w:val="en-US" w:eastAsia="zh-CN"/>
        </w:rPr>
        <w:t>市级公安监所医疗、被强制医疗人员医疗生活被装、警务辅助人员专项经费等</w:t>
      </w:r>
      <w:r>
        <w:rPr>
          <w:rFonts w:hint="eastAsia" w:ascii="仿宋" w:hAnsi="仿宋" w:eastAsia="仿宋" w:cs="仿宋"/>
          <w:sz w:val="32"/>
          <w:szCs w:val="32"/>
        </w:rPr>
        <w:t>。</w:t>
      </w:r>
    </w:p>
    <w:p w14:paraId="1A318056">
      <w:pPr>
        <w:spacing w:before="156" w:beforeLines="50" w:line="576"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.社会保障和就业支出（类）</w:t>
      </w:r>
      <w:r>
        <w:rPr>
          <w:rStyle w:val="17"/>
          <w:rFonts w:hint="eastAsia" w:ascii="仿宋" w:hAnsi="仿宋" w:eastAsia="仿宋" w:cs="仿宋"/>
          <w:b w:val="0"/>
          <w:color w:val="000000"/>
          <w:sz w:val="32"/>
          <w:szCs w:val="32"/>
        </w:rPr>
        <w:t>行政事业单位养老支出</w:t>
      </w:r>
      <w:r>
        <w:rPr>
          <w:rFonts w:hint="eastAsia" w:ascii="仿宋" w:hAnsi="仿宋" w:eastAsia="仿宋" w:cs="仿宋"/>
          <w:color w:val="000000"/>
          <w:kern w:val="0"/>
          <w:sz w:val="32"/>
          <w:szCs w:val="32"/>
        </w:rPr>
        <w:t>（款）机关事业单位基本养老保险缴费支出（项），主要用于：机关事业单位人员基本养老保险缴费。</w:t>
      </w:r>
    </w:p>
    <w:p w14:paraId="2A727BD6">
      <w:pPr>
        <w:spacing w:before="156" w:beforeLines="50" w:line="576"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.卫生健康支出（类）行政事业单位医疗（款）行政单位医疗（项），主要用于：基本医疗保险缴费、其他社会保障缴费。</w:t>
      </w:r>
    </w:p>
    <w:p w14:paraId="0D6A8707">
      <w:pPr>
        <w:spacing w:before="156" w:beforeLines="50" w:line="576" w:lineRule="exact"/>
        <w:ind w:firstLine="640" w:firstLineChars="200"/>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rPr>
        <w:t>.住房改革支出（款）住房公积金（项），主要用于：缴纳住房公积金。</w:t>
      </w:r>
    </w:p>
    <w:p w14:paraId="47575E06">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.基本支出：指为保障机构正常运转、完成日常工作任务而发生的人员支出和公用支出。</w:t>
      </w:r>
    </w:p>
    <w:p w14:paraId="064E35BC">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 xml:space="preserve">.项目支出：指在基本支出之外为完成特定行政任务和事业发展目标所发生的支出。 </w:t>
      </w:r>
    </w:p>
    <w:p w14:paraId="709D2416">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.经营支出：指事业单位在专业业务活动及其辅助活动之外开展非独立核算经营活动发生的支出。</w:t>
      </w:r>
    </w:p>
    <w:p w14:paraId="60BB7B28">
      <w:pPr>
        <w:pStyle w:val="26"/>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C4D8843">
      <w:pPr>
        <w:pStyle w:val="26"/>
        <w:spacing w:line="560" w:lineRule="exact"/>
        <w:ind w:firstLine="640" w:firstLineChars="200"/>
        <w:rPr>
          <w:rFonts w:ascii="仿宋" w:hAnsi="仿宋" w:eastAsia="仿宋"/>
          <w:b/>
          <w:sz w:val="32"/>
          <w:szCs w:val="32"/>
        </w:rPr>
      </w:pP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47" w:name="_Toc15396614"/>
      <w:bookmarkStart w:id="48" w:name="_Toc15377226"/>
    </w:p>
    <w:p w14:paraId="192B327F">
      <w:pPr>
        <w:spacing w:line="600" w:lineRule="exact"/>
        <w:jc w:val="center"/>
        <w:outlineLvl w:val="0"/>
        <w:rPr>
          <w:rFonts w:ascii="仿宋" w:hAnsi="仿宋" w:eastAsia="仿宋"/>
          <w:b/>
          <w:sz w:val="32"/>
          <w:szCs w:val="32"/>
        </w:rPr>
      </w:pPr>
    </w:p>
    <w:p w14:paraId="1C3BA68C">
      <w:pPr>
        <w:spacing w:line="600" w:lineRule="exact"/>
        <w:jc w:val="center"/>
        <w:outlineLvl w:val="0"/>
        <w:rPr>
          <w:rFonts w:ascii="仿宋" w:hAnsi="仿宋" w:eastAsia="仿宋"/>
          <w:b/>
          <w:sz w:val="32"/>
          <w:szCs w:val="32"/>
        </w:rPr>
      </w:pPr>
    </w:p>
    <w:p w14:paraId="380F7578">
      <w:pPr>
        <w:spacing w:line="600" w:lineRule="exact"/>
        <w:jc w:val="center"/>
        <w:outlineLvl w:val="0"/>
        <w:rPr>
          <w:rFonts w:ascii="仿宋" w:hAnsi="仿宋" w:eastAsia="仿宋"/>
          <w:b/>
          <w:sz w:val="32"/>
          <w:szCs w:val="32"/>
        </w:rPr>
      </w:pPr>
    </w:p>
    <w:p w14:paraId="370F7098">
      <w:pPr>
        <w:spacing w:line="600" w:lineRule="exact"/>
        <w:jc w:val="center"/>
        <w:outlineLvl w:val="0"/>
        <w:rPr>
          <w:rFonts w:ascii="仿宋" w:hAnsi="仿宋" w:eastAsia="仿宋"/>
          <w:b/>
          <w:sz w:val="32"/>
          <w:szCs w:val="32"/>
        </w:rPr>
      </w:pPr>
    </w:p>
    <w:p w14:paraId="41112553">
      <w:pPr>
        <w:pStyle w:val="2"/>
        <w:spacing w:before="93"/>
      </w:pPr>
    </w:p>
    <w:p w14:paraId="33B1F887">
      <w:pPr>
        <w:pStyle w:val="2"/>
        <w:spacing w:before="93"/>
      </w:pPr>
    </w:p>
    <w:p w14:paraId="42199332">
      <w:pPr>
        <w:pStyle w:val="2"/>
        <w:spacing w:before="93"/>
      </w:pPr>
    </w:p>
    <w:p w14:paraId="17726672">
      <w:pPr>
        <w:pStyle w:val="2"/>
        <w:spacing w:before="93"/>
        <w:rPr>
          <w:rFonts w:hint="eastAsia"/>
        </w:rPr>
      </w:pPr>
    </w:p>
    <w:p w14:paraId="75957808">
      <w:pPr>
        <w:spacing w:line="600" w:lineRule="exact"/>
        <w:jc w:val="center"/>
        <w:outlineLvl w:val="0"/>
        <w:rPr>
          <w:rFonts w:ascii="黑体" w:hAnsi="黑体" w:eastAsia="黑体"/>
          <w:bCs/>
          <w:kern w:val="44"/>
          <w:sz w:val="44"/>
          <w:szCs w:val="44"/>
        </w:rPr>
      </w:pPr>
      <w:r>
        <w:rPr>
          <w:rFonts w:hint="eastAsia" w:ascii="黑体" w:hAnsi="黑体" w:eastAsia="黑体"/>
          <w:sz w:val="44"/>
          <w:szCs w:val="44"/>
        </w:rPr>
        <w:t>第</w:t>
      </w:r>
      <w:r>
        <w:rPr>
          <w:rFonts w:hint="eastAsia" w:ascii="黑体" w:hAnsi="黑体" w:eastAsia="黑体"/>
          <w:bCs/>
          <w:kern w:val="44"/>
          <w:sz w:val="44"/>
          <w:szCs w:val="44"/>
        </w:rPr>
        <w:t>四部分 附件</w:t>
      </w:r>
    </w:p>
    <w:p w14:paraId="267E3A69">
      <w:pPr>
        <w:spacing w:line="572" w:lineRule="exact"/>
        <w:jc w:val="left"/>
        <w:outlineLvl w:val="0"/>
        <w:rPr>
          <w:rFonts w:ascii="仿宋_GB2312" w:hAnsi="仿宋_GB2312" w:eastAsia="仿宋_GB2312" w:cs="仿宋_GB2312"/>
          <w:sz w:val="32"/>
          <w:szCs w:val="32"/>
        </w:rPr>
      </w:pPr>
    </w:p>
    <w:p w14:paraId="2A4A62BD">
      <w:pPr>
        <w:spacing w:line="600" w:lineRule="exact"/>
        <w:jc w:val="center"/>
        <w:outlineLvl w:val="0"/>
        <w:rPr>
          <w:rFonts w:ascii="宋体" w:hAnsi="宋体" w:cs="宋体"/>
          <w:kern w:val="0"/>
          <w:sz w:val="32"/>
          <w:szCs w:val="32"/>
        </w:rPr>
      </w:pPr>
      <w:r>
        <w:rPr>
          <w:rFonts w:hint="eastAsia" w:ascii="宋体" w:hAnsi="宋体" w:cs="宋体"/>
          <w:kern w:val="0"/>
          <w:sz w:val="32"/>
          <w:szCs w:val="32"/>
        </w:rPr>
        <w:t>部门预算项目支出绩效自评表（202</w:t>
      </w:r>
      <w:r>
        <w:rPr>
          <w:rFonts w:hint="eastAsia" w:ascii="宋体" w:hAnsi="宋体" w:cs="宋体"/>
          <w:kern w:val="0"/>
          <w:sz w:val="32"/>
          <w:szCs w:val="32"/>
          <w:lang w:val="en-US" w:eastAsia="zh-CN"/>
        </w:rPr>
        <w:t>3</w:t>
      </w:r>
      <w:r>
        <w:rPr>
          <w:rFonts w:hint="eastAsia" w:ascii="宋体" w:hAnsi="宋体" w:cs="宋体"/>
          <w:kern w:val="0"/>
          <w:sz w:val="32"/>
          <w:szCs w:val="32"/>
        </w:rPr>
        <w:t>年度）</w:t>
      </w:r>
    </w:p>
    <w:p w14:paraId="1FF9CB39">
      <w:pPr>
        <w:spacing w:line="600" w:lineRule="exact"/>
        <w:jc w:val="left"/>
        <w:outlineLvl w:val="0"/>
        <w:rPr>
          <w:rFonts w:ascii="仿宋_GB2312" w:hAnsi="Calibri" w:eastAsia="仿宋_GB2312" w:cs="仿宋"/>
          <w:kern w:val="0"/>
          <w:sz w:val="32"/>
          <w:szCs w:val="32"/>
        </w:rPr>
      </w:pPr>
    </w:p>
    <w:p w14:paraId="18CE2A35">
      <w:pPr>
        <w:spacing w:line="600" w:lineRule="exact"/>
        <w:jc w:val="center"/>
        <w:outlineLvl w:val="0"/>
        <w:rPr>
          <w:rFonts w:ascii="仿宋" w:hAnsi="仿宋" w:eastAsia="仿宋"/>
          <w:b/>
          <w:sz w:val="32"/>
          <w:szCs w:val="32"/>
        </w:rPr>
      </w:pPr>
    </w:p>
    <w:p w14:paraId="4702C7AA">
      <w:pPr>
        <w:pStyle w:val="2"/>
        <w:spacing w:before="93"/>
      </w:pPr>
    </w:p>
    <w:p w14:paraId="5EFFF292">
      <w:pPr>
        <w:pStyle w:val="2"/>
        <w:spacing w:before="93"/>
      </w:pPr>
    </w:p>
    <w:p w14:paraId="16F5D90E">
      <w:pPr>
        <w:pStyle w:val="2"/>
        <w:spacing w:before="93"/>
      </w:pPr>
    </w:p>
    <w:p w14:paraId="4917503C">
      <w:pPr>
        <w:pStyle w:val="2"/>
        <w:spacing w:before="93"/>
      </w:pPr>
    </w:p>
    <w:p w14:paraId="5860385F">
      <w:pPr>
        <w:pStyle w:val="2"/>
        <w:spacing w:before="93"/>
      </w:pPr>
    </w:p>
    <w:p w14:paraId="7DA0AB11">
      <w:pPr>
        <w:pStyle w:val="2"/>
        <w:spacing w:before="93"/>
      </w:pPr>
    </w:p>
    <w:p w14:paraId="2356E082">
      <w:pPr>
        <w:pStyle w:val="2"/>
        <w:spacing w:before="93"/>
      </w:pPr>
    </w:p>
    <w:p w14:paraId="58A26968">
      <w:pPr>
        <w:pStyle w:val="2"/>
        <w:spacing w:before="93"/>
      </w:pPr>
    </w:p>
    <w:p w14:paraId="0B7DEC74">
      <w:pPr>
        <w:pStyle w:val="2"/>
        <w:spacing w:before="93"/>
      </w:pPr>
    </w:p>
    <w:p w14:paraId="7C971DB5">
      <w:pPr>
        <w:pStyle w:val="2"/>
        <w:spacing w:before="93"/>
      </w:pPr>
    </w:p>
    <w:p w14:paraId="330BC1D0">
      <w:pPr>
        <w:pStyle w:val="2"/>
        <w:spacing w:before="93"/>
      </w:pPr>
    </w:p>
    <w:p w14:paraId="02084CB7">
      <w:pPr>
        <w:pStyle w:val="2"/>
        <w:spacing w:before="93"/>
      </w:pPr>
    </w:p>
    <w:p w14:paraId="41C472AC">
      <w:pPr>
        <w:pStyle w:val="2"/>
        <w:spacing w:before="93"/>
      </w:pPr>
    </w:p>
    <w:p w14:paraId="7418DBC1">
      <w:pPr>
        <w:pStyle w:val="2"/>
        <w:spacing w:before="93"/>
        <w:rPr>
          <w:rFonts w:hint="eastAsia"/>
        </w:rPr>
      </w:pPr>
    </w:p>
    <w:bookmarkEnd w:id="47"/>
    <w:p w14:paraId="23EEA3A4">
      <w:pPr>
        <w:spacing w:line="600" w:lineRule="exact"/>
        <w:jc w:val="center"/>
        <w:outlineLvl w:val="0"/>
        <w:rPr>
          <w:rFonts w:ascii="仿宋" w:hAnsi="仿宋" w:eastAsia="仿宋"/>
        </w:rPr>
      </w:pPr>
      <w:bookmarkStart w:id="49" w:name="_Toc15396618"/>
      <w:r>
        <w:rPr>
          <w:rFonts w:hint="eastAsia" w:ascii="黑体" w:hAnsi="黑体" w:eastAsia="黑体"/>
          <w:sz w:val="44"/>
          <w:szCs w:val="44"/>
        </w:rPr>
        <w:t>第</w:t>
      </w:r>
      <w:r>
        <w:rPr>
          <w:rStyle w:val="28"/>
          <w:rFonts w:hint="eastAsia" w:ascii="黑体" w:hAnsi="黑体" w:eastAsia="黑体"/>
          <w:b w:val="0"/>
        </w:rPr>
        <w:t>五部分 附表</w:t>
      </w:r>
      <w:bookmarkEnd w:id="48"/>
      <w:bookmarkEnd w:id="49"/>
      <w:bookmarkStart w:id="50" w:name="_Toc15396619"/>
    </w:p>
    <w:bookmarkEnd w:id="50"/>
    <w:p w14:paraId="55FB1D93">
      <w:pPr>
        <w:pStyle w:val="4"/>
        <w:rPr>
          <w:rFonts w:ascii="仿宋" w:hAnsi="仿宋" w:eastAsia="仿宋"/>
          <w:color w:val="auto"/>
          <w:highlight w:val="none"/>
        </w:rPr>
      </w:pPr>
      <w:r>
        <w:rPr>
          <w:rFonts w:hint="eastAsia" w:ascii="仿宋" w:hAnsi="仿宋" w:eastAsia="仿宋"/>
          <w:b w:val="0"/>
          <w:color w:val="auto"/>
          <w:highlight w:val="none"/>
        </w:rPr>
        <w:t>一、收</w:t>
      </w:r>
      <w:r>
        <w:rPr>
          <w:rStyle w:val="36"/>
          <w:rFonts w:hint="eastAsia" w:ascii="仿宋" w:hAnsi="仿宋" w:eastAsia="仿宋"/>
          <w:b w:val="0"/>
          <w:bCs w:val="0"/>
          <w:color w:val="auto"/>
          <w:highlight w:val="none"/>
        </w:rPr>
        <w:t>入支出决算总表</w:t>
      </w:r>
    </w:p>
    <w:p w14:paraId="2629BBBC">
      <w:pPr>
        <w:pStyle w:val="4"/>
        <w:rPr>
          <w:rFonts w:ascii="仿宋" w:hAnsi="仿宋" w:eastAsia="仿宋"/>
          <w:color w:val="auto"/>
          <w:highlight w:val="none"/>
        </w:rPr>
      </w:pPr>
      <w:bookmarkStart w:id="51" w:name="_Toc15396620"/>
      <w:r>
        <w:rPr>
          <w:rFonts w:hint="eastAsia" w:ascii="仿宋" w:hAnsi="仿宋" w:eastAsia="仿宋"/>
          <w:b w:val="0"/>
          <w:color w:val="auto"/>
          <w:highlight w:val="none"/>
        </w:rPr>
        <w:t>二、收</w:t>
      </w:r>
      <w:r>
        <w:rPr>
          <w:rStyle w:val="36"/>
          <w:rFonts w:hint="eastAsia" w:ascii="仿宋" w:hAnsi="仿宋" w:eastAsia="仿宋"/>
          <w:b w:val="0"/>
          <w:bCs w:val="0"/>
          <w:color w:val="auto"/>
          <w:highlight w:val="none"/>
        </w:rPr>
        <w:t>入决算表</w:t>
      </w:r>
      <w:bookmarkEnd w:id="51"/>
    </w:p>
    <w:p w14:paraId="4536F3A1">
      <w:pPr>
        <w:pStyle w:val="4"/>
        <w:rPr>
          <w:rFonts w:ascii="仿宋" w:hAnsi="仿宋" w:eastAsia="仿宋"/>
          <w:color w:val="auto"/>
          <w:highlight w:val="none"/>
        </w:rPr>
      </w:pPr>
      <w:bookmarkStart w:id="52" w:name="_Toc15396621"/>
      <w:r>
        <w:rPr>
          <w:rStyle w:val="36"/>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6"/>
          <w:rFonts w:hint="eastAsia" w:ascii="仿宋" w:hAnsi="仿宋" w:eastAsia="仿宋"/>
          <w:b w:val="0"/>
          <w:bCs w:val="0"/>
          <w:color w:val="auto"/>
          <w:highlight w:val="none"/>
        </w:rPr>
        <w:t>出决算表</w:t>
      </w:r>
      <w:bookmarkEnd w:id="52"/>
    </w:p>
    <w:p w14:paraId="2325F565">
      <w:pPr>
        <w:pStyle w:val="4"/>
        <w:rPr>
          <w:rFonts w:ascii="仿宋" w:hAnsi="仿宋" w:eastAsia="仿宋"/>
          <w:b w:val="0"/>
          <w:color w:val="auto"/>
          <w:highlight w:val="none"/>
        </w:rPr>
      </w:pPr>
      <w:bookmarkStart w:id="53" w:name="_Toc15396622"/>
      <w:r>
        <w:rPr>
          <w:rStyle w:val="36"/>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6"/>
          <w:rFonts w:hint="eastAsia" w:ascii="仿宋" w:hAnsi="仿宋" w:eastAsia="仿宋"/>
          <w:b w:val="0"/>
          <w:bCs w:val="0"/>
          <w:color w:val="auto"/>
          <w:highlight w:val="none"/>
        </w:rPr>
        <w:t>政拨款收入支出决算总表</w:t>
      </w:r>
      <w:bookmarkEnd w:id="53"/>
    </w:p>
    <w:p w14:paraId="38B9C220">
      <w:pPr>
        <w:pStyle w:val="4"/>
        <w:rPr>
          <w:rStyle w:val="36"/>
          <w:rFonts w:ascii="仿宋" w:hAnsi="仿宋" w:eastAsia="仿宋"/>
          <w:b w:val="0"/>
          <w:bCs w:val="0"/>
          <w:color w:val="auto"/>
          <w:highlight w:val="none"/>
        </w:rPr>
      </w:pPr>
      <w:bookmarkStart w:id="54" w:name="_Toc15396623"/>
      <w:r>
        <w:rPr>
          <w:rStyle w:val="36"/>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6"/>
          <w:rFonts w:hint="eastAsia" w:ascii="仿宋" w:hAnsi="仿宋" w:eastAsia="仿宋"/>
          <w:b w:val="0"/>
          <w:bCs w:val="0"/>
          <w:color w:val="auto"/>
          <w:highlight w:val="none"/>
        </w:rPr>
        <w:t>政拨款支出决算明细表</w:t>
      </w:r>
      <w:bookmarkEnd w:id="54"/>
      <w:bookmarkStart w:id="55" w:name="_Toc15396624"/>
    </w:p>
    <w:p w14:paraId="2E624B68">
      <w:pPr>
        <w:pStyle w:val="4"/>
        <w:rPr>
          <w:rFonts w:ascii="仿宋" w:hAnsi="仿宋" w:eastAsia="仿宋"/>
          <w:color w:val="auto"/>
          <w:highlight w:val="none"/>
        </w:rPr>
      </w:pPr>
      <w:r>
        <w:rPr>
          <w:rStyle w:val="36"/>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6"/>
          <w:rFonts w:hint="eastAsia" w:ascii="仿宋" w:hAnsi="仿宋" w:eastAsia="仿宋"/>
          <w:b w:val="0"/>
          <w:bCs w:val="0"/>
          <w:color w:val="auto"/>
          <w:highlight w:val="none"/>
        </w:rPr>
        <w:t>般公共预算财政拨款支出决算表</w:t>
      </w:r>
      <w:bookmarkEnd w:id="55"/>
    </w:p>
    <w:p w14:paraId="009D8E7D">
      <w:pPr>
        <w:pStyle w:val="4"/>
        <w:rPr>
          <w:rFonts w:ascii="仿宋" w:hAnsi="仿宋" w:eastAsia="仿宋"/>
          <w:color w:val="auto"/>
          <w:highlight w:val="none"/>
        </w:rPr>
      </w:pPr>
      <w:bookmarkStart w:id="56" w:name="_Toc15396625"/>
      <w:r>
        <w:rPr>
          <w:rStyle w:val="36"/>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6"/>
          <w:rFonts w:hint="eastAsia" w:ascii="仿宋" w:hAnsi="仿宋" w:eastAsia="仿宋"/>
          <w:b w:val="0"/>
          <w:bCs w:val="0"/>
          <w:color w:val="auto"/>
          <w:highlight w:val="none"/>
        </w:rPr>
        <w:t>般公共预算财政拨款支出决算明细表</w:t>
      </w:r>
      <w:bookmarkEnd w:id="56"/>
    </w:p>
    <w:p w14:paraId="5ABF9B22">
      <w:pPr>
        <w:pStyle w:val="4"/>
        <w:rPr>
          <w:rFonts w:ascii="仿宋" w:hAnsi="仿宋" w:eastAsia="仿宋"/>
          <w:color w:val="auto"/>
          <w:highlight w:val="none"/>
        </w:rPr>
      </w:pPr>
      <w:bookmarkStart w:id="57" w:name="_Toc15396626"/>
      <w:r>
        <w:rPr>
          <w:rStyle w:val="36"/>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6"/>
          <w:rFonts w:hint="eastAsia" w:ascii="仿宋" w:hAnsi="仿宋" w:eastAsia="仿宋"/>
          <w:b w:val="0"/>
          <w:bCs w:val="0"/>
          <w:color w:val="auto"/>
          <w:highlight w:val="none"/>
        </w:rPr>
        <w:t>般公共预算财政拨款基本支出决算表</w:t>
      </w:r>
      <w:bookmarkEnd w:id="57"/>
    </w:p>
    <w:p w14:paraId="38765299">
      <w:pPr>
        <w:pStyle w:val="4"/>
        <w:rPr>
          <w:rFonts w:ascii="仿宋" w:hAnsi="仿宋" w:eastAsia="仿宋"/>
          <w:color w:val="auto"/>
          <w:highlight w:val="none"/>
        </w:rPr>
      </w:pPr>
      <w:bookmarkStart w:id="58" w:name="_Toc15396627"/>
      <w:r>
        <w:rPr>
          <w:rStyle w:val="36"/>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6"/>
          <w:rFonts w:hint="eastAsia" w:ascii="仿宋" w:hAnsi="仿宋" w:eastAsia="仿宋"/>
          <w:b w:val="0"/>
          <w:bCs w:val="0"/>
          <w:color w:val="auto"/>
          <w:highlight w:val="none"/>
        </w:rPr>
        <w:t>般公共预算财政拨款项目支出决算表</w:t>
      </w:r>
      <w:bookmarkEnd w:id="58"/>
    </w:p>
    <w:p w14:paraId="1409B3F7">
      <w:pPr>
        <w:pStyle w:val="4"/>
        <w:rPr>
          <w:rFonts w:ascii="仿宋" w:hAnsi="仿宋" w:eastAsia="仿宋"/>
          <w:color w:val="auto"/>
          <w:highlight w:val="none"/>
        </w:rPr>
      </w:pPr>
      <w:bookmarkStart w:id="59" w:name="_Toc15396628"/>
      <w:r>
        <w:rPr>
          <w:rStyle w:val="36"/>
          <w:rFonts w:hint="eastAsia" w:ascii="仿宋" w:hAnsi="仿宋" w:eastAsia="仿宋"/>
          <w:b w:val="0"/>
          <w:bCs w:val="0"/>
          <w:color w:val="auto"/>
          <w:highlight w:val="none"/>
        </w:rPr>
        <w:t>十、</w:t>
      </w:r>
      <w:bookmarkEnd w:id="59"/>
      <w:r>
        <w:rPr>
          <w:rFonts w:hint="eastAsia" w:ascii="仿宋" w:hAnsi="仿宋" w:eastAsia="仿宋"/>
          <w:b w:val="0"/>
          <w:color w:val="auto"/>
          <w:highlight w:val="none"/>
        </w:rPr>
        <w:t>政</w:t>
      </w:r>
      <w:r>
        <w:rPr>
          <w:rStyle w:val="36"/>
          <w:rFonts w:hint="eastAsia" w:ascii="仿宋" w:hAnsi="仿宋" w:eastAsia="仿宋"/>
          <w:b w:val="0"/>
          <w:bCs w:val="0"/>
          <w:color w:val="auto"/>
          <w:highlight w:val="none"/>
        </w:rPr>
        <w:t>府性基金预算财政拨款收入支出决算表</w:t>
      </w:r>
    </w:p>
    <w:p w14:paraId="088C228A">
      <w:pPr>
        <w:pStyle w:val="4"/>
        <w:rPr>
          <w:rFonts w:ascii="仿宋" w:hAnsi="仿宋" w:eastAsia="仿宋"/>
          <w:color w:val="auto"/>
          <w:highlight w:val="none"/>
        </w:rPr>
      </w:pPr>
      <w:bookmarkStart w:id="60" w:name="_Toc15396629"/>
      <w:r>
        <w:rPr>
          <w:rStyle w:val="36"/>
          <w:rFonts w:hint="eastAsia" w:ascii="仿宋" w:hAnsi="仿宋" w:eastAsia="仿宋"/>
          <w:b w:val="0"/>
          <w:bCs w:val="0"/>
          <w:color w:val="auto"/>
          <w:highlight w:val="none"/>
        </w:rPr>
        <w:t>十一、</w:t>
      </w:r>
      <w:bookmarkEnd w:id="60"/>
      <w:r>
        <w:rPr>
          <w:rFonts w:hint="eastAsia" w:ascii="仿宋" w:hAnsi="仿宋" w:eastAsia="仿宋"/>
          <w:b w:val="0"/>
          <w:color w:val="auto"/>
          <w:highlight w:val="none"/>
        </w:rPr>
        <w:t>国</w:t>
      </w:r>
      <w:r>
        <w:rPr>
          <w:rStyle w:val="36"/>
          <w:rFonts w:hint="eastAsia" w:ascii="仿宋" w:hAnsi="仿宋" w:eastAsia="仿宋"/>
          <w:b w:val="0"/>
          <w:bCs w:val="0"/>
          <w:color w:val="auto"/>
          <w:highlight w:val="none"/>
        </w:rPr>
        <w:t>有资本经营预算</w:t>
      </w:r>
      <w:r>
        <w:rPr>
          <w:rStyle w:val="36"/>
          <w:rFonts w:hint="eastAsia" w:ascii="仿宋" w:hAnsi="仿宋" w:eastAsia="仿宋"/>
          <w:b w:val="0"/>
          <w:bCs w:val="0"/>
          <w:color w:val="auto"/>
          <w:highlight w:val="none"/>
          <w:lang w:eastAsia="zh-CN"/>
        </w:rPr>
        <w:t>财政拨款收入</w:t>
      </w:r>
      <w:r>
        <w:rPr>
          <w:rStyle w:val="36"/>
          <w:rFonts w:hint="eastAsia" w:ascii="仿宋" w:hAnsi="仿宋" w:eastAsia="仿宋"/>
          <w:b w:val="0"/>
          <w:bCs w:val="0"/>
          <w:color w:val="auto"/>
          <w:highlight w:val="none"/>
        </w:rPr>
        <w:t>支出决算表</w:t>
      </w:r>
    </w:p>
    <w:p w14:paraId="7CF7AC1D">
      <w:pPr>
        <w:pStyle w:val="4"/>
        <w:rPr>
          <w:rStyle w:val="36"/>
          <w:rFonts w:hint="eastAsia" w:ascii="仿宋" w:hAnsi="仿宋" w:eastAsia="仿宋"/>
          <w:b w:val="0"/>
          <w:bCs w:val="0"/>
          <w:color w:val="auto"/>
          <w:highlight w:val="none"/>
          <w:lang w:eastAsia="zh-CN"/>
        </w:rPr>
      </w:pPr>
      <w:bookmarkStart w:id="61" w:name="_Toc15396630"/>
      <w:r>
        <w:rPr>
          <w:rStyle w:val="36"/>
          <w:rFonts w:hint="eastAsia" w:ascii="仿宋" w:hAnsi="仿宋" w:eastAsia="仿宋"/>
          <w:b w:val="0"/>
          <w:bCs w:val="0"/>
          <w:color w:val="auto"/>
          <w:highlight w:val="none"/>
        </w:rPr>
        <w:t>十二</w:t>
      </w:r>
      <w:bookmarkEnd w:id="61"/>
      <w:bookmarkStart w:id="62" w:name="_Toc15396631"/>
      <w:r>
        <w:rPr>
          <w:rStyle w:val="36"/>
          <w:rFonts w:hint="eastAsia" w:ascii="仿宋" w:hAnsi="仿宋" w:eastAsia="仿宋"/>
          <w:b w:val="0"/>
          <w:bCs w:val="0"/>
          <w:color w:val="auto"/>
          <w:highlight w:val="none"/>
          <w:lang w:eastAsia="zh-CN"/>
        </w:rPr>
        <w:t>、国有资本经营预算财政拨款支出决算表</w:t>
      </w:r>
    </w:p>
    <w:p w14:paraId="5B33A0F2">
      <w:pPr>
        <w:pStyle w:val="4"/>
        <w:spacing w:before="0" w:after="0" w:line="240" w:lineRule="auto"/>
        <w:rPr>
          <w:rFonts w:eastAsia="仿宋"/>
        </w:rPr>
      </w:pPr>
      <w:r>
        <w:rPr>
          <w:rStyle w:val="36"/>
          <w:rFonts w:hint="eastAsia" w:ascii="仿宋" w:hAnsi="仿宋" w:eastAsia="仿宋"/>
          <w:b w:val="0"/>
          <w:bCs w:val="0"/>
          <w:color w:val="auto"/>
          <w:highlight w:val="none"/>
        </w:rPr>
        <w:t>十三、</w:t>
      </w:r>
      <w:bookmarkEnd w:id="62"/>
      <w:r>
        <w:rPr>
          <w:rStyle w:val="36"/>
          <w:rFonts w:hint="eastAsia" w:ascii="仿宋" w:hAnsi="仿宋" w:eastAsia="仿宋"/>
          <w:b w:val="0"/>
          <w:bCs w:val="0"/>
          <w:color w:val="auto"/>
          <w:highlight w:val="none"/>
        </w:rPr>
        <w:t>财政拨款“三公”经费支出决算表</w:t>
      </w:r>
    </w:p>
    <w:sectPr>
      <w:footerReference r:id="rId7" w:type="first"/>
      <w:headerReference r:id="rId5" w:type="default"/>
      <w:footerReference r:id="rId6"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CA8FF89C-8E43-410E-B9AB-2AED29938F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2103C3A-1B7A-4A50-B541-A007B528D341}"/>
  </w:font>
  <w:font w:name="Cambria">
    <w:panose1 w:val="02040503050406030204"/>
    <w:charset w:val="00"/>
    <w:family w:val="roman"/>
    <w:pitch w:val="default"/>
    <w:sig w:usb0="E00006FF" w:usb1="420024FF" w:usb2="02000000" w:usb3="00000000" w:csb0="2000019F" w:csb1="00000000"/>
    <w:embedRegular r:id="rId3" w:fontKey="{267E83FC-C577-4188-8281-EEDD546AD3F4}"/>
  </w:font>
  <w:font w:name="仿宋_GB2312">
    <w:panose1 w:val="02010609030101010101"/>
    <w:charset w:val="86"/>
    <w:family w:val="modern"/>
    <w:pitch w:val="default"/>
    <w:sig w:usb0="00000001" w:usb1="080E0000" w:usb2="00000000" w:usb3="00000000" w:csb0="00040000" w:csb1="00000000"/>
    <w:embedRegular r:id="rId4" w:fontKey="{7CCAB306-0710-49C5-8E64-6121E5855A13}"/>
  </w:font>
  <w:font w:name="仿宋">
    <w:panose1 w:val="02010609060101010101"/>
    <w:charset w:val="86"/>
    <w:family w:val="modern"/>
    <w:pitch w:val="default"/>
    <w:sig w:usb0="800002BF" w:usb1="38CF7CFA" w:usb2="00000016" w:usb3="00000000" w:csb0="00040001" w:csb1="00000000"/>
    <w:embedRegular r:id="rId5" w:fontKey="{82F03F1A-C1BA-4742-B669-56B3C68F0B14}"/>
  </w:font>
  <w:font w:name="??">
    <w:altName w:val="Times New Roman"/>
    <w:panose1 w:val="00000000000000000000"/>
    <w:charset w:val="00"/>
    <w:family w:val="roman"/>
    <w:pitch w:val="default"/>
    <w:sig w:usb0="00000000" w:usb1="00000000" w:usb2="00000000" w:usb3="00000000" w:csb0="00000000"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script"/>
    <w:pitch w:val="default"/>
    <w:sig w:usb0="00000001" w:usb1="08000000" w:usb2="00000000" w:usb3="00000000" w:csb0="00040000" w:csb1="00000000"/>
    <w:embedRegular r:id="rId6" w:fontKey="{25A0ACE4-053C-4DF0-92CE-AEAE6E131969}"/>
  </w:font>
  <w:font w:name="汉仪雅酷黑简">
    <w:panose1 w:val="00020600040101010101"/>
    <w:charset w:val="86"/>
    <w:family w:val="auto"/>
    <w:pitch w:val="default"/>
    <w:sig w:usb0="A00002BF" w:usb1="1AC1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44C2B">
    <w:pPr>
      <w:pStyle w:val="9"/>
      <w:jc w:val="center"/>
    </w:pPr>
  </w:p>
  <w:p w14:paraId="77BA576E">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BA897">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1DBB7CE">
                          <w:pPr>
                            <w:pStyle w:val="9"/>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1DBB7CE">
                    <w:pPr>
                      <w:pStyle w:val="9"/>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p w14:paraId="58B1A887">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FA982">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0FA1242">
                          <w:pPr>
                            <w:pStyle w:val="9"/>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40FA1242">
                    <w:pPr>
                      <w:pStyle w:val="9"/>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58701">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4FE43">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8FF5DA"/>
    <w:multiLevelType w:val="singleLevel"/>
    <w:tmpl w:val="BC8FF5DA"/>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674F1A9D"/>
    <w:multiLevelType w:val="singleLevel"/>
    <w:tmpl w:val="674F1A9D"/>
    <w:lvl w:ilvl="0" w:tentative="0">
      <w:start w:val="2"/>
      <w:numFmt w:val="decimal"/>
      <w:lvlText w:val="%1."/>
      <w:lvlJc w:val="left"/>
      <w:pPr>
        <w:tabs>
          <w:tab w:val="left" w:pos="312"/>
        </w:tabs>
        <w:ind w:left="1577" w:firstLine="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2ZWNkYjI2YTA0OGFiNjRlNjE3NTkwOWU3NmYxYzMifQ=="/>
  </w:docVars>
  <w:rsids>
    <w:rsidRoot w:val="00F1361C"/>
    <w:rsid w:val="000222C6"/>
    <w:rsid w:val="0002549F"/>
    <w:rsid w:val="000468DB"/>
    <w:rsid w:val="0006487A"/>
    <w:rsid w:val="00065F8F"/>
    <w:rsid w:val="00070A43"/>
    <w:rsid w:val="000768F2"/>
    <w:rsid w:val="0009184B"/>
    <w:rsid w:val="00094236"/>
    <w:rsid w:val="0009593C"/>
    <w:rsid w:val="00097322"/>
    <w:rsid w:val="000A3EC7"/>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9126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91DDA"/>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7F5DA1"/>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AF62B3"/>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A12A8"/>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5716"/>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34B2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5449"/>
    <w:rsid w:val="00F754A1"/>
    <w:rsid w:val="00F81FD9"/>
    <w:rsid w:val="00F841AA"/>
    <w:rsid w:val="00F84A94"/>
    <w:rsid w:val="00F87E96"/>
    <w:rsid w:val="00FA23E8"/>
    <w:rsid w:val="00FB397B"/>
    <w:rsid w:val="00FD3CC1"/>
    <w:rsid w:val="00FF1E02"/>
    <w:rsid w:val="00FF30B4"/>
    <w:rsid w:val="015975B8"/>
    <w:rsid w:val="01B14C06"/>
    <w:rsid w:val="02143E91"/>
    <w:rsid w:val="05E31943"/>
    <w:rsid w:val="066E0107"/>
    <w:rsid w:val="07996F6E"/>
    <w:rsid w:val="0A2032A3"/>
    <w:rsid w:val="0CBD02C7"/>
    <w:rsid w:val="0E715E49"/>
    <w:rsid w:val="0F98263C"/>
    <w:rsid w:val="101860EC"/>
    <w:rsid w:val="10C055FF"/>
    <w:rsid w:val="118107EC"/>
    <w:rsid w:val="13D50BC4"/>
    <w:rsid w:val="16BB723D"/>
    <w:rsid w:val="18D671D6"/>
    <w:rsid w:val="18F30DAA"/>
    <w:rsid w:val="1B3E5305"/>
    <w:rsid w:val="1BE8440E"/>
    <w:rsid w:val="1D155CEE"/>
    <w:rsid w:val="1EF522C5"/>
    <w:rsid w:val="1FF35744"/>
    <w:rsid w:val="20532956"/>
    <w:rsid w:val="23860B96"/>
    <w:rsid w:val="240371BF"/>
    <w:rsid w:val="24EA3888"/>
    <w:rsid w:val="26321F0A"/>
    <w:rsid w:val="29FD04D3"/>
    <w:rsid w:val="2BD85CFB"/>
    <w:rsid w:val="2C8A61B5"/>
    <w:rsid w:val="2DF04E50"/>
    <w:rsid w:val="2F040D46"/>
    <w:rsid w:val="2F326268"/>
    <w:rsid w:val="2FC8684D"/>
    <w:rsid w:val="31087465"/>
    <w:rsid w:val="319F7F4E"/>
    <w:rsid w:val="3304709D"/>
    <w:rsid w:val="36AA5135"/>
    <w:rsid w:val="376D39B2"/>
    <w:rsid w:val="37AD7A4B"/>
    <w:rsid w:val="37E16F03"/>
    <w:rsid w:val="38C271E3"/>
    <w:rsid w:val="38D469F0"/>
    <w:rsid w:val="3D6C1442"/>
    <w:rsid w:val="3D98207C"/>
    <w:rsid w:val="3E78745D"/>
    <w:rsid w:val="3F88629F"/>
    <w:rsid w:val="43136730"/>
    <w:rsid w:val="44606530"/>
    <w:rsid w:val="44E268DA"/>
    <w:rsid w:val="4A627F82"/>
    <w:rsid w:val="4B0E749A"/>
    <w:rsid w:val="4B4F25DA"/>
    <w:rsid w:val="4BE068DB"/>
    <w:rsid w:val="4D577224"/>
    <w:rsid w:val="4DA17046"/>
    <w:rsid w:val="4EAB630A"/>
    <w:rsid w:val="4ECE2238"/>
    <w:rsid w:val="53641F20"/>
    <w:rsid w:val="537E6D0A"/>
    <w:rsid w:val="551E5284"/>
    <w:rsid w:val="55441BD7"/>
    <w:rsid w:val="55C26090"/>
    <w:rsid w:val="5AF92295"/>
    <w:rsid w:val="5CD71FC4"/>
    <w:rsid w:val="612105D5"/>
    <w:rsid w:val="650458C9"/>
    <w:rsid w:val="65465651"/>
    <w:rsid w:val="683E4172"/>
    <w:rsid w:val="687354E5"/>
    <w:rsid w:val="6C4A05C8"/>
    <w:rsid w:val="6D776DCA"/>
    <w:rsid w:val="6E7E3605"/>
    <w:rsid w:val="6FF5CC65"/>
    <w:rsid w:val="715C0E4B"/>
    <w:rsid w:val="721259EE"/>
    <w:rsid w:val="72734D90"/>
    <w:rsid w:val="73AD73D5"/>
    <w:rsid w:val="73B6EB34"/>
    <w:rsid w:val="744731E5"/>
    <w:rsid w:val="76E3355F"/>
    <w:rsid w:val="778769C8"/>
    <w:rsid w:val="79EE5BA4"/>
    <w:rsid w:val="7A894339"/>
    <w:rsid w:val="7D077823"/>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14">
    <w:name w:val="Body Text First Indent 2"/>
    <w:basedOn w:val="6"/>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0"/>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9"/>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3"/>
    <w:qFormat/>
    <w:uiPriority w:val="9"/>
    <w:rPr>
      <w:rFonts w:ascii="Times New Roman" w:hAnsi="Times New Roman"/>
      <w:b/>
      <w:bCs/>
      <w:kern w:val="44"/>
      <w:sz w:val="44"/>
      <w:szCs w:val="44"/>
    </w:rPr>
  </w:style>
  <w:style w:type="character" w:customStyle="1" w:styleId="29">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8"/>
    <w:semiHidden/>
    <w:qFormat/>
    <w:uiPriority w:val="99"/>
    <w:rPr>
      <w:rFonts w:ascii="Times New Roman" w:hAnsi="Times New Roman"/>
      <w:kern w:val="2"/>
      <w:sz w:val="18"/>
      <w:szCs w:val="18"/>
    </w:rPr>
  </w:style>
  <w:style w:type="character" w:customStyle="1" w:styleId="32">
    <w:name w:val="标题 3 字符"/>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paragraph" w:customStyle="1" w:styleId="35">
    <w:name w:val="常用样式（方正仿宋简）"/>
    <w:basedOn w:val="1"/>
    <w:next w:val="1"/>
    <w:qFormat/>
    <w:uiPriority w:val="0"/>
    <w:pPr>
      <w:spacing w:line="560" w:lineRule="exact"/>
      <w:ind w:firstLine="640" w:firstLineChars="200"/>
    </w:pPr>
    <w:rPr>
      <w:rFonts w:eastAsia="方正仿宋简体"/>
      <w:sz w:val="32"/>
    </w:rPr>
  </w:style>
  <w:style w:type="character" w:customStyle="1" w:styleId="36">
    <w:name w:val="标题 2 Char"/>
    <w:basedOn w:val="16"/>
    <w:link w:val="4"/>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2022年</c:v>
                </c:pt>
                <c:pt idx="1">
                  <c:v>2023年</c:v>
                </c:pt>
              </c:strCache>
            </c:strRef>
          </c:cat>
          <c:val>
            <c:numRef>
              <c:f>[工作簿1]Sheet1!$B$1:$B$2</c:f>
              <c:numCache>
                <c:formatCode>General</c:formatCode>
                <c:ptCount val="2"/>
                <c:pt idx="0">
                  <c:v>367.09</c:v>
                </c:pt>
                <c:pt idx="1">
                  <c:v>408.69</c:v>
                </c:pt>
              </c:numCache>
            </c:numRef>
          </c:val>
        </c:ser>
        <c:dLbls>
          <c:showLegendKey val="0"/>
          <c:showVal val="1"/>
          <c:showCatName val="0"/>
          <c:showSerName val="0"/>
          <c:showPercent val="0"/>
          <c:showBubbleSize val="0"/>
        </c:dLbls>
        <c:gapWidth val="246"/>
        <c:overlap val="-28"/>
        <c:axId val="981726872"/>
        <c:axId val="612966104"/>
      </c:barChart>
      <c:catAx>
        <c:axId val="98172687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2966104"/>
        <c:crosses val="autoZero"/>
        <c:auto val="1"/>
        <c:lblAlgn val="ctr"/>
        <c:lblOffset val="100"/>
        <c:noMultiLvlLbl val="0"/>
      </c:catAx>
      <c:valAx>
        <c:axId val="61296610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1726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c:f>
              <c:strCache>
                <c:ptCount val="1"/>
                <c:pt idx="0">
                  <c:v>一般公共预算财政拨款收入</c:v>
                </c:pt>
              </c:strCache>
            </c:strRef>
          </c:cat>
          <c:val>
            <c:numRef>
              <c:f>[工作簿1]Sheet1!$B$1</c:f>
              <c:numCache>
                <c:formatCode>General</c:formatCode>
                <c:ptCount val="1"/>
                <c:pt idx="0">
                  <c:v>408.69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manualLayout>
          <c:layoutTarget val="inner"/>
          <c:xMode val="edge"/>
          <c:yMode val="edge"/>
          <c:x val="0.314345510950595"/>
          <c:y val="0.254737694389128"/>
          <c:w val="0.36463953326851"/>
          <c:h val="0.607788840009261"/>
        </c:manualLayout>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基本支出</c:v>
                </c:pt>
                <c:pt idx="1">
                  <c:v>项目支出</c:v>
                </c:pt>
              </c:strCache>
            </c:strRef>
          </c:cat>
          <c:val>
            <c:numRef>
              <c:f>[工作簿1]Sheet1!$B$1:$B$2</c:f>
              <c:numCache>
                <c:formatCode>General</c:formatCode>
                <c:ptCount val="2"/>
                <c:pt idx="0">
                  <c:v>133.59</c:v>
                </c:pt>
                <c:pt idx="1">
                  <c:v>275.09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2022年</c:v>
                </c:pt>
                <c:pt idx="1">
                  <c:v>2023年</c:v>
                </c:pt>
              </c:strCache>
            </c:strRef>
          </c:cat>
          <c:val>
            <c:numRef>
              <c:f>[工作簿1]Sheet1!$B$1:$B$2</c:f>
              <c:numCache>
                <c:formatCode>General</c:formatCode>
                <c:ptCount val="2"/>
                <c:pt idx="0">
                  <c:v>367.09</c:v>
                </c:pt>
                <c:pt idx="1">
                  <c:v>408.69</c:v>
                </c:pt>
              </c:numCache>
            </c:numRef>
          </c:val>
        </c:ser>
        <c:dLbls>
          <c:showLegendKey val="0"/>
          <c:showVal val="1"/>
          <c:showCatName val="0"/>
          <c:showSerName val="0"/>
          <c:showPercent val="0"/>
          <c:showBubbleSize val="0"/>
        </c:dLbls>
        <c:gapWidth val="219"/>
        <c:overlap val="-27"/>
        <c:axId val="65730123"/>
        <c:axId val="76690233"/>
      </c:barChart>
      <c:catAx>
        <c:axId val="6573012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690233"/>
        <c:crosses val="autoZero"/>
        <c:auto val="1"/>
        <c:lblAlgn val="ctr"/>
        <c:lblOffset val="100"/>
        <c:noMultiLvlLbl val="0"/>
      </c:catAx>
      <c:valAx>
        <c:axId val="7669023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7301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manualLayout>
          <c:layoutTarget val="inner"/>
          <c:xMode val="edge"/>
          <c:yMode val="edge"/>
          <c:x val="0.0763333333333333"/>
          <c:y val="0.195184426229508"/>
          <c:w val="0.894638888888889"/>
          <c:h val="0.68094262295082"/>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2022年</c:v>
                </c:pt>
                <c:pt idx="1">
                  <c:v>2023年</c:v>
                </c:pt>
              </c:strCache>
            </c:strRef>
          </c:cat>
          <c:val>
            <c:numRef>
              <c:f>[工作簿1]Sheet1!$B$1:$B$2</c:f>
              <c:numCache>
                <c:formatCode>General</c:formatCode>
                <c:ptCount val="2"/>
                <c:pt idx="0">
                  <c:v>367.09</c:v>
                </c:pt>
                <c:pt idx="1">
                  <c:v>408.69</c:v>
                </c:pt>
              </c:numCache>
            </c:numRef>
          </c:val>
        </c:ser>
        <c:dLbls>
          <c:showLegendKey val="0"/>
          <c:showVal val="1"/>
          <c:showCatName val="0"/>
          <c:showSerName val="0"/>
          <c:showPercent val="0"/>
          <c:showBubbleSize val="0"/>
        </c:dLbls>
        <c:gapWidth val="219"/>
        <c:overlap val="-27"/>
        <c:axId val="65730123"/>
        <c:axId val="76690233"/>
      </c:barChart>
      <c:catAx>
        <c:axId val="6573012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690233"/>
        <c:crosses val="autoZero"/>
        <c:auto val="1"/>
        <c:lblAlgn val="ctr"/>
        <c:lblOffset val="100"/>
        <c:noMultiLvlLbl val="0"/>
      </c:catAx>
      <c:valAx>
        <c:axId val="7669023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7301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[工作簿1]Sheet1!$A$1:$A$5</c:f>
              <c:strCache>
                <c:ptCount val="5"/>
                <c:pt idx="0">
                  <c:v>公共安全支出</c:v>
                </c:pt>
                <c:pt idx="1">
                  <c:v>社会保障和就业支出</c:v>
                </c:pt>
                <c:pt idx="2">
                  <c:v>卫生健康支出</c:v>
                </c:pt>
                <c:pt idx="3">
                  <c:v>住房保障支出</c:v>
                </c:pt>
              </c:strCache>
            </c:strRef>
          </c:cat>
          <c:val>
            <c:numRef>
              <c:f>[工作簿1]Sheet1!$B$1:$B$5</c:f>
              <c:numCache>
                <c:formatCode>General</c:formatCode>
                <c:ptCount val="5"/>
                <c:pt idx="0">
                  <c:v>386.86</c:v>
                </c:pt>
                <c:pt idx="1">
                  <c:v>10.36</c:v>
                </c:pt>
                <c:pt idx="2">
                  <c:v>3.89</c:v>
                </c:pt>
                <c:pt idx="3">
                  <c:v>7.57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15</Pages>
  <Words>4324</Words>
  <Characters>6489</Characters>
  <Lines>38</Lines>
  <Paragraphs>10</Paragraphs>
  <TotalTime>2</TotalTime>
  <ScaleCrop>false</ScaleCrop>
  <LinksUpToDate>false</LinksUpToDate>
  <CharactersWithSpaces>6516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2023-08-19T08:03:00Z</dcterms:created>
  <dc:creator>曹颖</dc:creator>
  <cp:lastModifiedBy>任超凡</cp:lastModifiedBy>
  <cp:lastPrinted>2023-07-31T02:35:00Z</cp:lastPrinted>
  <dcterms:modified xsi:type="dcterms:W3CDTF">2024-08-21T08:03:47Z</dcterms:modified>
  <dc:title>四川省***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427CB59B7BF9400FB31E84D25CA1B34D_13</vt:lpwstr>
  </property>
</Properties>
</file>