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91387">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bookmarkStart w:id="0" w:name="_Toc15396614"/>
      <w:bookmarkStart w:id="1" w:name="_Toc15377226"/>
    </w:p>
    <w:p w14:paraId="66A0B15E">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7C1A59C6">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p>
    <w:p w14:paraId="149E2148">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0" w:name="_GoBack"/>
      <w:bookmarkEnd w:id="60"/>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3</w:t>
      </w:r>
      <w:r>
        <w:rPr>
          <w:rFonts w:hint="eastAsia" w:ascii="方正小标宋简体" w:hAnsi="方正小标宋简体" w:eastAsia="方正小标宋简体" w:cs="方正小标宋简体"/>
          <w:sz w:val="52"/>
          <w:szCs w:val="52"/>
        </w:rPr>
        <w:t>年度</w:t>
      </w:r>
      <w:bookmarkStart w:id="2" w:name="_Toc15378442"/>
      <w:bookmarkStart w:id="3" w:name="_Toc15377194"/>
      <w:bookmarkStart w:id="4" w:name="_Toc15396476"/>
      <w:bookmarkStart w:id="5" w:name="_Toc15377426"/>
      <w:bookmarkStart w:id="6" w:name="_Toc15306268"/>
      <w:bookmarkStart w:id="7" w:name="_Toc15396598"/>
      <w:r>
        <w:rPr>
          <w:rFonts w:hint="eastAsia" w:ascii="方正小标宋简体" w:hAnsi="方正小标宋简体" w:eastAsia="方正小标宋简体" w:cs="方正小标宋简体"/>
          <w:sz w:val="52"/>
          <w:szCs w:val="52"/>
        </w:rPr>
        <w:t>遂宁市看守所</w:t>
      </w:r>
    </w:p>
    <w:p w14:paraId="0A7813C4">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单位决算</w:t>
      </w:r>
      <w:bookmarkEnd w:id="2"/>
      <w:bookmarkEnd w:id="3"/>
      <w:bookmarkEnd w:id="4"/>
      <w:bookmarkEnd w:id="5"/>
      <w:bookmarkEnd w:id="6"/>
      <w:bookmarkEnd w:id="7"/>
    </w:p>
    <w:p w14:paraId="0F3DD1FC">
      <w:pPr>
        <w:widowControl/>
        <w:jc w:val="center"/>
        <w:rPr>
          <w:rFonts w:ascii="黑体" w:hAnsi="黑体" w:eastAsia="黑体"/>
          <w:color w:val="auto"/>
          <w:sz w:val="48"/>
          <w:szCs w:val="48"/>
          <w:highlight w:val="none"/>
        </w:rPr>
      </w:pPr>
      <w:r>
        <w:rPr>
          <w:rFonts w:ascii="方正小标宋简体" w:hAnsi="宋体" w:eastAsia="方正小标宋简体"/>
          <w:sz w:val="36"/>
          <w:szCs w:val="36"/>
        </w:rPr>
        <w:br w:type="page"/>
      </w:r>
      <w:r>
        <w:rPr>
          <w:rFonts w:hint="eastAsia" w:ascii="黑体" w:hAnsi="黑体" w:eastAsia="黑体"/>
          <w:color w:val="auto"/>
          <w:sz w:val="48"/>
          <w:szCs w:val="48"/>
          <w:highlight w:val="none"/>
        </w:rPr>
        <w:t>目录</w:t>
      </w:r>
    </w:p>
    <w:p w14:paraId="35CB9842">
      <w:pPr>
        <w:widowControl/>
        <w:jc w:val="center"/>
        <w:rPr>
          <w:rFonts w:ascii="黑体" w:hAnsi="黑体" w:eastAsia="黑体" w:cstheme="minorBidi"/>
          <w:color w:val="auto"/>
          <w:sz w:val="28"/>
          <w:szCs w:val="28"/>
          <w:highlight w:val="none"/>
        </w:rPr>
      </w:pPr>
    </w:p>
    <w:p w14:paraId="762136E6">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p>
    <w:p w14:paraId="2514FF96">
      <w:pPr>
        <w:rPr>
          <w:color w:val="auto"/>
          <w:highlight w:val="none"/>
        </w:rPr>
      </w:pPr>
    </w:p>
    <w:p w14:paraId="1B8AC08E">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val="en-US" w:eastAsia="zh-CN"/>
        </w:rPr>
        <w:t xml:space="preserve"> 单位</w:t>
      </w:r>
      <w:r>
        <w:rPr>
          <w:rFonts w:hint="eastAsia"/>
          <w:color w:val="auto"/>
          <w:sz w:val="24"/>
          <w:highlight w:val="none"/>
        </w:rPr>
        <w:t>概况</w:t>
      </w:r>
      <w:r>
        <w:rPr>
          <w:rFonts w:hint="eastAsia"/>
          <w:color w:val="auto"/>
          <w:sz w:val="24"/>
          <w:highlight w:val="none"/>
          <w:lang w:val="en-US" w:eastAsia="zh-CN"/>
        </w:rPr>
        <w:t>................................................1</w:t>
      </w:r>
    </w:p>
    <w:p w14:paraId="64C91075">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14:paraId="0C76C67E">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机构设置</w:t>
      </w:r>
      <w:r>
        <w:rPr>
          <w:rFonts w:hint="eastAsia"/>
          <w:color w:val="auto"/>
          <w:sz w:val="24"/>
          <w:highlight w:val="none"/>
          <w:lang w:val="en-US" w:eastAsia="zh-CN"/>
        </w:rPr>
        <w:t>......................................................................................................1</w:t>
      </w:r>
    </w:p>
    <w:p w14:paraId="1F316323">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w:t>
      </w:r>
    </w:p>
    <w:p w14:paraId="73D5EEB2">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14:paraId="635A674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......................................................................................2</w:t>
      </w:r>
    </w:p>
    <w:p w14:paraId="5A9996F6">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......................................................................................3</w:t>
      </w:r>
    </w:p>
    <w:p w14:paraId="6AA2CF2A">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......................................................3</w:t>
      </w:r>
    </w:p>
    <w:p w14:paraId="124D75C3">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..............................................4</w:t>
      </w:r>
    </w:p>
    <w:p w14:paraId="1EA67DA0">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14:paraId="36D2AC28">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val="en-US" w:eastAsia="zh-CN"/>
        </w:rPr>
        <w:t>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..............................................7</w:t>
      </w:r>
    </w:p>
    <w:p w14:paraId="640DC9AD">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..........................................................8</w:t>
      </w:r>
    </w:p>
    <w:p w14:paraId="128E1374">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......................................................8</w:t>
      </w:r>
    </w:p>
    <w:p w14:paraId="07A601A7">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..........................................................................8</w:t>
      </w:r>
    </w:p>
    <w:p w14:paraId="64C1BE2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................................................10</w:t>
      </w:r>
    </w:p>
    <w:p w14:paraId="2340C91C">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....................................................12</w:t>
      </w:r>
    </w:p>
    <w:p w14:paraId="7727FCBF">
      <w:pPr>
        <w:pStyle w:val="11"/>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....................................................13</w:t>
      </w:r>
    </w:p>
    <w:p w14:paraId="7B72F7E8">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...................................................................................13</w:t>
      </w:r>
    </w:p>
    <w:p w14:paraId="40DA8A2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...............................................................................................13</w:t>
      </w:r>
    </w:p>
    <w:p w14:paraId="09623AA3">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...............................................................................................13</w:t>
      </w:r>
    </w:p>
    <w:p w14:paraId="76B7510C">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...................................................................13</w:t>
      </w:r>
    </w:p>
    <w:p w14:paraId="3B976AF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.......................................................................13</w:t>
      </w:r>
    </w:p>
    <w:p w14:paraId="0AA28501">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.......................................................13</w:t>
      </w:r>
    </w:p>
    <w:p w14:paraId="53EF329B">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...............................................13</w:t>
      </w:r>
    </w:p>
    <w:p w14:paraId="234E28E6">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八、一般公共预算财政拨款基本支出决算表</w:t>
      </w:r>
      <w:r>
        <w:rPr>
          <w:rFonts w:hint="eastAsia"/>
          <w:color w:val="auto"/>
          <w:sz w:val="24"/>
          <w:highlight w:val="none"/>
          <w:lang w:val="en-US" w:eastAsia="zh-CN"/>
        </w:rPr>
        <w:t>...............................................13</w:t>
      </w:r>
    </w:p>
    <w:p w14:paraId="56B9AE9B">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color w:val="auto"/>
          <w:sz w:val="24"/>
          <w:highlight w:val="none"/>
          <w:lang w:val="en-US" w:eastAsia="zh-CN"/>
        </w:rPr>
        <w:t>...............................................13</w:t>
      </w:r>
    </w:p>
    <w:p w14:paraId="15FD007B">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color w:val="auto"/>
          <w:sz w:val="24"/>
          <w:highlight w:val="none"/>
          <w:lang w:val="en-US" w:eastAsia="zh-CN"/>
        </w:rPr>
        <w:t>...........................................13</w:t>
      </w:r>
    </w:p>
    <w:p w14:paraId="33120280">
      <w:pPr>
        <w:pStyle w:val="12"/>
        <w:adjustRightInd w:val="0"/>
        <w:snapToGrid w:val="0"/>
        <w:spacing w:line="440" w:lineRule="exact"/>
        <w:jc w:val="left"/>
        <w:rPr>
          <w:rFonts w:hint="eastAsia"/>
          <w:color w:val="auto"/>
          <w:sz w:val="24"/>
          <w:highlight w:val="none"/>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...................................13</w:t>
      </w:r>
    </w:p>
    <w:p w14:paraId="30CDE90B">
      <w:pPr>
        <w:pStyle w:val="12"/>
        <w:adjustRightInd w:val="0"/>
        <w:snapToGrid w:val="0"/>
        <w:spacing w:line="440" w:lineRule="exact"/>
        <w:jc w:val="left"/>
        <w:rPr>
          <w:rFonts w:hint="eastAsia"/>
        </w:rPr>
      </w:pPr>
      <w:r>
        <w:rPr>
          <w:rFonts w:hint="eastAsia"/>
          <w:color w:val="auto"/>
          <w:sz w:val="24"/>
          <w:highlight w:val="none"/>
          <w:lang w:val="en-US" w:eastAsia="zh-CN"/>
        </w:rPr>
        <w:t>十二、国有资本经营预算财政拨款支出决算表...........................................13</w:t>
      </w:r>
    </w:p>
    <w:p w14:paraId="75C0D365">
      <w:pPr>
        <w:pStyle w:val="12"/>
        <w:adjustRightInd w:val="0"/>
        <w:snapToGrid w:val="0"/>
        <w:spacing w:line="440" w:lineRule="exact"/>
        <w:jc w:val="left"/>
        <w:rPr>
          <w:rFonts w:hint="default"/>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color w:val="auto"/>
          <w:sz w:val="24"/>
          <w:highlight w:val="none"/>
          <w:lang w:val="en-US" w:eastAsia="zh-CN"/>
        </w:rPr>
        <w:t>十三、财政拨款“三公”经费支出决算表...................................................13</w:t>
      </w:r>
    </w:p>
    <w:p w14:paraId="7D71CD07">
      <w:pPr>
        <w:widowControl/>
        <w:spacing w:line="440" w:lineRule="exact"/>
        <w:jc w:val="center"/>
        <w:rPr>
          <w:rStyle w:val="35"/>
          <w:rFonts w:ascii="黑体" w:hAnsi="黑体" w:eastAsia="黑体"/>
          <w:b/>
          <w:bCs w:val="0"/>
        </w:rPr>
      </w:pPr>
      <w:bookmarkStart w:id="8" w:name="_Toc15396599"/>
      <w:bookmarkStart w:id="9" w:name="_Toc15377196"/>
      <w:r>
        <w:rPr>
          <w:rStyle w:val="35"/>
          <w:rFonts w:hint="eastAsia" w:ascii="黑体" w:hAnsi="黑体" w:eastAsia="黑体" w:cs="Times New Roman"/>
          <w:b w:val="0"/>
          <w:bCs w:val="0"/>
        </w:rPr>
        <w:t xml:space="preserve">第一部分 </w:t>
      </w:r>
      <w:r>
        <w:rPr>
          <w:rStyle w:val="35"/>
          <w:rFonts w:hint="eastAsia" w:ascii="黑体" w:hAnsi="黑体" w:eastAsia="黑体"/>
          <w:b w:val="0"/>
          <w:bCs w:val="0"/>
          <w:lang w:val="en-US" w:eastAsia="zh-CN"/>
        </w:rPr>
        <w:t>单位</w:t>
      </w:r>
      <w:r>
        <w:rPr>
          <w:rStyle w:val="35"/>
          <w:rFonts w:hint="eastAsia" w:ascii="黑体" w:hAnsi="黑体" w:eastAsia="黑体"/>
          <w:b w:val="0"/>
          <w:bCs w:val="0"/>
        </w:rPr>
        <w:t>概况</w:t>
      </w:r>
      <w:bookmarkEnd w:id="8"/>
      <w:bookmarkEnd w:id="9"/>
    </w:p>
    <w:p w14:paraId="2A72561A">
      <w:pPr>
        <w:widowControl/>
        <w:jc w:val="left"/>
        <w:rPr>
          <w:rFonts w:ascii="黑体" w:eastAsia="黑体"/>
          <w:sz w:val="32"/>
          <w:szCs w:val="32"/>
        </w:rPr>
      </w:pPr>
    </w:p>
    <w:p w14:paraId="4B7D10B6">
      <w:pPr>
        <w:pStyle w:val="4"/>
        <w:rPr>
          <w:rFonts w:ascii="黑体" w:hAnsi="黑体" w:eastAsia="黑体"/>
          <w:b w:val="0"/>
        </w:rPr>
      </w:pPr>
      <w:bookmarkStart w:id="10" w:name="_Toc15396600"/>
      <w:bookmarkStart w:id="11" w:name="_Toc15377197"/>
      <w:r>
        <w:rPr>
          <w:rFonts w:hint="eastAsia" w:ascii="黑体" w:hAnsi="黑体" w:eastAsia="黑体"/>
          <w:b w:val="0"/>
        </w:rPr>
        <w:t>一、</w:t>
      </w:r>
      <w:bookmarkEnd w:id="10"/>
      <w:bookmarkEnd w:id="11"/>
      <w:r>
        <w:rPr>
          <w:rFonts w:hint="eastAsia" w:ascii="黑体" w:hAnsi="黑体" w:eastAsia="黑体"/>
          <w:b w:val="0"/>
          <w:lang w:val="en-US" w:eastAsia="zh-CN"/>
        </w:rPr>
        <w:t>主要</w:t>
      </w:r>
      <w:r>
        <w:rPr>
          <w:rFonts w:hint="eastAsia" w:ascii="黑体" w:hAnsi="黑体" w:eastAsia="黑体"/>
          <w:b w:val="0"/>
        </w:rPr>
        <w:t>职责</w:t>
      </w:r>
    </w:p>
    <w:p w14:paraId="2D5E8755">
      <w:pPr>
        <w:ind w:firstLine="640" w:firstLineChars="200"/>
        <w:rPr>
          <w:rFonts w:ascii="仿宋" w:hAnsi="仿宋" w:eastAsia="仿宋"/>
          <w:sz w:val="32"/>
          <w:szCs w:val="32"/>
        </w:rPr>
      </w:pPr>
      <w:r>
        <w:rPr>
          <w:rFonts w:hint="eastAsia" w:ascii="仿宋" w:hAnsi="仿宋" w:eastAsia="仿宋"/>
          <w:sz w:val="32"/>
          <w:szCs w:val="32"/>
        </w:rPr>
        <w:t>遂宁市看守所主要承担市本级、船山区、安居区、经开区、河东新区、高新区犯罪嫌疑人、被告人和全市女性犯罪嫌疑人、被告人的收押、管理教育、已决罪犯投牢和余刑三个月以下罪犯留所服刑管教任务，保障刑事诉讼活动顺利进行的职责。</w:t>
      </w:r>
    </w:p>
    <w:p w14:paraId="49F10F11"/>
    <w:p w14:paraId="55762F24">
      <w:pPr>
        <w:pStyle w:val="4"/>
        <w:rPr>
          <w:b w:val="0"/>
          <w:bCs w:val="0"/>
        </w:rPr>
      </w:pPr>
      <w:bookmarkStart w:id="12" w:name="_Toc15377200"/>
      <w:bookmarkStart w:id="13" w:name="_Toc15396601"/>
      <w:r>
        <w:rPr>
          <w:rFonts w:hint="eastAsia" w:ascii="黑体" w:eastAsia="黑体"/>
          <w:b w:val="0"/>
        </w:rPr>
        <w:t>二、</w:t>
      </w:r>
      <w:r>
        <w:rPr>
          <w:rFonts w:hint="eastAsia" w:ascii="黑体" w:hAnsi="黑体" w:eastAsia="黑体"/>
          <w:b w:val="0"/>
        </w:rPr>
        <w:t>机</w:t>
      </w:r>
      <w:r>
        <w:rPr>
          <w:rStyle w:val="36"/>
          <w:rFonts w:hint="eastAsia" w:ascii="黑体" w:hAnsi="黑体" w:eastAsia="黑体"/>
          <w:b w:val="0"/>
          <w:bCs w:val="0"/>
        </w:rPr>
        <w:t>构设置</w:t>
      </w:r>
      <w:bookmarkEnd w:id="12"/>
      <w:bookmarkEnd w:id="13"/>
    </w:p>
    <w:p w14:paraId="2EBAFCE0">
      <w:pPr>
        <w:ind w:firstLine="640" w:firstLineChars="200"/>
        <w:rPr>
          <w:rFonts w:ascii="仿宋" w:hAnsi="仿宋" w:eastAsia="仿宋"/>
          <w:sz w:val="32"/>
          <w:szCs w:val="32"/>
        </w:rPr>
      </w:pPr>
      <w:r>
        <w:rPr>
          <w:rFonts w:hint="eastAsia" w:ascii="仿宋" w:hAnsi="仿宋" w:eastAsia="仿宋"/>
          <w:sz w:val="32"/>
          <w:szCs w:val="32"/>
        </w:rPr>
        <w:t>遂宁市看守所是遂宁市公安局下属的正科职单位，是独立预算的二级单位，无内设科室。</w:t>
      </w:r>
    </w:p>
    <w:p w14:paraId="7A9B581E">
      <w:pPr>
        <w:pStyle w:val="2"/>
        <w:spacing w:before="93"/>
      </w:pPr>
    </w:p>
    <w:p w14:paraId="1E5B4911">
      <w:pPr>
        <w:pStyle w:val="2"/>
        <w:spacing w:before="93"/>
      </w:pPr>
    </w:p>
    <w:p w14:paraId="56606FFB">
      <w:pPr>
        <w:pStyle w:val="2"/>
        <w:spacing w:before="93"/>
      </w:pPr>
    </w:p>
    <w:p w14:paraId="184B102E">
      <w:pPr>
        <w:pStyle w:val="3"/>
        <w:ind w:right="440"/>
        <w:rPr>
          <w:rFonts w:ascii="黑体" w:hAnsi="黑体" w:eastAsia="黑体"/>
          <w:b w:val="0"/>
        </w:rPr>
      </w:pPr>
      <w:bookmarkStart w:id="14" w:name="_Toc15377204"/>
      <w:bookmarkStart w:id="15" w:name="_Toc15396602"/>
    </w:p>
    <w:p w14:paraId="742E711B"/>
    <w:p w14:paraId="51CE100B">
      <w:pPr>
        <w:pStyle w:val="2"/>
      </w:pPr>
    </w:p>
    <w:p w14:paraId="5473BB15">
      <w:pPr>
        <w:pStyle w:val="3"/>
        <w:ind w:right="440"/>
        <w:jc w:val="center"/>
        <w:rPr>
          <w:rStyle w:val="35"/>
          <w:rFonts w:ascii="黑体" w:hAnsi="黑体" w:eastAsia="黑体"/>
          <w:b w:val="0"/>
          <w:bCs/>
        </w:rPr>
      </w:pPr>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35"/>
          <w:rFonts w:hint="eastAsia" w:ascii="黑体" w:hAnsi="黑体" w:eastAsia="黑体"/>
          <w:b w:val="0"/>
          <w:bCs/>
        </w:rPr>
        <w:t>部门决算情况说明</w:t>
      </w:r>
      <w:bookmarkEnd w:id="14"/>
      <w:bookmarkEnd w:id="15"/>
    </w:p>
    <w:p w14:paraId="53D6669E"/>
    <w:p w14:paraId="68C95582">
      <w:pPr>
        <w:pStyle w:val="26"/>
        <w:numPr>
          <w:ilvl w:val="0"/>
          <w:numId w:val="1"/>
        </w:numPr>
        <w:spacing w:line="600" w:lineRule="exact"/>
        <w:ind w:firstLineChars="0"/>
        <w:outlineLvl w:val="1"/>
        <w:rPr>
          <w:rStyle w:val="36"/>
          <w:rFonts w:ascii="黑体" w:hAnsi="黑体" w:eastAsia="黑体"/>
          <w:b w:val="0"/>
        </w:rPr>
      </w:pPr>
      <w:bookmarkStart w:id="16" w:name="_Toc15396603"/>
      <w:bookmarkStart w:id="17" w:name="_Toc15377205"/>
      <w:r>
        <w:rPr>
          <w:rFonts w:hint="eastAsia" w:ascii="黑体" w:hAnsi="黑体" w:eastAsia="黑体"/>
          <w:sz w:val="32"/>
          <w:szCs w:val="32"/>
        </w:rPr>
        <w:t>收</w:t>
      </w:r>
      <w:r>
        <w:rPr>
          <w:rStyle w:val="36"/>
          <w:rFonts w:hint="eastAsia" w:ascii="黑体" w:hAnsi="黑体" w:eastAsia="黑体"/>
          <w:b w:val="0"/>
        </w:rPr>
        <w:t>入支出决算总体情况说明</w:t>
      </w:r>
      <w:bookmarkEnd w:id="16"/>
      <w:bookmarkEnd w:id="17"/>
    </w:p>
    <w:p w14:paraId="25D1CA4F">
      <w:pPr>
        <w:spacing w:line="60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1933.29</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年1492.38万元相比，收、支总计各</w:t>
      </w:r>
      <w:r>
        <w:rPr>
          <w:rFonts w:hint="eastAsia" w:ascii="仿宋" w:hAnsi="仿宋" w:eastAsia="仿宋"/>
          <w:sz w:val="32"/>
          <w:szCs w:val="32"/>
          <w:lang w:val="en-US" w:eastAsia="zh-CN"/>
        </w:rPr>
        <w:t>增加440.91</w:t>
      </w:r>
      <w:r>
        <w:rPr>
          <w:rFonts w:hint="eastAsia" w:ascii="仿宋" w:hAnsi="仿宋" w:eastAsia="仿宋"/>
          <w:sz w:val="32"/>
          <w:szCs w:val="32"/>
        </w:rPr>
        <w:t>万元，分别</w:t>
      </w:r>
      <w:r>
        <w:rPr>
          <w:rFonts w:hint="eastAsia" w:ascii="仿宋" w:hAnsi="仿宋" w:eastAsia="仿宋"/>
          <w:sz w:val="32"/>
          <w:szCs w:val="32"/>
          <w:lang w:val="en-US" w:eastAsia="zh-CN"/>
        </w:rPr>
        <w:t>增加29.54%</w:t>
      </w:r>
      <w:r>
        <w:rPr>
          <w:rFonts w:hint="eastAsia" w:ascii="仿宋" w:hAnsi="仿宋" w:eastAsia="仿宋"/>
          <w:sz w:val="32"/>
          <w:szCs w:val="32"/>
        </w:rPr>
        <w:t>。主要原因</w:t>
      </w:r>
      <w:r>
        <w:rPr>
          <w:rFonts w:hint="eastAsia" w:ascii="仿宋" w:hAnsi="仿宋" w:eastAsia="仿宋"/>
          <w:sz w:val="32"/>
          <w:szCs w:val="32"/>
          <w:lang w:val="en-US" w:eastAsia="zh-CN"/>
        </w:rPr>
        <w:t>为项目经费的增加</w:t>
      </w:r>
      <w:r>
        <w:rPr>
          <w:rFonts w:hint="eastAsia" w:ascii="仿宋" w:hAnsi="仿宋" w:eastAsia="仿宋"/>
          <w:sz w:val="32"/>
          <w:szCs w:val="32"/>
        </w:rPr>
        <w:t>。</w:t>
      </w:r>
    </w:p>
    <w:p w14:paraId="34A9306B">
      <w:pPr>
        <w:pStyle w:val="2"/>
        <w:spacing w:before="93"/>
        <w:jc w:val="center"/>
      </w:pPr>
      <w:r>
        <w:drawing>
          <wp:inline distT="0" distB="0" distL="114300" distR="114300">
            <wp:extent cx="4572000" cy="2743200"/>
            <wp:effectExtent l="4445" t="4445" r="10795" b="1079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04C6E1">
      <w:pPr>
        <w:spacing w:line="600" w:lineRule="exact"/>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6560ECFD">
      <w:pPr>
        <w:pStyle w:val="26"/>
        <w:numPr>
          <w:ilvl w:val="0"/>
          <w:numId w:val="1"/>
        </w:numPr>
        <w:spacing w:line="600" w:lineRule="exact"/>
        <w:ind w:firstLineChars="0"/>
        <w:outlineLvl w:val="1"/>
        <w:rPr>
          <w:rStyle w:val="36"/>
          <w:rFonts w:ascii="黑体" w:hAnsi="黑体" w:eastAsia="黑体"/>
          <w:b w:val="0"/>
        </w:rPr>
      </w:pPr>
      <w:bookmarkStart w:id="18" w:name="_Toc15377206"/>
      <w:bookmarkStart w:id="19" w:name="_Toc15396604"/>
      <w:r>
        <w:rPr>
          <w:rFonts w:hint="eastAsia" w:ascii="黑体" w:hAnsi="黑体" w:eastAsia="黑体"/>
          <w:sz w:val="32"/>
          <w:szCs w:val="32"/>
        </w:rPr>
        <w:t>收</w:t>
      </w:r>
      <w:r>
        <w:rPr>
          <w:rStyle w:val="36"/>
          <w:rFonts w:hint="eastAsia" w:ascii="黑体" w:hAnsi="黑体" w:eastAsia="黑体"/>
          <w:b w:val="0"/>
        </w:rPr>
        <w:t>入决算情况说明</w:t>
      </w:r>
      <w:bookmarkEnd w:id="18"/>
      <w:bookmarkEnd w:id="19"/>
    </w:p>
    <w:p w14:paraId="3CFB26DC">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1933.29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1933.29</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14:paraId="6D363E34">
      <w:pPr>
        <w:spacing w:line="600" w:lineRule="exact"/>
        <w:ind w:firstLine="640" w:firstLineChars="200"/>
        <w:outlineLvl w:val="1"/>
        <w:rPr>
          <w:rFonts w:ascii="仿宋" w:hAnsi="仿宋" w:eastAsia="仿宋"/>
          <w:sz w:val="32"/>
          <w:szCs w:val="32"/>
        </w:rPr>
      </w:pPr>
    </w:p>
    <w:p w14:paraId="1C4130B2">
      <w:pPr>
        <w:pStyle w:val="2"/>
        <w:spacing w:before="93"/>
        <w:jc w:val="center"/>
      </w:pPr>
      <w:r>
        <w:drawing>
          <wp:inline distT="0" distB="0" distL="114300" distR="114300">
            <wp:extent cx="4572000" cy="2743200"/>
            <wp:effectExtent l="4445" t="4445" r="10795" b="1079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42A75A">
      <w:pPr>
        <w:spacing w:line="600" w:lineRule="exact"/>
        <w:rPr>
          <w:rFonts w:ascii="仿宋" w:hAnsi="仿宋" w:eastAsia="仿宋"/>
          <w:sz w:val="32"/>
          <w:szCs w:val="32"/>
        </w:rPr>
      </w:pPr>
    </w:p>
    <w:p w14:paraId="3ED5D76F">
      <w:pPr>
        <w:spacing w:line="600" w:lineRule="exact"/>
        <w:jc w:val="center"/>
        <w:rPr>
          <w:rFonts w:ascii="仿宋_GB2312" w:eastAsia="仿宋_GB2312"/>
          <w:sz w:val="32"/>
          <w:szCs w:val="32"/>
        </w:rPr>
      </w:pPr>
      <w:r>
        <w:rPr>
          <w:rFonts w:hint="eastAsia" w:ascii="仿宋" w:hAnsi="仿宋" w:eastAsia="仿宋"/>
          <w:sz w:val="32"/>
          <w:szCs w:val="32"/>
        </w:rPr>
        <w:t>（图2：收入决算结构图）</w:t>
      </w:r>
    </w:p>
    <w:p w14:paraId="1820B94D">
      <w:pPr>
        <w:pStyle w:val="26"/>
        <w:numPr>
          <w:ilvl w:val="0"/>
          <w:numId w:val="1"/>
        </w:numPr>
        <w:spacing w:line="600" w:lineRule="exact"/>
        <w:ind w:firstLineChars="0"/>
        <w:outlineLvl w:val="1"/>
        <w:rPr>
          <w:rStyle w:val="36"/>
          <w:rFonts w:ascii="黑体" w:hAnsi="黑体" w:eastAsia="黑体"/>
          <w:b w:val="0"/>
        </w:rPr>
      </w:pPr>
      <w:bookmarkStart w:id="20" w:name="_Toc15377207"/>
      <w:bookmarkStart w:id="21" w:name="_Toc15396605"/>
      <w:r>
        <w:rPr>
          <w:rFonts w:hint="eastAsia" w:ascii="黑体" w:hAnsi="黑体" w:eastAsia="黑体"/>
          <w:sz w:val="32"/>
          <w:szCs w:val="32"/>
        </w:rPr>
        <w:t>支</w:t>
      </w:r>
      <w:r>
        <w:rPr>
          <w:rStyle w:val="36"/>
          <w:rFonts w:hint="eastAsia" w:ascii="黑体" w:hAnsi="黑体" w:eastAsia="黑体"/>
          <w:b w:val="0"/>
        </w:rPr>
        <w:t>出决算情况说明</w:t>
      </w:r>
      <w:bookmarkEnd w:id="20"/>
      <w:bookmarkEnd w:id="21"/>
    </w:p>
    <w:p w14:paraId="20E0B616">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sz w:val="32"/>
          <w:szCs w:val="32"/>
          <w:lang w:val="en-US" w:eastAsia="zh-CN"/>
        </w:rPr>
        <w:t>1933.29</w:t>
      </w:r>
      <w:r>
        <w:rPr>
          <w:rFonts w:hint="eastAsia" w:ascii="仿宋" w:hAnsi="仿宋" w:eastAsia="仿宋"/>
          <w:sz w:val="32"/>
          <w:szCs w:val="32"/>
        </w:rPr>
        <w:t>万元，其中：基本支出</w:t>
      </w:r>
      <w:r>
        <w:rPr>
          <w:rFonts w:hint="eastAsia" w:ascii="仿宋" w:hAnsi="仿宋" w:eastAsia="仿宋"/>
          <w:sz w:val="32"/>
          <w:szCs w:val="32"/>
          <w:lang w:val="en-US" w:eastAsia="zh-CN"/>
        </w:rPr>
        <w:t>1038.79</w:t>
      </w:r>
      <w:r>
        <w:rPr>
          <w:rFonts w:hint="eastAsia" w:ascii="仿宋" w:hAnsi="仿宋" w:eastAsia="仿宋"/>
          <w:sz w:val="32"/>
          <w:szCs w:val="32"/>
        </w:rPr>
        <w:t>万元，占</w:t>
      </w:r>
      <w:r>
        <w:rPr>
          <w:rFonts w:hint="eastAsia" w:ascii="仿宋" w:hAnsi="仿宋" w:eastAsia="仿宋"/>
          <w:sz w:val="32"/>
          <w:szCs w:val="32"/>
          <w:lang w:val="en-US" w:eastAsia="zh-CN"/>
        </w:rPr>
        <w:t>53.73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894.50</w:t>
      </w:r>
      <w:r>
        <w:rPr>
          <w:rFonts w:hint="eastAsia" w:ascii="仿宋" w:hAnsi="仿宋" w:eastAsia="仿宋"/>
          <w:sz w:val="32"/>
          <w:szCs w:val="32"/>
        </w:rPr>
        <w:t>万元，占</w:t>
      </w:r>
      <w:r>
        <w:rPr>
          <w:rFonts w:hint="eastAsia" w:ascii="仿宋" w:hAnsi="仿宋" w:eastAsia="仿宋"/>
          <w:sz w:val="32"/>
          <w:szCs w:val="32"/>
          <w:lang w:val="en-US" w:eastAsia="zh-CN"/>
        </w:rPr>
        <w:t>46.27</w:t>
      </w:r>
      <w:r>
        <w:rPr>
          <w:rFonts w:ascii="仿宋" w:hAnsi="仿宋" w:eastAsia="仿宋"/>
          <w:sz w:val="32"/>
          <w:szCs w:val="32"/>
        </w:rPr>
        <w:t>%</w:t>
      </w:r>
      <w:r>
        <w:rPr>
          <w:rFonts w:hint="eastAsia" w:ascii="仿宋" w:hAnsi="仿宋" w:eastAsia="仿宋"/>
          <w:sz w:val="32"/>
          <w:szCs w:val="32"/>
        </w:rPr>
        <w:t>。</w:t>
      </w:r>
    </w:p>
    <w:p w14:paraId="33035EE6">
      <w:pPr>
        <w:pStyle w:val="2"/>
        <w:spacing w:before="93"/>
        <w:jc w:val="center"/>
        <w:rPr>
          <w:rFonts w:ascii="仿宋" w:hAnsi="仿宋" w:eastAsia="仿宋"/>
          <w:sz w:val="32"/>
          <w:szCs w:val="32"/>
          <w:shd w:val="pct10" w:color="auto" w:fill="FFFFFF"/>
        </w:rPr>
      </w:pPr>
      <w:r>
        <w:drawing>
          <wp:inline distT="0" distB="0" distL="114300" distR="114300">
            <wp:extent cx="4572000" cy="2194560"/>
            <wp:effectExtent l="4445" t="4445" r="10795" b="10795"/>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871E1D">
      <w:pPr>
        <w:spacing w:line="600" w:lineRule="exact"/>
        <w:jc w:val="center"/>
        <w:rPr>
          <w:rFonts w:ascii="仿宋_GB2312" w:eastAsia="仿宋_GB2312"/>
          <w:sz w:val="32"/>
          <w:szCs w:val="32"/>
        </w:rPr>
      </w:pPr>
      <w:r>
        <w:rPr>
          <w:rFonts w:hint="eastAsia" w:ascii="仿宋" w:hAnsi="仿宋" w:eastAsia="仿宋"/>
          <w:sz w:val="32"/>
          <w:szCs w:val="32"/>
        </w:rPr>
        <w:t>（图3：支出决算结构图）</w:t>
      </w:r>
    </w:p>
    <w:p w14:paraId="5F5C3406">
      <w:pPr>
        <w:spacing w:line="600" w:lineRule="exact"/>
        <w:ind w:firstLine="640" w:firstLineChars="200"/>
        <w:outlineLvl w:val="1"/>
        <w:rPr>
          <w:rStyle w:val="36"/>
          <w:rFonts w:ascii="黑体" w:hAnsi="黑体" w:eastAsia="黑体"/>
          <w:b w:val="0"/>
        </w:rPr>
      </w:pPr>
      <w:bookmarkStart w:id="22" w:name="_Toc15377208"/>
      <w:bookmarkStart w:id="23" w:name="_Toc15396606"/>
      <w:r>
        <w:rPr>
          <w:rFonts w:hint="eastAsia" w:ascii="黑体" w:hAnsi="黑体" w:eastAsia="黑体"/>
          <w:sz w:val="32"/>
          <w:szCs w:val="32"/>
        </w:rPr>
        <w:t>四、财</w:t>
      </w:r>
      <w:r>
        <w:rPr>
          <w:rStyle w:val="36"/>
          <w:rFonts w:hint="eastAsia" w:ascii="黑体" w:hAnsi="黑体" w:eastAsia="黑体"/>
          <w:b w:val="0"/>
        </w:rPr>
        <w:t>政拨款收入支出决算总体情况说明</w:t>
      </w:r>
      <w:bookmarkEnd w:id="22"/>
      <w:bookmarkEnd w:id="23"/>
    </w:p>
    <w:p w14:paraId="795D860D">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年财政拨款收、支总计</w:t>
      </w:r>
      <w:r>
        <w:rPr>
          <w:rFonts w:hint="eastAsia" w:ascii="仿宋" w:hAnsi="仿宋" w:eastAsia="仿宋"/>
          <w:sz w:val="32"/>
          <w:szCs w:val="32"/>
          <w:lang w:val="en-US" w:eastAsia="zh-CN"/>
        </w:rPr>
        <w:t>1933.29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年1492.38</w:t>
      </w:r>
      <w:r>
        <w:rPr>
          <w:rFonts w:hint="eastAsia" w:ascii="仿宋" w:hAnsi="仿宋" w:eastAsia="仿宋"/>
          <w:sz w:val="32"/>
          <w:szCs w:val="32"/>
          <w:lang w:val="en-US" w:eastAsia="zh-CN"/>
        </w:rPr>
        <w:t>万元</w:t>
      </w:r>
      <w:r>
        <w:rPr>
          <w:rFonts w:hint="eastAsia" w:ascii="仿宋" w:hAnsi="仿宋" w:eastAsia="仿宋"/>
          <w:sz w:val="32"/>
          <w:szCs w:val="32"/>
        </w:rPr>
        <w:t>相比，财政拨款收、支总计各</w:t>
      </w:r>
      <w:r>
        <w:rPr>
          <w:rFonts w:hint="eastAsia" w:ascii="仿宋" w:hAnsi="仿宋" w:eastAsia="仿宋"/>
          <w:sz w:val="32"/>
          <w:szCs w:val="32"/>
          <w:lang w:val="en-US" w:eastAsia="zh-CN"/>
        </w:rPr>
        <w:t>增加440.91</w:t>
      </w:r>
      <w:r>
        <w:rPr>
          <w:rFonts w:hint="eastAsia" w:ascii="仿宋" w:hAnsi="仿宋" w:eastAsia="仿宋"/>
          <w:sz w:val="32"/>
          <w:szCs w:val="32"/>
        </w:rPr>
        <w:t>万元，分别</w:t>
      </w:r>
      <w:r>
        <w:rPr>
          <w:rFonts w:hint="eastAsia" w:ascii="仿宋" w:hAnsi="仿宋" w:eastAsia="仿宋"/>
          <w:sz w:val="32"/>
          <w:szCs w:val="32"/>
          <w:lang w:val="en-US" w:eastAsia="zh-CN"/>
        </w:rPr>
        <w:t>增加29.54%</w:t>
      </w:r>
      <w:r>
        <w:rPr>
          <w:rFonts w:hint="eastAsia" w:ascii="仿宋" w:hAnsi="仿宋" w:eastAsia="仿宋"/>
          <w:sz w:val="32"/>
          <w:szCs w:val="32"/>
        </w:rPr>
        <w:t>。主要原因</w:t>
      </w:r>
      <w:r>
        <w:rPr>
          <w:rFonts w:hint="eastAsia" w:ascii="仿宋" w:hAnsi="仿宋" w:eastAsia="仿宋"/>
          <w:sz w:val="32"/>
          <w:szCs w:val="32"/>
          <w:lang w:val="en-US" w:eastAsia="zh-CN"/>
        </w:rPr>
        <w:t>为项目经费的增加</w:t>
      </w:r>
      <w:r>
        <w:rPr>
          <w:rFonts w:hint="eastAsia" w:ascii="仿宋" w:hAnsi="仿宋" w:eastAsia="仿宋"/>
          <w:sz w:val="32"/>
          <w:szCs w:val="32"/>
        </w:rPr>
        <w:t>。</w:t>
      </w:r>
    </w:p>
    <w:p w14:paraId="30BCC116">
      <w:pPr>
        <w:spacing w:line="600" w:lineRule="exact"/>
        <w:rPr>
          <w:rFonts w:ascii="仿宋" w:hAnsi="仿宋" w:eastAsia="仿宋"/>
          <w:sz w:val="32"/>
          <w:szCs w:val="32"/>
        </w:rPr>
      </w:pPr>
    </w:p>
    <w:p w14:paraId="369A07BC">
      <w:pPr>
        <w:pStyle w:val="2"/>
        <w:spacing w:before="93"/>
        <w:jc w:val="center"/>
      </w:pPr>
      <w:r>
        <w:drawing>
          <wp:inline distT="0" distB="0" distL="114300" distR="114300">
            <wp:extent cx="4572000" cy="2743200"/>
            <wp:effectExtent l="4445" t="4445" r="10795" b="1079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5852E">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14:paraId="502CA2FD">
      <w:pPr>
        <w:spacing w:line="600" w:lineRule="exact"/>
        <w:ind w:firstLine="640" w:firstLineChars="200"/>
        <w:outlineLvl w:val="1"/>
        <w:rPr>
          <w:rStyle w:val="36"/>
          <w:rFonts w:ascii="黑体" w:hAnsi="黑体" w:eastAsia="黑体"/>
          <w:b w:val="0"/>
        </w:rPr>
      </w:pPr>
      <w:bookmarkStart w:id="24" w:name="_Toc15377209"/>
      <w:bookmarkStart w:id="25" w:name="_Toc15396607"/>
      <w:r>
        <w:rPr>
          <w:rFonts w:hint="eastAsia" w:ascii="黑体" w:hAnsi="黑体" w:eastAsia="黑体"/>
          <w:sz w:val="32"/>
          <w:szCs w:val="32"/>
        </w:rPr>
        <w:t>五、</w:t>
      </w:r>
      <w:r>
        <w:rPr>
          <w:rFonts w:hint="eastAsia" w:ascii="黑体" w:hAnsi="黑体" w:eastAsia="黑体"/>
          <w:b/>
          <w:sz w:val="32"/>
          <w:szCs w:val="32"/>
        </w:rPr>
        <w:t>一</w:t>
      </w:r>
      <w:r>
        <w:rPr>
          <w:rStyle w:val="36"/>
          <w:rFonts w:hint="eastAsia" w:ascii="黑体" w:hAnsi="黑体" w:eastAsia="黑体"/>
          <w:b w:val="0"/>
        </w:rPr>
        <w:t>般公共预算财政拨款支出决算情况说明</w:t>
      </w:r>
      <w:bookmarkEnd w:id="24"/>
      <w:bookmarkEnd w:id="25"/>
    </w:p>
    <w:p w14:paraId="33EFB42D">
      <w:pPr>
        <w:spacing w:line="600" w:lineRule="exact"/>
        <w:ind w:firstLine="643" w:firstLineChars="200"/>
        <w:outlineLvl w:val="2"/>
        <w:rPr>
          <w:rFonts w:ascii="仿宋" w:hAnsi="仿宋" w:eastAsia="仿宋"/>
          <w:b/>
          <w:sz w:val="32"/>
          <w:szCs w:val="32"/>
        </w:rPr>
      </w:pPr>
      <w:bookmarkStart w:id="26" w:name="_Toc15377210"/>
      <w:r>
        <w:rPr>
          <w:rFonts w:hint="eastAsia" w:ascii="仿宋" w:hAnsi="仿宋" w:eastAsia="仿宋"/>
          <w:b/>
          <w:sz w:val="32"/>
          <w:szCs w:val="32"/>
        </w:rPr>
        <w:t>（一）一般公共预算财政拨款支出决算总体情况</w:t>
      </w:r>
      <w:bookmarkEnd w:id="26"/>
    </w:p>
    <w:p w14:paraId="0AF09E44">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1933.29</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年1492.38万元相比，一般公共预算财政拨款支出</w:t>
      </w:r>
      <w:r>
        <w:rPr>
          <w:rFonts w:hint="eastAsia" w:ascii="仿宋" w:hAnsi="仿宋" w:eastAsia="仿宋"/>
          <w:sz w:val="32"/>
          <w:szCs w:val="32"/>
          <w:lang w:val="en-US" w:eastAsia="zh-CN"/>
        </w:rPr>
        <w:t>增加440.91</w:t>
      </w:r>
      <w:r>
        <w:rPr>
          <w:rFonts w:hint="eastAsia" w:ascii="仿宋" w:hAnsi="仿宋" w:eastAsia="仿宋"/>
          <w:sz w:val="32"/>
          <w:szCs w:val="32"/>
        </w:rPr>
        <w:t>万元，</w:t>
      </w:r>
      <w:r>
        <w:rPr>
          <w:rFonts w:hint="eastAsia" w:ascii="仿宋" w:hAnsi="仿宋" w:eastAsia="仿宋"/>
          <w:sz w:val="32"/>
          <w:szCs w:val="32"/>
          <w:lang w:val="en-US" w:eastAsia="zh-CN"/>
        </w:rPr>
        <w:t>增加29.54%</w:t>
      </w:r>
      <w:r>
        <w:rPr>
          <w:rFonts w:hint="eastAsia" w:ascii="仿宋" w:hAnsi="仿宋" w:eastAsia="仿宋"/>
          <w:sz w:val="32"/>
          <w:szCs w:val="32"/>
        </w:rPr>
        <w:t>。主要原因</w:t>
      </w:r>
      <w:r>
        <w:rPr>
          <w:rFonts w:hint="eastAsia" w:ascii="仿宋" w:hAnsi="仿宋" w:eastAsia="仿宋"/>
          <w:sz w:val="32"/>
          <w:szCs w:val="32"/>
          <w:lang w:val="en-US" w:eastAsia="zh-CN"/>
        </w:rPr>
        <w:t>为项目经费的增加</w:t>
      </w:r>
      <w:r>
        <w:rPr>
          <w:rFonts w:hint="eastAsia" w:ascii="仿宋" w:hAnsi="仿宋" w:eastAsia="仿宋"/>
          <w:sz w:val="32"/>
          <w:szCs w:val="32"/>
        </w:rPr>
        <w:t>。</w:t>
      </w:r>
    </w:p>
    <w:p w14:paraId="2A0791C9">
      <w:pPr>
        <w:pStyle w:val="2"/>
        <w:spacing w:before="93"/>
        <w:jc w:val="center"/>
      </w:pPr>
      <w:r>
        <w:drawing>
          <wp:inline distT="0" distB="0" distL="114300" distR="114300">
            <wp:extent cx="4572000" cy="2480945"/>
            <wp:effectExtent l="4445" t="4445" r="10795" b="13970"/>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F0C6A7">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6DDBDBA3">
      <w:pPr>
        <w:spacing w:line="600" w:lineRule="exact"/>
        <w:ind w:firstLine="643" w:firstLineChars="200"/>
        <w:outlineLvl w:val="2"/>
        <w:rPr>
          <w:rFonts w:ascii="仿宋" w:hAnsi="仿宋" w:eastAsia="仿宋"/>
          <w:b/>
          <w:sz w:val="32"/>
          <w:szCs w:val="32"/>
        </w:rPr>
      </w:pPr>
      <w:bookmarkStart w:id="27" w:name="_Toc15377211"/>
      <w:r>
        <w:rPr>
          <w:rFonts w:hint="eastAsia" w:ascii="仿宋" w:hAnsi="仿宋" w:eastAsia="仿宋"/>
          <w:b/>
          <w:sz w:val="32"/>
          <w:szCs w:val="32"/>
        </w:rPr>
        <w:t>（二）一般公共预算财政拨款支出决算结构情况</w:t>
      </w:r>
      <w:bookmarkEnd w:id="27"/>
    </w:p>
    <w:p w14:paraId="2845177B">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1933.29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b w:val="0"/>
          <w:bCs/>
          <w:sz w:val="32"/>
          <w:szCs w:val="32"/>
          <w:lang w:val="en-US" w:eastAsia="zh-CN"/>
        </w:rPr>
        <w:t>1754.66</w:t>
      </w:r>
      <w:r>
        <w:rPr>
          <w:rFonts w:hint="eastAsia" w:ascii="仿宋" w:hAnsi="仿宋" w:eastAsia="仿宋"/>
          <w:b w:val="0"/>
          <w:bCs/>
          <w:sz w:val="32"/>
          <w:szCs w:val="32"/>
        </w:rPr>
        <w:t>万元</w:t>
      </w:r>
      <w:r>
        <w:rPr>
          <w:rFonts w:hint="eastAsia" w:ascii="仿宋" w:hAnsi="仿宋" w:eastAsia="仿宋"/>
          <w:b/>
          <w:sz w:val="32"/>
          <w:szCs w:val="32"/>
        </w:rPr>
        <w:t>，</w:t>
      </w:r>
      <w:r>
        <w:rPr>
          <w:rFonts w:hint="eastAsia" w:ascii="仿宋" w:hAnsi="仿宋" w:eastAsia="仿宋"/>
          <w:bCs/>
          <w:sz w:val="32"/>
          <w:szCs w:val="32"/>
        </w:rPr>
        <w:t>占90.16%；</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90.46</w:t>
      </w:r>
      <w:r>
        <w:rPr>
          <w:rFonts w:hint="eastAsia" w:ascii="仿宋" w:hAnsi="仿宋" w:eastAsia="仿宋"/>
          <w:sz w:val="32"/>
          <w:szCs w:val="32"/>
        </w:rPr>
        <w:t>万元，占3.66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30.37</w:t>
      </w:r>
      <w:r>
        <w:rPr>
          <w:rFonts w:hint="eastAsia" w:ascii="仿宋" w:hAnsi="仿宋" w:eastAsia="仿宋"/>
          <w:sz w:val="32"/>
          <w:szCs w:val="32"/>
        </w:rPr>
        <w:t>万元，占2.07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val="0"/>
          <w:bCs w:val="0"/>
          <w:sz w:val="32"/>
          <w:szCs w:val="32"/>
          <w:lang w:val="en-US" w:eastAsia="zh-CN"/>
        </w:rPr>
        <w:t>57.80</w:t>
      </w:r>
      <w:r>
        <w:rPr>
          <w:rFonts w:hint="eastAsia" w:ascii="仿宋" w:hAnsi="仿宋" w:eastAsia="仿宋"/>
          <w:sz w:val="32"/>
          <w:szCs w:val="32"/>
        </w:rPr>
        <w:t>万元，占4.11</w:t>
      </w:r>
      <w:r>
        <w:rPr>
          <w:rFonts w:ascii="仿宋" w:hAnsi="仿宋" w:eastAsia="仿宋"/>
          <w:sz w:val="32"/>
          <w:szCs w:val="32"/>
        </w:rPr>
        <w:t>%</w:t>
      </w:r>
      <w:r>
        <w:rPr>
          <w:rFonts w:hint="eastAsia" w:ascii="仿宋" w:hAnsi="仿宋" w:eastAsia="仿宋"/>
          <w:sz w:val="32"/>
          <w:szCs w:val="32"/>
        </w:rPr>
        <w:t>。</w:t>
      </w:r>
    </w:p>
    <w:p w14:paraId="1CE60858">
      <w:pPr>
        <w:pStyle w:val="2"/>
        <w:spacing w:before="93"/>
        <w:jc w:val="center"/>
      </w:pPr>
      <w:r>
        <w:drawing>
          <wp:inline distT="0" distB="0" distL="114300" distR="114300">
            <wp:extent cx="4572635" cy="2598420"/>
            <wp:effectExtent l="4445" t="4445" r="10160" b="1841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CA2F4C">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3881DC41">
      <w:pPr>
        <w:spacing w:line="600" w:lineRule="exact"/>
        <w:ind w:firstLine="643" w:firstLineChars="200"/>
        <w:outlineLvl w:val="2"/>
        <w:rPr>
          <w:rFonts w:ascii="仿宋" w:hAnsi="仿宋" w:eastAsia="仿宋"/>
          <w:b/>
          <w:sz w:val="32"/>
          <w:szCs w:val="32"/>
        </w:rPr>
      </w:pPr>
      <w:bookmarkStart w:id="28" w:name="_Toc15377212"/>
      <w:r>
        <w:rPr>
          <w:rFonts w:hint="eastAsia" w:ascii="仿宋" w:hAnsi="仿宋" w:eastAsia="仿宋"/>
          <w:b/>
          <w:sz w:val="32"/>
          <w:szCs w:val="32"/>
        </w:rPr>
        <w:t>（三）一般公共预算财政拨款支出决算具体情况</w:t>
      </w:r>
      <w:bookmarkEnd w:id="28"/>
    </w:p>
    <w:p w14:paraId="558DBA5B">
      <w:pPr>
        <w:spacing w:line="600" w:lineRule="exact"/>
        <w:ind w:firstLine="643" w:firstLineChars="200"/>
        <w:outlineLvl w:val="2"/>
        <w:rPr>
          <w:rFonts w:ascii="仿宋" w:hAnsi="仿宋" w:eastAsia="仿宋"/>
          <w:sz w:val="32"/>
          <w:szCs w:val="32"/>
        </w:rPr>
      </w:pPr>
      <w:bookmarkStart w:id="29" w:name="_Toc15378460"/>
      <w:bookmarkStart w:id="30" w:name="_Toc15377213"/>
      <w:bookmarkStart w:id="31" w:name="_Toc15377444"/>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1933.29</w:t>
      </w:r>
      <w:r>
        <w:rPr>
          <w:rFonts w:hint="eastAsia" w:ascii="仿宋" w:hAnsi="仿宋" w:eastAsia="仿宋"/>
          <w:b/>
          <w:sz w:val="32"/>
          <w:szCs w:val="32"/>
        </w:rPr>
        <w:t>万元</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29"/>
      <w:bookmarkEnd w:id="30"/>
      <w:bookmarkEnd w:id="31"/>
    </w:p>
    <w:p w14:paraId="1B3A33C0">
      <w:pPr>
        <w:spacing w:line="600" w:lineRule="exact"/>
        <w:ind w:firstLine="643" w:firstLineChars="200"/>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公共安全支出（204）公安（02）行政运行（01）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860.16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60CB9ADE">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公共安全支出（204）公安（02）一般行政管理事务（02）</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894.50</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1A29242">
      <w:pPr>
        <w:spacing w:line="600" w:lineRule="exact"/>
        <w:ind w:firstLine="643" w:firstLineChars="200"/>
      </w:pPr>
      <w:r>
        <w:rPr>
          <w:rStyle w:val="16"/>
          <w:rFonts w:hint="eastAsia" w:ascii="仿宋" w:hAnsi="仿宋" w:eastAsia="仿宋"/>
          <w:bCs/>
          <w:sz w:val="32"/>
          <w:szCs w:val="32"/>
        </w:rPr>
        <w:t>3</w:t>
      </w:r>
      <w:r>
        <w:rPr>
          <w:rStyle w:val="16"/>
          <w:rFonts w:ascii="仿宋" w:hAnsi="仿宋" w:eastAsia="仿宋"/>
          <w:bCs/>
          <w:sz w:val="32"/>
          <w:szCs w:val="32"/>
        </w:rPr>
        <w:t>.</w:t>
      </w:r>
      <w:r>
        <w:rPr>
          <w:rStyle w:val="16"/>
          <w:rFonts w:hint="eastAsia" w:ascii="仿宋" w:hAnsi="仿宋" w:eastAsia="仿宋"/>
          <w:bCs/>
          <w:sz w:val="32"/>
          <w:szCs w:val="32"/>
        </w:rPr>
        <w:t>社会保障和就业（208）行政事业单位养老支出（05）    行政单位离退休（01）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11.32</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3360F85">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Style w:val="16"/>
          <w:rFonts w:hint="eastAsia" w:ascii="仿宋" w:hAnsi="仿宋" w:eastAsia="仿宋"/>
          <w:bCs/>
          <w:sz w:val="32"/>
          <w:szCs w:val="32"/>
        </w:rPr>
        <w:t>社会保障和就业（208）行政事业单位养老支出（05）  机关事业单位基本养老保险缴费支出（05）</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79.14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B986B75">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5</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（210）行政事业单位医疗（11）  行政单位医疗（01）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30.37</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226478A6">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6</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（221）住房改革支出（02）住房公积金（01）</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57.80</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33FFD296">
      <w:pPr>
        <w:tabs>
          <w:tab w:val="right" w:pos="8306"/>
        </w:tabs>
        <w:spacing w:line="600" w:lineRule="exact"/>
        <w:ind w:firstLine="640"/>
        <w:outlineLvl w:val="1"/>
        <w:rPr>
          <w:rStyle w:val="36"/>
        </w:rPr>
      </w:pPr>
      <w:bookmarkStart w:id="32" w:name="_Toc15377214"/>
      <w:bookmarkStart w:id="3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6"/>
          <w:rFonts w:hint="eastAsia" w:ascii="黑体" w:hAnsi="黑体" w:eastAsia="黑体"/>
          <w:b w:val="0"/>
        </w:rPr>
        <w:t>般公共预算财政拨款基本支出决算情况说明</w:t>
      </w:r>
      <w:bookmarkEnd w:id="32"/>
      <w:bookmarkEnd w:id="33"/>
      <w:r>
        <w:rPr>
          <w:rStyle w:val="36"/>
          <w:rFonts w:ascii="黑体" w:hAnsi="黑体" w:eastAsia="黑体"/>
          <w:b w:val="0"/>
        </w:rPr>
        <w:tab/>
      </w:r>
    </w:p>
    <w:p w14:paraId="00D5E1C5">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1038.79</w:t>
      </w:r>
      <w:r>
        <w:rPr>
          <w:rFonts w:hint="eastAsia" w:ascii="仿宋" w:hAnsi="仿宋" w:eastAsia="仿宋"/>
          <w:sz w:val="32"/>
          <w:szCs w:val="32"/>
        </w:rPr>
        <w:t>万元，其中：</w:t>
      </w:r>
    </w:p>
    <w:p w14:paraId="5FDC5D9A">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761.66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277.13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7FD1C2C">
      <w:pPr>
        <w:spacing w:line="600" w:lineRule="exact"/>
        <w:ind w:firstLine="640"/>
        <w:outlineLvl w:val="1"/>
        <w:rPr>
          <w:rStyle w:val="36"/>
          <w:rFonts w:ascii="黑体" w:hAnsi="黑体" w:eastAsia="黑体"/>
          <w:b w:val="0"/>
        </w:rPr>
      </w:pPr>
      <w:bookmarkStart w:id="34" w:name="_Toc15396609"/>
      <w:bookmarkStart w:id="35" w:name="_Toc15377215"/>
      <w:r>
        <w:rPr>
          <w:rFonts w:hint="eastAsia" w:ascii="黑体" w:eastAsia="黑体"/>
          <w:sz w:val="32"/>
          <w:szCs w:val="32"/>
        </w:rPr>
        <w:t>七、</w:t>
      </w:r>
      <w:r>
        <w:rPr>
          <w:rStyle w:val="36"/>
          <w:rFonts w:hint="eastAsia" w:ascii="黑体" w:hAnsi="黑体" w:eastAsia="黑体"/>
          <w:b w:val="0"/>
        </w:rPr>
        <w:t>财政拨款</w:t>
      </w:r>
      <w:r>
        <w:rPr>
          <w:rStyle w:val="36"/>
          <w:rFonts w:hint="eastAsia" w:ascii="黑体" w:hAnsi="黑体" w:eastAsia="黑体"/>
        </w:rPr>
        <w:t>“</w:t>
      </w:r>
      <w:r>
        <w:rPr>
          <w:rStyle w:val="36"/>
          <w:rFonts w:hint="eastAsia" w:ascii="黑体" w:hAnsi="黑体" w:eastAsia="黑体"/>
          <w:b w:val="0"/>
        </w:rPr>
        <w:t>三公”经费支出决算情况说明</w:t>
      </w:r>
      <w:bookmarkEnd w:id="34"/>
      <w:bookmarkEnd w:id="35"/>
    </w:p>
    <w:p w14:paraId="2039A110">
      <w:pPr>
        <w:spacing w:line="600" w:lineRule="exact"/>
        <w:ind w:firstLine="640"/>
        <w:outlineLvl w:val="2"/>
        <w:rPr>
          <w:rFonts w:ascii="仿宋" w:hAnsi="仿宋" w:eastAsia="仿宋"/>
          <w:b/>
          <w:sz w:val="32"/>
          <w:szCs w:val="32"/>
        </w:rPr>
      </w:pPr>
      <w:bookmarkStart w:id="36" w:name="_Toc15377216"/>
      <w:r>
        <w:rPr>
          <w:rFonts w:hint="eastAsia" w:ascii="仿宋" w:hAnsi="仿宋" w:eastAsia="仿宋"/>
          <w:b/>
          <w:sz w:val="32"/>
          <w:szCs w:val="32"/>
        </w:rPr>
        <w:t>（一）“三公”经费财政拨款支出决算总体情况说明</w:t>
      </w:r>
      <w:bookmarkEnd w:id="36"/>
    </w:p>
    <w:p w14:paraId="0FC1D026">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年“三公”经费财政拨款支出决算为13.</w:t>
      </w:r>
      <w:r>
        <w:rPr>
          <w:rFonts w:hint="eastAsia" w:ascii="仿宋" w:hAnsi="仿宋" w:eastAsia="仿宋"/>
          <w:sz w:val="32"/>
          <w:szCs w:val="32"/>
          <w:lang w:val="en-US" w:eastAsia="zh-CN"/>
        </w:rPr>
        <w:t>40</w:t>
      </w:r>
      <w:r>
        <w:rPr>
          <w:rFonts w:hint="eastAsia" w:ascii="仿宋" w:hAnsi="仿宋" w:eastAsia="仿宋"/>
          <w:sz w:val="32"/>
          <w:szCs w:val="32"/>
        </w:rPr>
        <w:t>万元，完成预算100</w:t>
      </w:r>
      <w:r>
        <w:rPr>
          <w:rFonts w:ascii="仿宋" w:hAnsi="仿宋" w:eastAsia="仿宋"/>
          <w:sz w:val="32"/>
          <w:szCs w:val="32"/>
        </w:rPr>
        <w:t>%</w:t>
      </w:r>
      <w:r>
        <w:rPr>
          <w:rFonts w:hint="eastAsia" w:ascii="仿宋" w:hAnsi="仿宋" w:eastAsia="仿宋"/>
          <w:sz w:val="32"/>
          <w:szCs w:val="32"/>
        </w:rPr>
        <w:t>，较</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val="en-US" w:eastAsia="zh-CN"/>
        </w:rPr>
        <w:t>13.35万元</w:t>
      </w:r>
      <w:r>
        <w:rPr>
          <w:rFonts w:hint="eastAsia" w:ascii="仿宋" w:hAnsi="仿宋" w:eastAsia="仿宋"/>
          <w:sz w:val="32"/>
          <w:szCs w:val="32"/>
        </w:rPr>
        <w:t>增加</w:t>
      </w:r>
      <w:r>
        <w:rPr>
          <w:rFonts w:ascii="仿宋" w:hAnsi="仿宋" w:eastAsia="仿宋"/>
          <w:sz w:val="32"/>
          <w:szCs w:val="32"/>
        </w:rPr>
        <w:t>0</w:t>
      </w:r>
      <w:r>
        <w:rPr>
          <w:rFonts w:hint="eastAsia" w:ascii="仿宋" w:hAnsi="仿宋" w:eastAsia="仿宋"/>
          <w:sz w:val="32"/>
          <w:szCs w:val="32"/>
          <w:lang w:val="en-US" w:eastAsia="zh-CN"/>
        </w:rPr>
        <w:t>.05</w:t>
      </w:r>
      <w:r>
        <w:rPr>
          <w:rFonts w:hint="eastAsia" w:ascii="仿宋" w:hAnsi="仿宋" w:eastAsia="仿宋"/>
          <w:sz w:val="32"/>
          <w:szCs w:val="32"/>
        </w:rPr>
        <w:t>万元，增长</w:t>
      </w:r>
      <w:r>
        <w:rPr>
          <w:rFonts w:hint="eastAsia" w:ascii="仿宋" w:hAnsi="仿宋" w:eastAsia="仿宋"/>
          <w:sz w:val="32"/>
          <w:szCs w:val="32"/>
          <w:lang w:val="en-US" w:eastAsia="zh-CN"/>
        </w:rPr>
        <w:t>0.38</w:t>
      </w:r>
      <w:r>
        <w:rPr>
          <w:rFonts w:hint="eastAsia" w:ascii="仿宋" w:hAnsi="仿宋" w:eastAsia="仿宋"/>
          <w:sz w:val="32"/>
          <w:szCs w:val="32"/>
        </w:rPr>
        <w:t>%。主要原因</w:t>
      </w:r>
      <w:r>
        <w:rPr>
          <w:rFonts w:hint="eastAsia" w:ascii="仿宋" w:hAnsi="仿宋" w:eastAsia="仿宋"/>
          <w:sz w:val="32"/>
          <w:szCs w:val="32"/>
          <w:lang w:val="en-US" w:eastAsia="zh-CN"/>
        </w:rPr>
        <w:t>为公务用车运行费用增加</w:t>
      </w:r>
      <w:r>
        <w:rPr>
          <w:rFonts w:hint="eastAsia" w:ascii="仿宋" w:hAnsi="仿宋" w:eastAsia="仿宋"/>
          <w:sz w:val="32"/>
          <w:szCs w:val="32"/>
        </w:rPr>
        <w:t>。</w:t>
      </w:r>
    </w:p>
    <w:p w14:paraId="034B406D">
      <w:pPr>
        <w:spacing w:line="600" w:lineRule="exact"/>
        <w:ind w:firstLine="640"/>
        <w:outlineLvl w:val="2"/>
        <w:rPr>
          <w:rFonts w:ascii="仿宋" w:hAnsi="仿宋" w:eastAsia="仿宋"/>
          <w:b/>
          <w:sz w:val="32"/>
          <w:szCs w:val="32"/>
        </w:rPr>
      </w:pPr>
      <w:bookmarkStart w:id="37" w:name="_Toc15377217"/>
      <w:r>
        <w:rPr>
          <w:rFonts w:hint="eastAsia" w:ascii="仿宋" w:hAnsi="仿宋" w:eastAsia="仿宋"/>
          <w:b/>
          <w:sz w:val="32"/>
          <w:szCs w:val="32"/>
        </w:rPr>
        <w:t>（二）“三公”经费财政拨款支出决算具体情况说明</w:t>
      </w:r>
      <w:bookmarkEnd w:id="37"/>
    </w:p>
    <w:p w14:paraId="13907B05">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；公务用车购置及运行维护费支出决算13.</w:t>
      </w:r>
      <w:r>
        <w:rPr>
          <w:rFonts w:hint="eastAsia" w:ascii="仿宋" w:hAnsi="仿宋" w:eastAsia="仿宋"/>
          <w:sz w:val="32"/>
          <w:szCs w:val="32"/>
          <w:lang w:val="en-US" w:eastAsia="zh-CN"/>
        </w:rPr>
        <w:t>40</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7398A56A">
      <w:pPr>
        <w:pStyle w:val="2"/>
        <w:spacing w:before="93"/>
        <w:jc w:val="center"/>
      </w:pPr>
      <w:r>
        <w:drawing>
          <wp:inline distT="0" distB="0" distL="114300" distR="114300">
            <wp:extent cx="4572000" cy="2743200"/>
            <wp:effectExtent l="4445" t="4445" r="10795" b="10795"/>
            <wp:docPr id="1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06C261">
      <w:pPr>
        <w:spacing w:line="600" w:lineRule="exact"/>
        <w:jc w:val="center"/>
        <w:rPr>
          <w:rFonts w:ascii="仿宋" w:hAnsi="仿宋" w:eastAsia="仿宋"/>
          <w:sz w:val="32"/>
          <w:szCs w:val="32"/>
        </w:rPr>
      </w:pPr>
      <w:r>
        <w:rPr>
          <w:rFonts w:hint="eastAsia" w:ascii="仿宋" w:hAnsi="仿宋" w:eastAsia="仿宋"/>
          <w:sz w:val="32"/>
          <w:szCs w:val="32"/>
        </w:rPr>
        <w:t>（图7：“三公”经费财政拨款支出结构）</w:t>
      </w:r>
    </w:p>
    <w:p w14:paraId="047DA4BF">
      <w:pPr>
        <w:spacing w:line="600" w:lineRule="exact"/>
        <w:ind w:firstLine="640"/>
        <w:rPr>
          <w:rFonts w:hint="eastAsia" w:ascii="仿宋" w:hAnsi="仿宋" w:eastAsia="仿宋" w:cs="仿宋"/>
          <w:b/>
          <w:sz w:val="32"/>
          <w:szCs w:val="32"/>
        </w:rPr>
      </w:pPr>
      <w:bookmarkStart w:id="38" w:name="_Toc15377218"/>
      <w:bookmarkStart w:id="39" w:name="_Toc15396610"/>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6"/>
          <w:rFonts w:hint="eastAsia" w:ascii="仿宋" w:hAnsi="仿宋" w:eastAsia="仿宋" w:cs="仿宋"/>
          <w:b w:val="0"/>
          <w:bCs/>
          <w:sz w:val="32"/>
          <w:szCs w:val="32"/>
        </w:rPr>
        <w:t>完成预算</w:t>
      </w:r>
      <w:r>
        <w:rPr>
          <w:rStyle w:val="16"/>
          <w:rFonts w:hint="eastAsia" w:ascii="仿宋" w:hAnsi="仿宋" w:eastAsia="仿宋" w:cs="仿宋"/>
          <w:b w:val="0"/>
          <w:bCs/>
          <w:sz w:val="32"/>
          <w:szCs w:val="32"/>
          <w:lang w:val="en-US" w:eastAsia="zh-CN"/>
        </w:rPr>
        <w:t>10</w:t>
      </w:r>
      <w:r>
        <w:rPr>
          <w:rStyle w:val="16"/>
          <w:rFonts w:hint="eastAsia" w:ascii="仿宋" w:hAnsi="仿宋" w:eastAsia="仿宋" w:cs="仿宋"/>
          <w:b w:val="0"/>
          <w:bCs/>
          <w:sz w:val="32"/>
          <w:szCs w:val="32"/>
        </w:rPr>
        <w:t>0%。</w:t>
      </w:r>
      <w:r>
        <w:rPr>
          <w:rFonts w:hint="eastAsia" w:ascii="仿宋" w:hAnsi="仿宋" w:eastAsia="仿宋" w:cs="仿宋"/>
          <w:sz w:val="32"/>
          <w:szCs w:val="32"/>
        </w:rPr>
        <w:t>全年安排因公出国（境）团组0次，出国（境）0人。</w:t>
      </w:r>
    </w:p>
    <w:p w14:paraId="5E2EF4B2">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13.</w:t>
      </w:r>
      <w:r>
        <w:rPr>
          <w:rFonts w:hint="eastAsia" w:ascii="仿宋" w:hAnsi="仿宋" w:eastAsia="仿宋" w:cs="仿宋"/>
          <w:sz w:val="32"/>
          <w:szCs w:val="32"/>
          <w:lang w:val="en-US" w:eastAsia="zh-CN"/>
        </w:rPr>
        <w:t>40</w:t>
      </w:r>
      <w:r>
        <w:rPr>
          <w:rFonts w:hint="eastAsia" w:ascii="仿宋" w:hAnsi="仿宋" w:eastAsia="仿宋" w:cs="仿宋"/>
          <w:sz w:val="32"/>
          <w:szCs w:val="32"/>
        </w:rPr>
        <w:t>万元,</w:t>
      </w:r>
      <w:r>
        <w:rPr>
          <w:rStyle w:val="16"/>
          <w:rFonts w:hint="eastAsia" w:ascii="仿宋" w:hAnsi="仿宋" w:eastAsia="仿宋" w:cs="仿宋"/>
          <w:b w:val="0"/>
          <w:bCs/>
          <w:sz w:val="32"/>
          <w:szCs w:val="32"/>
        </w:rPr>
        <w:t>完成预算100%。</w:t>
      </w:r>
      <w:r>
        <w:rPr>
          <w:rFonts w:hint="eastAsia" w:ascii="仿宋" w:hAnsi="仿宋" w:eastAsia="仿宋" w:cs="仿宋"/>
          <w:sz w:val="32"/>
          <w:szCs w:val="32"/>
        </w:rPr>
        <w:t>较上年增加</w:t>
      </w:r>
      <w:r>
        <w:rPr>
          <w:rFonts w:hint="eastAsia" w:ascii="仿宋" w:hAnsi="仿宋" w:eastAsia="仿宋" w:cs="仿宋"/>
          <w:sz w:val="32"/>
          <w:szCs w:val="32"/>
          <w:lang w:val="en-US" w:eastAsia="zh-CN"/>
        </w:rPr>
        <w:t>0.05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0.38</w:t>
      </w:r>
      <w:r>
        <w:rPr>
          <w:rFonts w:hint="eastAsia" w:ascii="仿宋" w:hAnsi="仿宋" w:eastAsia="仿宋" w:cs="仿宋"/>
          <w:sz w:val="32"/>
          <w:szCs w:val="32"/>
        </w:rPr>
        <w:t>%。</w:t>
      </w:r>
      <w:r>
        <w:rPr>
          <w:rFonts w:hint="eastAsia" w:ascii="仿宋" w:hAnsi="仿宋" w:eastAsia="仿宋"/>
          <w:sz w:val="32"/>
          <w:szCs w:val="32"/>
        </w:rPr>
        <w:t>主要原因</w:t>
      </w:r>
      <w:r>
        <w:rPr>
          <w:rFonts w:hint="eastAsia" w:ascii="仿宋" w:hAnsi="仿宋" w:eastAsia="仿宋"/>
          <w:sz w:val="32"/>
          <w:szCs w:val="32"/>
          <w:lang w:val="en-US" w:eastAsia="zh-CN"/>
        </w:rPr>
        <w:t>为公务用车运行费用增加</w:t>
      </w:r>
      <w:r>
        <w:rPr>
          <w:rFonts w:hint="eastAsia" w:ascii="仿宋" w:hAnsi="仿宋" w:eastAsia="仿宋"/>
          <w:sz w:val="32"/>
          <w:szCs w:val="32"/>
        </w:rPr>
        <w:t>。</w:t>
      </w:r>
    </w:p>
    <w:p w14:paraId="01B59EAC">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年12月底，单位共有公务用车4辆，其中：</w:t>
      </w:r>
      <w:r>
        <w:rPr>
          <w:rFonts w:hint="eastAsia" w:ascii="仿宋" w:hAnsi="仿宋" w:eastAsia="仿宋" w:cs="仿宋"/>
          <w:sz w:val="32"/>
          <w:szCs w:val="32"/>
          <w:lang w:val="en-US" w:eastAsia="zh-CN"/>
        </w:rPr>
        <w:t>执法执勤</w:t>
      </w:r>
      <w:r>
        <w:rPr>
          <w:rFonts w:hint="eastAsia" w:ascii="仿宋" w:hAnsi="仿宋" w:eastAsia="仿宋" w:cs="仿宋"/>
          <w:sz w:val="32"/>
          <w:szCs w:val="32"/>
        </w:rPr>
        <w:t>车辆4辆。</w:t>
      </w:r>
    </w:p>
    <w:p w14:paraId="228DA699">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13.</w:t>
      </w:r>
      <w:r>
        <w:rPr>
          <w:rFonts w:hint="eastAsia" w:ascii="仿宋" w:hAnsi="仿宋" w:eastAsia="仿宋" w:cs="仿宋"/>
          <w:sz w:val="32"/>
          <w:szCs w:val="32"/>
          <w:lang w:val="en-US" w:eastAsia="zh-CN"/>
        </w:rPr>
        <w:t>40</w:t>
      </w:r>
      <w:r>
        <w:rPr>
          <w:rFonts w:hint="eastAsia" w:ascii="仿宋" w:hAnsi="仿宋" w:eastAsia="仿宋" w:cs="仿宋"/>
          <w:sz w:val="32"/>
          <w:szCs w:val="32"/>
        </w:rPr>
        <w:t>万元。主要用于执法执勤、在押人员出所看病就医、犯罪投牢等所需的公务用车燃料费、维修费、过路过桥费、保险费等支出。</w:t>
      </w:r>
    </w:p>
    <w:p w14:paraId="6067D88D">
      <w:pPr>
        <w:spacing w:line="600" w:lineRule="exact"/>
        <w:ind w:firstLine="643" w:firstLineChars="200"/>
        <w:rPr>
          <w:rFonts w:hint="default" w:eastAsia="仿宋"/>
          <w:lang w:val="en-US" w:eastAsia="zh-CN"/>
        </w:rPr>
      </w:pPr>
      <w:r>
        <w:rPr>
          <w:rFonts w:hint="eastAsia" w:ascii="仿宋" w:hAnsi="仿宋" w:eastAsia="仿宋" w:cs="仿宋"/>
          <w:b/>
          <w:sz w:val="32"/>
          <w:szCs w:val="32"/>
        </w:rPr>
        <w:t>3.公务接待费支出</w:t>
      </w:r>
      <w:r>
        <w:rPr>
          <w:rFonts w:hint="eastAsia" w:ascii="仿宋" w:hAnsi="仿宋" w:eastAsia="仿宋" w:cs="仿宋"/>
          <w:sz w:val="32"/>
          <w:szCs w:val="32"/>
        </w:rPr>
        <w:t>0万元，</w:t>
      </w:r>
      <w:r>
        <w:rPr>
          <w:rStyle w:val="16"/>
          <w:rFonts w:hint="eastAsia" w:ascii="仿宋" w:hAnsi="仿宋" w:eastAsia="仿宋" w:cs="仿宋"/>
          <w:b w:val="0"/>
          <w:bCs/>
          <w:sz w:val="32"/>
          <w:szCs w:val="32"/>
        </w:rPr>
        <w:t>完成预算100%。</w:t>
      </w:r>
      <w:r>
        <w:rPr>
          <w:rFonts w:hint="eastAsia" w:ascii="仿宋" w:hAnsi="仿宋" w:eastAsia="仿宋" w:cs="仿宋"/>
          <w:sz w:val="32"/>
          <w:szCs w:val="32"/>
          <w:lang w:val="en-US" w:eastAsia="zh-CN"/>
        </w:rPr>
        <w:t>本单位无公务接待费预算支出。</w:t>
      </w:r>
    </w:p>
    <w:p w14:paraId="700A77A4">
      <w:pPr>
        <w:spacing w:line="600" w:lineRule="exact"/>
        <w:ind w:firstLine="640"/>
        <w:outlineLvl w:val="1"/>
        <w:rPr>
          <w:rStyle w:val="36"/>
          <w:rFonts w:ascii="黑体" w:hAnsi="黑体" w:eastAsia="黑体"/>
        </w:rPr>
      </w:pPr>
      <w:r>
        <w:rPr>
          <w:rFonts w:hint="eastAsia" w:ascii="黑体" w:eastAsia="黑体"/>
          <w:sz w:val="32"/>
          <w:szCs w:val="32"/>
        </w:rPr>
        <w:t>八、</w:t>
      </w:r>
      <w:r>
        <w:rPr>
          <w:rStyle w:val="36"/>
          <w:rFonts w:hint="eastAsia" w:ascii="黑体" w:hAnsi="黑体" w:eastAsia="黑体"/>
          <w:b w:val="0"/>
        </w:rPr>
        <w:t>政府性基金预算支出决算情况说明</w:t>
      </w:r>
      <w:bookmarkEnd w:id="38"/>
      <w:bookmarkEnd w:id="39"/>
    </w:p>
    <w:p w14:paraId="0D39E427">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年政府性基金预算财政拨款支出0万元。</w:t>
      </w:r>
    </w:p>
    <w:p w14:paraId="3755C32F">
      <w:pPr>
        <w:numPr>
          <w:ilvl w:val="0"/>
          <w:numId w:val="2"/>
        </w:numPr>
        <w:spacing w:line="600" w:lineRule="exact"/>
        <w:ind w:firstLine="640"/>
        <w:outlineLvl w:val="1"/>
        <w:rPr>
          <w:rStyle w:val="36"/>
          <w:rFonts w:ascii="黑体" w:hAnsi="黑体" w:eastAsia="黑体"/>
          <w:b w:val="0"/>
        </w:rPr>
      </w:pPr>
      <w:bookmarkStart w:id="40" w:name="_Toc15396611"/>
      <w:bookmarkStart w:id="41" w:name="_Toc15377219"/>
      <w:r>
        <w:rPr>
          <w:rStyle w:val="36"/>
          <w:rFonts w:hint="eastAsia" w:ascii="黑体" w:hAnsi="黑体" w:eastAsia="黑体"/>
          <w:b w:val="0"/>
        </w:rPr>
        <w:t>国有资本经营预算支出决算情况说明</w:t>
      </w:r>
      <w:bookmarkEnd w:id="40"/>
      <w:bookmarkEnd w:id="41"/>
    </w:p>
    <w:p w14:paraId="548722EA">
      <w:pPr>
        <w:spacing w:line="600" w:lineRule="exact"/>
        <w:ind w:firstLine="640"/>
        <w:rPr>
          <w:rFonts w:hint="eastAsia" w:ascii="仿宋" w:hAnsi="仿宋" w:eastAsia="仿宋" w:cs="仿宋"/>
          <w:sz w:val="44"/>
          <w:szCs w:val="44"/>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年国有资本经营预算财政拨款支出0万元。</w:t>
      </w:r>
    </w:p>
    <w:p w14:paraId="5BACBDF1">
      <w:pPr>
        <w:numPr>
          <w:ilvl w:val="0"/>
          <w:numId w:val="2"/>
        </w:numPr>
        <w:spacing w:line="600" w:lineRule="exact"/>
        <w:ind w:firstLine="640"/>
        <w:outlineLvl w:val="1"/>
        <w:rPr>
          <w:rStyle w:val="36"/>
          <w:rFonts w:ascii="黑体" w:hAnsi="黑体" w:eastAsia="黑体"/>
          <w:b w:val="0"/>
        </w:rPr>
      </w:pPr>
      <w:bookmarkStart w:id="42" w:name="_Toc15377221"/>
      <w:bookmarkStart w:id="43" w:name="_Toc15396612"/>
      <w:r>
        <w:rPr>
          <w:rStyle w:val="36"/>
          <w:rFonts w:hint="eastAsia" w:ascii="黑体" w:hAnsi="黑体" w:eastAsia="黑体"/>
          <w:b w:val="0"/>
        </w:rPr>
        <w:t>其他重要事项的情况说明</w:t>
      </w:r>
      <w:bookmarkEnd w:id="42"/>
      <w:bookmarkEnd w:id="43"/>
    </w:p>
    <w:p w14:paraId="2C669C96">
      <w:pPr>
        <w:spacing w:line="600" w:lineRule="exact"/>
        <w:ind w:firstLine="643" w:firstLineChars="200"/>
        <w:outlineLvl w:val="2"/>
        <w:rPr>
          <w:rFonts w:hint="eastAsia" w:ascii="仿宋" w:hAnsi="仿宋" w:eastAsia="仿宋" w:cs="仿宋"/>
          <w:sz w:val="32"/>
          <w:szCs w:val="32"/>
        </w:rPr>
      </w:pPr>
      <w:bookmarkStart w:id="44" w:name="_Toc15377222"/>
      <w:r>
        <w:rPr>
          <w:rFonts w:hint="eastAsia" w:ascii="仿宋" w:hAnsi="仿宋" w:eastAsia="仿宋" w:cs="仿宋"/>
          <w:b/>
          <w:sz w:val="32"/>
          <w:szCs w:val="32"/>
        </w:rPr>
        <w:t>（一）机关运行经费支出情况</w:t>
      </w:r>
      <w:bookmarkEnd w:id="44"/>
    </w:p>
    <w:p w14:paraId="2BFC84A0">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年，机关运行经费支出</w:t>
      </w:r>
      <w:r>
        <w:rPr>
          <w:rFonts w:hint="eastAsia" w:ascii="仿宋" w:hAnsi="仿宋" w:eastAsia="仿宋" w:cs="仿宋"/>
          <w:sz w:val="32"/>
          <w:szCs w:val="32"/>
          <w:lang w:val="en-US" w:eastAsia="zh-CN"/>
        </w:rPr>
        <w:t>277.13</w:t>
      </w:r>
      <w:r>
        <w:rPr>
          <w:rFonts w:hint="eastAsia" w:ascii="仿宋" w:hAnsi="仿宋" w:eastAsia="仿宋" w:cs="仿宋"/>
          <w:sz w:val="32"/>
          <w:szCs w:val="32"/>
        </w:rPr>
        <w:t>万元，较</w:t>
      </w:r>
      <w:r>
        <w:rPr>
          <w:rFonts w:hint="eastAsia" w:ascii="仿宋" w:hAnsi="仿宋" w:eastAsia="仿宋" w:cs="仿宋"/>
          <w:sz w:val="32"/>
          <w:szCs w:val="32"/>
          <w:lang w:val="en-US" w:eastAsia="zh-CN"/>
        </w:rPr>
        <w:t>2022</w:t>
      </w:r>
      <w:r>
        <w:rPr>
          <w:rFonts w:hint="eastAsia" w:ascii="仿宋" w:hAnsi="仿宋" w:eastAsia="仿宋" w:cs="仿宋"/>
          <w:sz w:val="32"/>
          <w:szCs w:val="32"/>
        </w:rPr>
        <w:t>年294.83万元减少</w:t>
      </w:r>
      <w:r>
        <w:rPr>
          <w:rFonts w:hint="eastAsia" w:ascii="仿宋" w:hAnsi="仿宋" w:eastAsia="仿宋" w:cs="仿宋"/>
          <w:sz w:val="32"/>
          <w:szCs w:val="32"/>
          <w:lang w:val="en-US" w:eastAsia="zh-CN"/>
        </w:rPr>
        <w:t>17.70</w:t>
      </w:r>
      <w:r>
        <w:rPr>
          <w:rFonts w:hint="eastAsia" w:ascii="仿宋" w:hAnsi="仿宋" w:eastAsia="仿宋" w:cs="仿宋"/>
          <w:sz w:val="32"/>
          <w:szCs w:val="32"/>
        </w:rPr>
        <w:t>万元，下降</w:t>
      </w:r>
      <w:r>
        <w:rPr>
          <w:rFonts w:hint="eastAsia" w:ascii="仿宋" w:hAnsi="仿宋" w:eastAsia="仿宋" w:cs="仿宋"/>
          <w:sz w:val="32"/>
          <w:szCs w:val="32"/>
          <w:lang w:val="en-US" w:eastAsia="zh-CN"/>
        </w:rPr>
        <w:t>6.00</w:t>
      </w:r>
      <w:r>
        <w:rPr>
          <w:rFonts w:hint="eastAsia" w:ascii="仿宋" w:hAnsi="仿宋" w:eastAsia="仿宋" w:cs="仿宋"/>
          <w:sz w:val="32"/>
          <w:szCs w:val="32"/>
        </w:rPr>
        <w:t>%。</w:t>
      </w:r>
      <w:r>
        <w:rPr>
          <w:rFonts w:hint="eastAsia" w:ascii="仿宋" w:hAnsi="仿宋" w:eastAsia="仿宋"/>
          <w:color w:val="auto"/>
          <w:sz w:val="32"/>
          <w:szCs w:val="32"/>
        </w:rPr>
        <w:t>主要原因是</w:t>
      </w:r>
      <w:r>
        <w:rPr>
          <w:rFonts w:hint="eastAsia" w:ascii="仿宋" w:hAnsi="仿宋" w:eastAsia="仿宋"/>
          <w:color w:val="auto"/>
          <w:sz w:val="32"/>
          <w:szCs w:val="32"/>
          <w:lang w:val="en-US" w:eastAsia="zh-CN"/>
        </w:rPr>
        <w:t>减少机关日常运行经费。</w:t>
      </w:r>
    </w:p>
    <w:p w14:paraId="123E6152">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45" w:name="_Toc15377223"/>
      <w:r>
        <w:rPr>
          <w:rFonts w:hint="eastAsia" w:ascii="仿宋" w:hAnsi="仿宋" w:eastAsia="仿宋" w:cs="仿宋"/>
          <w:b/>
          <w:sz w:val="32"/>
          <w:szCs w:val="32"/>
        </w:rPr>
        <w:t>（二）政府采购支出情况</w:t>
      </w:r>
      <w:bookmarkEnd w:id="45"/>
    </w:p>
    <w:p w14:paraId="26E0C6A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采购支出总额0万元，其中：政府采购货物支出0万元、政府采购工程支出0万元、政府采购服务支出0万元。0。授予中小企业合同金额0万元，占政府采购支出总额的0%，其中：授予小微企业合同金额0万元，占政府采购支出总额的0%。</w:t>
      </w:r>
    </w:p>
    <w:p w14:paraId="4AAEF03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4"/>
      <w:r>
        <w:rPr>
          <w:rFonts w:hint="eastAsia" w:ascii="仿宋" w:hAnsi="仿宋" w:eastAsia="仿宋"/>
          <w:b/>
          <w:sz w:val="32"/>
          <w:szCs w:val="32"/>
        </w:rPr>
        <w:t>（三）国有资产占有使用情况</w:t>
      </w:r>
      <w:bookmarkEnd w:id="46"/>
    </w:p>
    <w:p w14:paraId="0E7DD962">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年12月31日，共有车辆4辆，其中：主要领导干部用车0辆、机要通信用车0辆、应急保障用车0辆、</w:t>
      </w:r>
      <w:r>
        <w:rPr>
          <w:rFonts w:hint="eastAsia" w:ascii="仿宋" w:hAnsi="仿宋" w:eastAsia="仿宋" w:cs="仿宋"/>
          <w:sz w:val="32"/>
          <w:szCs w:val="32"/>
          <w:lang w:val="en-US" w:eastAsia="zh-CN"/>
        </w:rPr>
        <w:t>执法执勤</w:t>
      </w:r>
      <w:r>
        <w:rPr>
          <w:rFonts w:hint="eastAsia" w:ascii="仿宋" w:hAnsi="仿宋" w:eastAsia="仿宋" w:cs="仿宋"/>
          <w:sz w:val="32"/>
          <w:szCs w:val="32"/>
        </w:rPr>
        <w:t>用车4辆。单价100万元以上专用设备0台（套）。</w:t>
      </w:r>
    </w:p>
    <w:p w14:paraId="3238BD4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7604789">
      <w:pPr>
        <w:spacing w:beforeLines="30"/>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根据预算绩效管理要求，本单位在202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年度预算编制阶段，组织对在押人员生活费、在押人员衣被费、设备购置费、警务辅助人员专项使用经费、智慧磐石工程系统维修维护费、武警中队维修维护费</w:t>
      </w:r>
      <w:r>
        <w:rPr>
          <w:rFonts w:hint="eastAsia" w:ascii="仿宋" w:hAnsi="仿宋" w:eastAsia="仿宋" w:cs="仿宋"/>
          <w:kern w:val="0"/>
          <w:sz w:val="32"/>
          <w:szCs w:val="32"/>
          <w:lang w:val="en-US" w:eastAsia="zh-CN"/>
        </w:rPr>
        <w:t>等33</w:t>
      </w:r>
      <w:r>
        <w:rPr>
          <w:rFonts w:hint="eastAsia" w:ascii="仿宋" w:hAnsi="仿宋" w:eastAsia="仿宋" w:cs="仿宋"/>
          <w:kern w:val="0"/>
          <w:sz w:val="32"/>
          <w:szCs w:val="32"/>
        </w:rPr>
        <w:t>个项目开展了预算事前绩效评估，对</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个项目编制了绩效目标，预算执行过程中，选取</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个项目开展绩效监控，组织对</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个项目开展绩效自评。绩效自评表详见第四部分附件。</w:t>
      </w:r>
    </w:p>
    <w:p w14:paraId="5D2E57CA">
      <w:pPr>
        <w:pStyle w:val="2"/>
        <w:spacing w:before="93"/>
        <w:rPr>
          <w:rFonts w:hAnsi="仿宋_GB2312" w:cs="仿宋_GB2312"/>
          <w:sz w:val="32"/>
          <w:szCs w:val="32"/>
        </w:rPr>
      </w:pPr>
    </w:p>
    <w:p w14:paraId="3D32DC5F">
      <w:pPr>
        <w:pStyle w:val="2"/>
        <w:spacing w:before="93"/>
        <w:rPr>
          <w:rFonts w:hAnsi="仿宋_GB2312" w:cs="仿宋_GB2312"/>
          <w:sz w:val="32"/>
          <w:szCs w:val="32"/>
        </w:rPr>
      </w:pPr>
    </w:p>
    <w:p w14:paraId="0A006956">
      <w:pPr>
        <w:pStyle w:val="2"/>
        <w:spacing w:before="93"/>
        <w:rPr>
          <w:rFonts w:hAnsi="仿宋_GB2312" w:cs="仿宋_GB2312"/>
          <w:sz w:val="32"/>
          <w:szCs w:val="32"/>
        </w:rPr>
      </w:pPr>
    </w:p>
    <w:p w14:paraId="5D419B29">
      <w:pPr>
        <w:pStyle w:val="2"/>
        <w:spacing w:before="93"/>
        <w:rPr>
          <w:rFonts w:hAnsi="仿宋_GB2312" w:cs="仿宋_GB2312"/>
          <w:sz w:val="32"/>
          <w:szCs w:val="32"/>
        </w:rPr>
      </w:pPr>
    </w:p>
    <w:p w14:paraId="65508822">
      <w:pPr>
        <w:pStyle w:val="2"/>
        <w:spacing w:before="93"/>
        <w:rPr>
          <w:rFonts w:hAnsi="仿宋_GB2312" w:cs="仿宋_GB2312"/>
          <w:sz w:val="32"/>
          <w:szCs w:val="32"/>
        </w:rPr>
      </w:pPr>
    </w:p>
    <w:p w14:paraId="4ACA0E3F">
      <w:pPr>
        <w:pStyle w:val="2"/>
        <w:spacing w:before="93"/>
        <w:rPr>
          <w:rFonts w:hAnsi="仿宋_GB2312" w:cs="仿宋_GB2312"/>
          <w:sz w:val="32"/>
          <w:szCs w:val="32"/>
        </w:rPr>
      </w:pPr>
    </w:p>
    <w:p w14:paraId="73C45F1B">
      <w:pPr>
        <w:pStyle w:val="2"/>
        <w:spacing w:before="93"/>
        <w:rPr>
          <w:rFonts w:hAnsi="仿宋_GB2312" w:cs="仿宋_GB2312"/>
          <w:sz w:val="32"/>
          <w:szCs w:val="32"/>
        </w:rPr>
      </w:pPr>
    </w:p>
    <w:p w14:paraId="59915DF9">
      <w:pPr>
        <w:numPr>
          <w:ilvl w:val="0"/>
          <w:numId w:val="3"/>
        </w:numPr>
        <w:spacing w:line="600" w:lineRule="exact"/>
        <w:ind w:firstLine="660" w:firstLineChars="150"/>
        <w:jc w:val="center"/>
        <w:outlineLvl w:val="0"/>
        <w:rPr>
          <w:rStyle w:val="35"/>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35"/>
          <w:rFonts w:hint="eastAsia" w:ascii="黑体" w:hAnsi="黑体" w:eastAsia="黑体"/>
          <w:b w:val="0"/>
        </w:rPr>
        <w:t>词解释</w:t>
      </w:r>
      <w:bookmarkEnd w:id="47"/>
      <w:bookmarkEnd w:id="48"/>
    </w:p>
    <w:p w14:paraId="305F4F82">
      <w:pPr>
        <w:spacing w:line="600" w:lineRule="exact"/>
        <w:jc w:val="left"/>
        <w:rPr>
          <w:rFonts w:ascii="宋体"/>
          <w:b/>
          <w:sz w:val="44"/>
          <w:szCs w:val="44"/>
        </w:rPr>
      </w:pPr>
    </w:p>
    <w:p w14:paraId="15AB0617">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14:paraId="77BFB425">
      <w:pPr>
        <w:pStyle w:val="25"/>
        <w:spacing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.公共安全支出（类）公安（款）行政运行（项），主要用于：人员基本工资、津贴补贴、绩效目标、福利费、办公费、手续费、差旅费、电费、邮电费等。</w:t>
      </w:r>
    </w:p>
    <w:p w14:paraId="139A9F82">
      <w:pPr>
        <w:pStyle w:val="25"/>
        <w:spacing w:beforeLines="50" w:line="576"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.公共安全支出（类）公安（款）一般行政管理事务（项），主要用于：</w:t>
      </w:r>
      <w:r>
        <w:rPr>
          <w:rFonts w:hint="eastAsia" w:ascii="仿宋" w:hAnsi="仿宋" w:eastAsia="仿宋" w:cs="仿宋"/>
          <w:kern w:val="0"/>
          <w:sz w:val="32"/>
          <w:szCs w:val="32"/>
        </w:rPr>
        <w:t>在押人员生活费、在押人员衣被费、设备购置费、警务辅助人员专项使用经费、智慧磐石工程系统维修维护费、武警中队维修维护费</w:t>
      </w:r>
      <w:r>
        <w:rPr>
          <w:rFonts w:hint="eastAsia" w:ascii="仿宋" w:hAnsi="仿宋" w:eastAsia="仿宋" w:cs="仿宋"/>
          <w:sz w:val="32"/>
          <w:szCs w:val="32"/>
        </w:rPr>
        <w:t>。</w:t>
      </w:r>
    </w:p>
    <w:p w14:paraId="289F9FAD">
      <w:pPr>
        <w:pStyle w:val="25"/>
        <w:spacing w:beforeLines="50" w:line="576" w:lineRule="exact"/>
        <w:ind w:firstLine="640" w:firstLineChars="200"/>
        <w:rPr>
          <w:rFonts w:hint="eastAsia" w:ascii="仿宋" w:hAnsi="仿宋" w:eastAsia="仿宋" w:cs="仿宋"/>
          <w:sz w:val="32"/>
          <w:szCs w:val="32"/>
        </w:rPr>
      </w:pPr>
      <w:r>
        <w:rPr>
          <w:rFonts w:hint="eastAsia" w:hAnsi="仿宋" w:cs="Times New Roman"/>
          <w:color w:val="auto"/>
          <w:sz w:val="32"/>
          <w:szCs w:val="32"/>
          <w:lang w:val="en-US" w:eastAsia="zh-CN"/>
        </w:rPr>
        <w:t>4</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（款）行政单位离退休（项）:指未实行归口管理的行政单位（包括实行公务员管理的事业单位）开支的离退休支出。</w:t>
      </w:r>
    </w:p>
    <w:p w14:paraId="3E46E5FE">
      <w:pPr>
        <w:spacing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.社会保障和就业支出（类）</w:t>
      </w:r>
      <w:r>
        <w:rPr>
          <w:rStyle w:val="16"/>
          <w:rFonts w:hint="eastAsia" w:ascii="仿宋" w:hAnsi="仿宋" w:eastAsia="仿宋" w:cs="仿宋"/>
          <w:b w:val="0"/>
          <w:color w:val="000000"/>
          <w:sz w:val="32"/>
          <w:szCs w:val="32"/>
        </w:rPr>
        <w:t>行政事业单位养老支出</w:t>
      </w:r>
      <w:r>
        <w:rPr>
          <w:rFonts w:hint="eastAsia" w:ascii="仿宋" w:hAnsi="仿宋" w:eastAsia="仿宋" w:cs="仿宋"/>
          <w:color w:val="000000"/>
          <w:kern w:val="0"/>
          <w:sz w:val="32"/>
          <w:szCs w:val="32"/>
        </w:rPr>
        <w:t>（款）机关事业单位基本养老保险缴费支出（项），主要用于：机关事业单位人员基本养老保险缴费。</w:t>
      </w:r>
    </w:p>
    <w:p w14:paraId="64398D39">
      <w:pPr>
        <w:spacing w:beforeLines="50" w:line="576"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.卫生健康支出（类）行政事业单位医疗（款）行政单位医疗（项），主要用于：基本医疗保险缴费、其他社会保障缴费。</w:t>
      </w:r>
    </w:p>
    <w:p w14:paraId="6F7B7C5D">
      <w:pPr>
        <w:spacing w:beforeLines="50" w:line="576" w:lineRule="exact"/>
        <w:ind w:firstLine="640" w:firstLineChars="200"/>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.住房改革支出（款）住房公积金（项），主要用于：缴纳住房公积金。</w:t>
      </w:r>
    </w:p>
    <w:p w14:paraId="33616FB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.基本支出：指为保障机构正常运转、完成日常工作任务而发生的人员支出和公用支出。</w:t>
      </w:r>
    </w:p>
    <w:p w14:paraId="50C38E6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.项目支出：指在基本支出之外为完成特定行政任务和事业发展目标所发生的支出。</w:t>
      </w:r>
    </w:p>
    <w:p w14:paraId="60351744">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.经营支出：指事业单位在专业业务活动及其辅助活动之外开展非独立核算经营活动发生的支出。</w:t>
      </w:r>
    </w:p>
    <w:p w14:paraId="48160837">
      <w:pPr>
        <w:pStyle w:val="25"/>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hAnsi="仿宋" w:cs="仿宋"/>
          <w:color w:val="auto"/>
          <w:sz w:val="32"/>
          <w:szCs w:val="32"/>
          <w:lang w:val="en-US" w:eastAsia="zh-CN"/>
        </w:rPr>
        <w:t>1</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FE407C">
      <w:pPr>
        <w:spacing w:line="60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5238AF">
      <w:pPr>
        <w:pStyle w:val="2"/>
        <w:spacing w:before="93"/>
        <w:ind w:firstLine="640"/>
      </w:pPr>
    </w:p>
    <w:p w14:paraId="7CBD95D0">
      <w:pPr>
        <w:pStyle w:val="2"/>
        <w:spacing w:before="93"/>
        <w:ind w:firstLine="640"/>
      </w:pPr>
    </w:p>
    <w:p w14:paraId="14527593">
      <w:pPr>
        <w:pStyle w:val="2"/>
        <w:spacing w:before="93"/>
        <w:ind w:firstLine="640"/>
      </w:pPr>
    </w:p>
    <w:p w14:paraId="581E8F40">
      <w:pPr>
        <w:spacing w:line="600" w:lineRule="exact"/>
        <w:jc w:val="center"/>
        <w:outlineLvl w:val="0"/>
        <w:rPr>
          <w:rStyle w:val="27"/>
          <w:rFonts w:ascii="黑体" w:hAnsi="黑体" w:eastAsia="黑体"/>
          <w:b w:val="0"/>
        </w:rPr>
      </w:pPr>
      <w:r>
        <w:rPr>
          <w:rFonts w:hint="eastAsia" w:ascii="黑体" w:hAnsi="黑体" w:eastAsia="黑体"/>
          <w:sz w:val="44"/>
          <w:szCs w:val="44"/>
        </w:rPr>
        <w:t>第</w:t>
      </w:r>
      <w:r>
        <w:rPr>
          <w:rStyle w:val="27"/>
          <w:rFonts w:hint="eastAsia" w:ascii="黑体" w:hAnsi="黑体" w:eastAsia="黑体"/>
          <w:b w:val="0"/>
        </w:rPr>
        <w:t>四部分 附件</w:t>
      </w:r>
      <w:bookmarkEnd w:id="0"/>
    </w:p>
    <w:p w14:paraId="121A1329">
      <w:pPr>
        <w:spacing w:line="600" w:lineRule="exact"/>
        <w:outlineLvl w:val="0"/>
        <w:rPr>
          <w:rFonts w:hint="eastAsia" w:ascii="黑体" w:hAnsi="黑体" w:eastAsia="黑体"/>
          <w:sz w:val="44"/>
          <w:szCs w:val="44"/>
        </w:rPr>
      </w:pPr>
    </w:p>
    <w:p w14:paraId="764265D0">
      <w:pPr>
        <w:pStyle w:val="2"/>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部门预算项目支出绩效自评表（2023年度）</w:t>
      </w:r>
    </w:p>
    <w:p w14:paraId="0CFF64F6">
      <w:pPr>
        <w:pStyle w:val="2"/>
        <w:spacing w:before="93"/>
      </w:pPr>
    </w:p>
    <w:p w14:paraId="29607472">
      <w:pPr>
        <w:pStyle w:val="2"/>
        <w:spacing w:before="93"/>
      </w:pPr>
    </w:p>
    <w:p w14:paraId="63A287C4">
      <w:pPr>
        <w:pStyle w:val="2"/>
        <w:spacing w:before="93"/>
      </w:pPr>
    </w:p>
    <w:p w14:paraId="64A6801F">
      <w:pPr>
        <w:pStyle w:val="2"/>
        <w:spacing w:before="93"/>
      </w:pPr>
    </w:p>
    <w:p w14:paraId="4C515941">
      <w:pPr>
        <w:pStyle w:val="2"/>
        <w:spacing w:before="93"/>
      </w:pPr>
    </w:p>
    <w:p w14:paraId="18E30AE5">
      <w:pPr>
        <w:pStyle w:val="2"/>
        <w:spacing w:before="93"/>
      </w:pPr>
    </w:p>
    <w:p w14:paraId="2888D817">
      <w:pPr>
        <w:pStyle w:val="2"/>
        <w:spacing w:before="93"/>
      </w:pPr>
    </w:p>
    <w:p w14:paraId="3AF908F6">
      <w:pPr>
        <w:pStyle w:val="2"/>
        <w:spacing w:before="93"/>
      </w:pPr>
    </w:p>
    <w:p w14:paraId="44A39469">
      <w:pPr>
        <w:pStyle w:val="2"/>
        <w:spacing w:before="93"/>
      </w:pPr>
    </w:p>
    <w:p w14:paraId="5C9E732E">
      <w:pPr>
        <w:pStyle w:val="2"/>
        <w:spacing w:before="93"/>
      </w:pPr>
    </w:p>
    <w:p w14:paraId="24F3D263">
      <w:pPr>
        <w:pStyle w:val="2"/>
        <w:spacing w:before="93"/>
      </w:pPr>
    </w:p>
    <w:p w14:paraId="0D676CD2">
      <w:pPr>
        <w:pStyle w:val="2"/>
        <w:spacing w:before="93"/>
      </w:pPr>
    </w:p>
    <w:p w14:paraId="6EF71AB5">
      <w:pPr>
        <w:pStyle w:val="2"/>
        <w:spacing w:before="93"/>
      </w:pPr>
    </w:p>
    <w:p w14:paraId="5A01716A">
      <w:pPr>
        <w:pStyle w:val="2"/>
        <w:spacing w:before="93"/>
      </w:pPr>
    </w:p>
    <w:p w14:paraId="389B3ED7">
      <w:pPr>
        <w:pStyle w:val="2"/>
        <w:spacing w:before="93"/>
      </w:pPr>
    </w:p>
    <w:p w14:paraId="6006C4B0">
      <w:pPr>
        <w:pStyle w:val="2"/>
        <w:spacing w:before="93"/>
      </w:pPr>
    </w:p>
    <w:p w14:paraId="170820F9">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Start w:id="49" w:name="_Toc15396619"/>
    </w:p>
    <w:p w14:paraId="630B8035">
      <w:pPr>
        <w:pStyle w:val="4"/>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49"/>
    </w:p>
    <w:p w14:paraId="4DED24C2">
      <w:pPr>
        <w:pStyle w:val="4"/>
        <w:rPr>
          <w:rFonts w:ascii="仿宋" w:hAnsi="仿宋" w:eastAsia="仿宋"/>
        </w:rPr>
      </w:pPr>
      <w:bookmarkStart w:id="50" w:name="_Toc15396620"/>
      <w:r>
        <w:rPr>
          <w:rFonts w:hint="eastAsia" w:ascii="仿宋" w:hAnsi="仿宋" w:eastAsia="仿宋"/>
          <w:b w:val="0"/>
        </w:rPr>
        <w:t>二、收</w:t>
      </w:r>
      <w:r>
        <w:rPr>
          <w:rStyle w:val="28"/>
          <w:rFonts w:hint="eastAsia" w:ascii="仿宋" w:hAnsi="仿宋" w:eastAsia="仿宋"/>
          <w:b w:val="0"/>
          <w:bCs w:val="0"/>
        </w:rPr>
        <w:t>入决算表</w:t>
      </w:r>
      <w:bookmarkEnd w:id="50"/>
    </w:p>
    <w:p w14:paraId="0425A0B2">
      <w:pPr>
        <w:pStyle w:val="4"/>
        <w:rPr>
          <w:rFonts w:ascii="仿宋" w:hAnsi="仿宋" w:eastAsia="仿宋"/>
        </w:rPr>
      </w:pPr>
      <w:bookmarkStart w:id="51"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1"/>
    </w:p>
    <w:p w14:paraId="192ACA75">
      <w:pPr>
        <w:pStyle w:val="4"/>
        <w:rPr>
          <w:rFonts w:ascii="仿宋" w:hAnsi="仿宋" w:eastAsia="仿宋"/>
          <w:b w:val="0"/>
        </w:rPr>
      </w:pPr>
      <w:bookmarkStart w:id="52"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2"/>
    </w:p>
    <w:p w14:paraId="6AEDCF02">
      <w:pPr>
        <w:pStyle w:val="4"/>
        <w:rPr>
          <w:rStyle w:val="28"/>
          <w:rFonts w:ascii="仿宋" w:hAnsi="仿宋" w:eastAsia="仿宋"/>
          <w:b w:val="0"/>
          <w:bCs w:val="0"/>
        </w:rPr>
      </w:pPr>
      <w:bookmarkStart w:id="53"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3"/>
      <w:bookmarkStart w:id="54" w:name="_Toc15396624"/>
    </w:p>
    <w:p w14:paraId="1F245921">
      <w:pPr>
        <w:pStyle w:val="4"/>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54"/>
    </w:p>
    <w:p w14:paraId="7F53C85D">
      <w:pPr>
        <w:pStyle w:val="4"/>
        <w:rPr>
          <w:rFonts w:ascii="仿宋" w:hAnsi="仿宋" w:eastAsia="仿宋"/>
        </w:rPr>
      </w:pPr>
      <w:bookmarkStart w:id="55"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55"/>
    </w:p>
    <w:p w14:paraId="245A1450">
      <w:pPr>
        <w:pStyle w:val="4"/>
        <w:rPr>
          <w:rFonts w:ascii="仿宋" w:hAnsi="仿宋" w:eastAsia="仿宋"/>
        </w:rPr>
      </w:pPr>
      <w:bookmarkStart w:id="56"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56"/>
    </w:p>
    <w:p w14:paraId="3F5485BF">
      <w:pPr>
        <w:pStyle w:val="4"/>
        <w:rPr>
          <w:rFonts w:ascii="仿宋" w:hAnsi="仿宋" w:eastAsia="仿宋"/>
        </w:rPr>
      </w:pPr>
      <w:bookmarkStart w:id="57"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57"/>
    </w:p>
    <w:p w14:paraId="6A64F8C5">
      <w:pPr>
        <w:pStyle w:val="4"/>
        <w:rPr>
          <w:rFonts w:ascii="仿宋" w:hAnsi="仿宋" w:eastAsia="仿宋"/>
        </w:rPr>
      </w:pPr>
      <w:bookmarkStart w:id="58" w:name="_Toc15396629"/>
      <w:r>
        <w:rPr>
          <w:rStyle w:val="28"/>
          <w:rFonts w:hint="eastAsia" w:ascii="仿宋" w:hAnsi="仿宋" w:eastAsia="仿宋"/>
          <w:b w:val="0"/>
          <w:bCs w:val="0"/>
        </w:rPr>
        <w:t>十、</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58"/>
    </w:p>
    <w:p w14:paraId="22A7BF62">
      <w:pPr>
        <w:pStyle w:val="4"/>
        <w:rPr>
          <w:rStyle w:val="28"/>
          <w:rFonts w:ascii="仿宋" w:hAnsi="仿宋" w:eastAsia="仿宋"/>
          <w:b w:val="0"/>
          <w:bCs w:val="0"/>
        </w:rPr>
      </w:pPr>
      <w:bookmarkStart w:id="59" w:name="_Toc15396631"/>
      <w:r>
        <w:rPr>
          <w:rStyle w:val="28"/>
          <w:rFonts w:hint="eastAsia" w:ascii="仿宋" w:hAnsi="仿宋" w:eastAsia="仿宋"/>
          <w:b w:val="0"/>
          <w:bCs w:val="0"/>
        </w:rPr>
        <w:t>十一、</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59"/>
    </w:p>
    <w:p w14:paraId="0E391ECC">
      <w:pPr>
        <w:rPr>
          <w:rStyle w:val="28"/>
          <w:rFonts w:ascii="仿宋" w:hAnsi="仿宋" w:eastAsia="仿宋"/>
          <w:b w:val="0"/>
          <w:bCs w:val="0"/>
        </w:rPr>
      </w:pPr>
      <w:r>
        <w:rPr>
          <w:rStyle w:val="28"/>
          <w:rFonts w:hint="eastAsia" w:ascii="仿宋" w:hAnsi="仿宋" w:eastAsia="仿宋"/>
          <w:b w:val="0"/>
          <w:bCs w:val="0"/>
        </w:rPr>
        <w:t>十二、国有资本经营预算财政拨款支出决算表</w:t>
      </w:r>
    </w:p>
    <w:p w14:paraId="785352FF">
      <w:pPr>
        <w:pStyle w:val="2"/>
        <w:spacing w:before="93"/>
      </w:pPr>
      <w:r>
        <w:rPr>
          <w:rStyle w:val="28"/>
          <w:rFonts w:hint="eastAsia" w:ascii="仿宋" w:hAnsi="仿宋" w:eastAsia="仿宋"/>
          <w:b w:val="0"/>
          <w:bCs w:val="0"/>
        </w:rPr>
        <w:t>十三、财政拨款“三公”经费支出决算表</w:t>
      </w:r>
    </w:p>
    <w:p w14:paraId="3C92757C">
      <w:pPr>
        <w:spacing w:line="580" w:lineRule="exact"/>
        <w:rPr>
          <w:rStyle w:val="27"/>
          <w:rFonts w:ascii="黑体" w:hAnsi="黑体" w:eastAsia="黑体"/>
          <w:b w:val="0"/>
        </w:rPr>
      </w:pPr>
    </w:p>
    <w:bookmarkEnd w:id="1"/>
    <w:p w14:paraId="185C9BD5">
      <w:pPr>
        <w:widowControl/>
        <w:jc w:val="left"/>
        <w:rPr>
          <w:rFonts w:eastAsia="仿宋"/>
        </w:rPr>
      </w:pPr>
    </w:p>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2EE34AA-64B3-4FEC-9E8F-8555841BF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CFDF06E5-FC57-4818-AB79-9051DA49F60A}"/>
  </w:font>
  <w:font w:name="仿宋_GB2312">
    <w:panose1 w:val="02010609030101010101"/>
    <w:charset w:val="86"/>
    <w:family w:val="modern"/>
    <w:pitch w:val="default"/>
    <w:sig w:usb0="00000001" w:usb1="080E0000" w:usb2="00000000" w:usb3="00000000" w:csb0="00040000" w:csb1="00000000"/>
    <w:embedRegular r:id="rId3" w:fontKey="{987B83B6-08CD-4343-9DD9-47CB22F96EC2}"/>
  </w:font>
  <w:font w:name="仿宋">
    <w:panose1 w:val="02010609060101010101"/>
    <w:charset w:val="86"/>
    <w:family w:val="modern"/>
    <w:pitch w:val="default"/>
    <w:sig w:usb0="800002BF" w:usb1="38CF7CFA" w:usb2="00000016" w:usb3="00000000" w:csb0="00040001" w:csb1="00000000"/>
    <w:embedRegular r:id="rId4" w:fontKey="{2C4F6961-0997-41AA-9E85-8FC4FFEA67D1}"/>
  </w:font>
  <w:font w:name="Arial">
    <w:panose1 w:val="020B0604020202020204"/>
    <w:charset w:val="00"/>
    <w:family w:val="swiss"/>
    <w:pitch w:val="default"/>
    <w:sig w:usb0="E0002EFF" w:usb1="C000785B"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E8D2691E-6B63-4247-94AA-87A8599BC482}"/>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4C2B">
    <w:pPr>
      <w:pStyle w:val="9"/>
      <w:jc w:val="center"/>
    </w:pPr>
  </w:p>
  <w:p w14:paraId="77BA576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CE62">
    <w:pPr>
      <w:pStyle w:val="9"/>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29CE11C">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w:r>
  </w:p>
  <w:p w14:paraId="225FF42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E501">
    <w:pPr>
      <w:pStyle w:val="9"/>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02206C6">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8701">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F89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k2ZWNkYjI2YTA0OGFiNjRlNjE3NTkwOWU3NmYxYz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B55"/>
    <w:rsid w:val="00114E9B"/>
    <w:rsid w:val="00131680"/>
    <w:rsid w:val="00142216"/>
    <w:rsid w:val="00144D6A"/>
    <w:rsid w:val="0014729F"/>
    <w:rsid w:val="00157BAB"/>
    <w:rsid w:val="001654D1"/>
    <w:rsid w:val="00174518"/>
    <w:rsid w:val="0018106D"/>
    <w:rsid w:val="001877A7"/>
    <w:rsid w:val="00191536"/>
    <w:rsid w:val="00196687"/>
    <w:rsid w:val="001C0962"/>
    <w:rsid w:val="001D27B0"/>
    <w:rsid w:val="001D7531"/>
    <w:rsid w:val="001E737D"/>
    <w:rsid w:val="001F0592"/>
    <w:rsid w:val="001F7506"/>
    <w:rsid w:val="002006CD"/>
    <w:rsid w:val="00202B36"/>
    <w:rsid w:val="00204B7A"/>
    <w:rsid w:val="00204CDE"/>
    <w:rsid w:val="0021101A"/>
    <w:rsid w:val="00220536"/>
    <w:rsid w:val="0023537A"/>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37E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20C"/>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324"/>
    <w:rsid w:val="00502764"/>
    <w:rsid w:val="00505A47"/>
    <w:rsid w:val="00512FDA"/>
    <w:rsid w:val="00520DA0"/>
    <w:rsid w:val="005664BB"/>
    <w:rsid w:val="00566FFA"/>
    <w:rsid w:val="0057481D"/>
    <w:rsid w:val="0058486E"/>
    <w:rsid w:val="00585B33"/>
    <w:rsid w:val="0059014D"/>
    <w:rsid w:val="005B5C64"/>
    <w:rsid w:val="005B79BE"/>
    <w:rsid w:val="005C5337"/>
    <w:rsid w:val="005C6BD0"/>
    <w:rsid w:val="005D1C8B"/>
    <w:rsid w:val="005D468D"/>
    <w:rsid w:val="005D5CED"/>
    <w:rsid w:val="005F1A4C"/>
    <w:rsid w:val="00605688"/>
    <w:rsid w:val="006070AF"/>
    <w:rsid w:val="00607E6C"/>
    <w:rsid w:val="006101B1"/>
    <w:rsid w:val="00614E44"/>
    <w:rsid w:val="00616777"/>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0425"/>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5ED6"/>
    <w:rsid w:val="008E1DE7"/>
    <w:rsid w:val="008E707C"/>
    <w:rsid w:val="008F4953"/>
    <w:rsid w:val="00900B08"/>
    <w:rsid w:val="00902155"/>
    <w:rsid w:val="00902FA3"/>
    <w:rsid w:val="00905A95"/>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B2D"/>
    <w:rsid w:val="009B2A98"/>
    <w:rsid w:val="009B2C43"/>
    <w:rsid w:val="009B4EAE"/>
    <w:rsid w:val="009B7573"/>
    <w:rsid w:val="009C22F4"/>
    <w:rsid w:val="009C2A4B"/>
    <w:rsid w:val="009C2E98"/>
    <w:rsid w:val="009D3415"/>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0343"/>
    <w:rsid w:val="00C91381"/>
    <w:rsid w:val="00C91CBB"/>
    <w:rsid w:val="00CB4E70"/>
    <w:rsid w:val="00CC09B6"/>
    <w:rsid w:val="00CC666F"/>
    <w:rsid w:val="00CD1828"/>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26593"/>
    <w:rsid w:val="00E32B94"/>
    <w:rsid w:val="00E331A1"/>
    <w:rsid w:val="00E33202"/>
    <w:rsid w:val="00E336A9"/>
    <w:rsid w:val="00E472B1"/>
    <w:rsid w:val="00E50624"/>
    <w:rsid w:val="00E568DF"/>
    <w:rsid w:val="00E64269"/>
    <w:rsid w:val="00E723AE"/>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5650E5"/>
    <w:rsid w:val="06581AF4"/>
    <w:rsid w:val="066E0107"/>
    <w:rsid w:val="07996F6E"/>
    <w:rsid w:val="0A2032A3"/>
    <w:rsid w:val="0A3F5A29"/>
    <w:rsid w:val="0B4F29C5"/>
    <w:rsid w:val="0F98263C"/>
    <w:rsid w:val="101860EC"/>
    <w:rsid w:val="10C055FF"/>
    <w:rsid w:val="118107EC"/>
    <w:rsid w:val="13D50BC4"/>
    <w:rsid w:val="147B5638"/>
    <w:rsid w:val="16BB723D"/>
    <w:rsid w:val="1BE8440E"/>
    <w:rsid w:val="1D155CEE"/>
    <w:rsid w:val="1EEF1A85"/>
    <w:rsid w:val="1FF35744"/>
    <w:rsid w:val="23860B96"/>
    <w:rsid w:val="240371BF"/>
    <w:rsid w:val="289F7E7A"/>
    <w:rsid w:val="29FD04D3"/>
    <w:rsid w:val="2C8A61B5"/>
    <w:rsid w:val="2DF04E50"/>
    <w:rsid w:val="2F040D46"/>
    <w:rsid w:val="319F7F4E"/>
    <w:rsid w:val="3304709D"/>
    <w:rsid w:val="33720D1D"/>
    <w:rsid w:val="34D36E3E"/>
    <w:rsid w:val="35215623"/>
    <w:rsid w:val="36AA5135"/>
    <w:rsid w:val="36F9A29E"/>
    <w:rsid w:val="376D39B2"/>
    <w:rsid w:val="37E16F03"/>
    <w:rsid w:val="385F3650"/>
    <w:rsid w:val="38D469F0"/>
    <w:rsid w:val="3D98207C"/>
    <w:rsid w:val="3E78745D"/>
    <w:rsid w:val="3FE4D96A"/>
    <w:rsid w:val="43E76465"/>
    <w:rsid w:val="44E268DA"/>
    <w:rsid w:val="45F8783E"/>
    <w:rsid w:val="4796014E"/>
    <w:rsid w:val="4A627F82"/>
    <w:rsid w:val="4ABDCA81"/>
    <w:rsid w:val="4B0E749A"/>
    <w:rsid w:val="4B4F25DA"/>
    <w:rsid w:val="4BE068DB"/>
    <w:rsid w:val="4D577224"/>
    <w:rsid w:val="4EAB630A"/>
    <w:rsid w:val="4ECE2238"/>
    <w:rsid w:val="537E6D0A"/>
    <w:rsid w:val="5AF92295"/>
    <w:rsid w:val="5CD71FC4"/>
    <w:rsid w:val="6C4A05C8"/>
    <w:rsid w:val="6C89009E"/>
    <w:rsid w:val="6DDF3E49"/>
    <w:rsid w:val="6E3FE50B"/>
    <w:rsid w:val="6E7E3605"/>
    <w:rsid w:val="6FF5CC65"/>
    <w:rsid w:val="715C0E4B"/>
    <w:rsid w:val="72734D90"/>
    <w:rsid w:val="72AD2542"/>
    <w:rsid w:val="73AD73D5"/>
    <w:rsid w:val="73B6EB34"/>
    <w:rsid w:val="73C22CDB"/>
    <w:rsid w:val="744731E5"/>
    <w:rsid w:val="75D424DA"/>
    <w:rsid w:val="76E3355F"/>
    <w:rsid w:val="777770DC"/>
    <w:rsid w:val="778769C8"/>
    <w:rsid w:val="77DF336C"/>
    <w:rsid w:val="79EE5BA4"/>
    <w:rsid w:val="7A894339"/>
    <w:rsid w:val="7CD5C7E5"/>
    <w:rsid w:val="7DE7355E"/>
    <w:rsid w:val="7EEF11D3"/>
    <w:rsid w:val="7FA30C79"/>
    <w:rsid w:val="7FB7269E"/>
    <w:rsid w:val="7FC96657"/>
    <w:rsid w:val="8BF89509"/>
    <w:rsid w:val="8FFE5862"/>
    <w:rsid w:val="AB3FC5E1"/>
    <w:rsid w:val="D8D6DB89"/>
    <w:rsid w:val="DAB953C8"/>
    <w:rsid w:val="DB6F4CAB"/>
    <w:rsid w:val="DF6F9789"/>
    <w:rsid w:val="F6FD0753"/>
    <w:rsid w:val="F9FE44C6"/>
    <w:rsid w:val="FFFDFB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 w:type="paragraph" w:customStyle="1" w:styleId="34">
    <w:name w:val="正文1"/>
    <w:qFormat/>
    <w:uiPriority w:val="0"/>
    <w:pPr>
      <w:widowControl w:val="0"/>
      <w:jc w:val="both"/>
    </w:pPr>
    <w:rPr>
      <w:rFonts w:ascii="Times New Roman" w:hAnsi="Times New Roman" w:eastAsia="宋体" w:cs="Times New Roman"/>
      <w:sz w:val="32"/>
      <w:lang w:val="en-US" w:eastAsia="zh-CN" w:bidi="ar-SA"/>
    </w:rPr>
  </w:style>
  <w:style w:type="character" w:customStyle="1" w:styleId="35">
    <w:name w:val="标题 1 Char1"/>
    <w:basedOn w:val="15"/>
    <w:link w:val="3"/>
    <w:qFormat/>
    <w:uiPriority w:val="9"/>
    <w:rPr>
      <w:rFonts w:ascii="Times New Roman" w:hAnsi="Times New Roman"/>
      <w:b/>
      <w:bCs/>
      <w:kern w:val="44"/>
      <w:sz w:val="44"/>
      <w:szCs w:val="44"/>
    </w:rPr>
  </w:style>
  <w:style w:type="character" w:customStyle="1" w:styleId="36">
    <w:name w:val="标题 2 Char1"/>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61111111111111"/>
          <c:y val="0.03611111111111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1492.38</c:v>
                </c:pt>
                <c:pt idx="1">
                  <c:v>1933.29</c:v>
                </c:pt>
              </c:numCache>
            </c:numRef>
          </c:val>
        </c:ser>
        <c:dLbls>
          <c:showLegendKey val="0"/>
          <c:showVal val="1"/>
          <c:showCatName val="0"/>
          <c:showSerName val="0"/>
          <c:showPercent val="0"/>
          <c:showBubbleSize val="0"/>
        </c:dLbls>
        <c:gapWidth val="219"/>
        <c:overlap val="-27"/>
        <c:axId val="146678144"/>
        <c:axId val="146680064"/>
      </c:barChart>
      <c:catAx>
        <c:axId val="146678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680064"/>
        <c:crosses val="autoZero"/>
        <c:auto val="1"/>
        <c:lblAlgn val="ctr"/>
        <c:lblOffset val="100"/>
        <c:noMultiLvlLbl val="0"/>
      </c:catAx>
      <c:valAx>
        <c:axId val="1466800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6678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[工作簿1]Sheet1!$A$1:$A$4</c:f>
              <c:strCache>
                <c:ptCount val="4"/>
                <c:pt idx="0">
                  <c:v>一般公共预算财政拨款收入</c:v>
                </c:pt>
                <c:pt idx="1">
                  <c:v>政府性基金预算财政拨款收入</c:v>
                </c:pt>
                <c:pt idx="2">
                  <c:v>国有资本经营预算财政拨款收入</c:v>
                </c:pt>
                <c:pt idx="3">
                  <c:v>上级补助收入</c:v>
                </c:pt>
              </c:strCache>
            </c:strRef>
          </c:cat>
          <c:val>
            <c:numRef>
              <c:f>[工作簿1]Sheet1!$B$1:$B$4</c:f>
              <c:numCache>
                <c:formatCode>General</c:formatCode>
                <c:ptCount val="4"/>
                <c:pt idx="0">
                  <c:v>1933.29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manualLayout>
          <c:xMode val="edge"/>
          <c:yMode val="edge"/>
          <c:x val="0.356111111111111"/>
          <c:y val="0.03125"/>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[工作簿1]Sheet1!$A$1:$A$2</c:f>
              <c:strCache>
                <c:ptCount val="2"/>
                <c:pt idx="0">
                  <c:v>基本支出</c:v>
                </c:pt>
                <c:pt idx="1">
                  <c:v>项目支出</c:v>
                </c:pt>
              </c:strCache>
            </c:strRef>
          </c:cat>
          <c:val>
            <c:numRef>
              <c:f>[工作簿1]Sheet1!$B$1:$B$2</c:f>
              <c:numCache>
                <c:formatCode>General</c:formatCode>
                <c:ptCount val="2"/>
                <c:pt idx="0">
                  <c:v>1038.79</c:v>
                </c:pt>
                <c:pt idx="1">
                  <c:v>894.5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1492.38</c:v>
                </c:pt>
                <c:pt idx="1">
                  <c:v>1933.29</c:v>
                </c:pt>
              </c:numCache>
            </c:numRef>
          </c:val>
        </c:ser>
        <c:dLbls>
          <c:showLegendKey val="0"/>
          <c:showVal val="1"/>
          <c:showCatName val="0"/>
          <c:showSerName val="0"/>
          <c:showPercent val="0"/>
          <c:showBubbleSize val="0"/>
        </c:dLbls>
        <c:gapWidth val="219"/>
        <c:overlap val="-27"/>
        <c:axId val="167619200"/>
        <c:axId val="167625088"/>
      </c:barChart>
      <c:catAx>
        <c:axId val="1676192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25088"/>
        <c:crosses val="autoZero"/>
        <c:auto val="1"/>
        <c:lblAlgn val="ctr"/>
        <c:lblOffset val="100"/>
        <c:noMultiLvlLbl val="0"/>
      </c:catAx>
      <c:valAx>
        <c:axId val="167625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1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[工作簿1]Sheet1!$A$1:$A$2</c:f>
              <c:strCache>
                <c:ptCount val="2"/>
                <c:pt idx="0">
                  <c:v>2022年</c:v>
                </c:pt>
                <c:pt idx="1">
                  <c:v>2023年</c:v>
                </c:pt>
              </c:strCache>
            </c:strRef>
          </c:cat>
          <c:val>
            <c:numRef>
              <c:f>[工作簿1]Sheet1!$B$1:$B$2</c:f>
              <c:numCache>
                <c:formatCode>General</c:formatCode>
                <c:ptCount val="2"/>
                <c:pt idx="0">
                  <c:v>1492.38</c:v>
                </c:pt>
                <c:pt idx="1">
                  <c:v>1933.29</c:v>
                </c:pt>
              </c:numCache>
            </c:numRef>
          </c:val>
        </c:ser>
        <c:dLbls>
          <c:showLegendKey val="0"/>
          <c:showVal val="1"/>
          <c:showCatName val="0"/>
          <c:showSerName val="0"/>
          <c:showPercent val="0"/>
          <c:showBubbleSize val="0"/>
        </c:dLbls>
        <c:gapWidth val="219"/>
        <c:overlap val="-27"/>
        <c:axId val="167636992"/>
        <c:axId val="167638528"/>
      </c:barChart>
      <c:catAx>
        <c:axId val="1676369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38528"/>
        <c:crosses val="autoZero"/>
        <c:auto val="1"/>
        <c:lblAlgn val="ctr"/>
        <c:lblOffset val="100"/>
        <c:noMultiLvlLbl val="0"/>
      </c:catAx>
      <c:valAx>
        <c:axId val="167638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763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公共安全支出</c:v>
                </c:pt>
                <c:pt idx="1">
                  <c:v>社会保障和就业支出</c:v>
                </c:pt>
                <c:pt idx="2">
                  <c:v>卫生健康支出</c:v>
                </c:pt>
                <c:pt idx="3">
                  <c:v>住房保障支出</c:v>
                </c:pt>
              </c:strCache>
            </c:strRef>
          </c:cat>
          <c:val>
            <c:numRef>
              <c:f>[工作簿1]Sheet1!$B$1:$B$5</c:f>
              <c:numCache>
                <c:formatCode>General</c:formatCode>
                <c:ptCount val="5"/>
                <c:pt idx="0">
                  <c:v>1754.66</c:v>
                </c:pt>
                <c:pt idx="1">
                  <c:v>90.46</c:v>
                </c:pt>
                <c:pt idx="2">
                  <c:v>30.37</c:v>
                </c:pt>
                <c:pt idx="3">
                  <c:v>57.8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49444444444444"/>
          <c:y val="0.0361111111111111"/>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[工作簿1]Sheet1!$A$1:$A$3</c:f>
              <c:strCache>
                <c:ptCount val="3"/>
                <c:pt idx="0">
                  <c:v>因公出国（境）费支出</c:v>
                </c:pt>
                <c:pt idx="1">
                  <c:v>公务用车购置及运行维护费支出</c:v>
                </c:pt>
                <c:pt idx="2">
                  <c:v>公务接待费支出</c:v>
                </c:pt>
              </c:strCache>
            </c:strRef>
          </c:cat>
          <c:val>
            <c:numRef>
              <c:f>[工作簿1]Sheet1!$B$1:$B$3</c:f>
              <c:numCache>
                <c:formatCode>General</c:formatCode>
                <c:ptCount val="3"/>
                <c:pt idx="0">
                  <c:v>0</c:v>
                </c:pt>
                <c:pt idx="1">
                  <c:v>13.4</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16</Pages>
  <Words>5155</Words>
  <Characters>5650</Characters>
  <Lines>42</Lines>
  <Paragraphs>12</Paragraphs>
  <TotalTime>3</TotalTime>
  <ScaleCrop>false</ScaleCrop>
  <LinksUpToDate>false</LinksUpToDate>
  <CharactersWithSpaces>5686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2023-08-24T02:24:00Z</dcterms:created>
  <dc:creator>曹颖</dc:creator>
  <cp:lastModifiedBy>任超凡</cp:lastModifiedBy>
  <cp:lastPrinted>2023-08-01T18:35:00Z</cp:lastPrinted>
  <dcterms:modified xsi:type="dcterms:W3CDTF">2024-08-21T08:33:18Z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83F6AAB3B6C743169F5BC3A8FA4FC782_12</vt:lpwstr>
  </property>
</Properties>
</file>