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96597"/>
      <w:bookmarkStart w:id="4" w:name="_Toc15378441"/>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遂宁市拘留所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公开时间：2024年</w:t>
      </w:r>
      <w:r>
        <w:rPr>
          <w:rFonts w:hint="eastAsia"/>
          <w:lang w:val="en-US" w:eastAsia="zh-CN"/>
        </w:rPr>
        <w:t>8</w:t>
      </w:r>
      <w:r>
        <w:rPr>
          <w:rFonts w:hint="eastAsia"/>
        </w:rPr>
        <w:t>月</w:t>
      </w:r>
      <w:r>
        <w:rPr>
          <w:rFonts w:hint="eastAsia"/>
          <w:lang w:val="en-US" w:eastAsia="zh-CN"/>
        </w:rPr>
        <w:t>22</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第一部分单位概况</w:t>
      </w:r>
    </w:p>
    <w:p>
      <w:pPr>
        <w:pStyle w:val="12"/>
        <w:adjustRightInd w:val="0"/>
        <w:snapToGrid w:val="0"/>
        <w:spacing w:line="440" w:lineRule="exact"/>
        <w:jc w:val="left"/>
        <w:rPr>
          <w:sz w:val="24"/>
        </w:rPr>
      </w:pPr>
      <w:r>
        <w:rPr>
          <w:rFonts w:hint="eastAsia"/>
          <w:sz w:val="24"/>
        </w:rPr>
        <w:t>一、主要职责</w:t>
      </w:r>
      <w:r>
        <w:rPr>
          <w:rFonts w:hint="eastAsia"/>
          <w:sz w:val="24"/>
          <w:lang w:eastAsia="zh-CN"/>
        </w:rPr>
        <w:t>…………………………………………………………</w:t>
      </w:r>
      <w:r>
        <w:rPr>
          <w:rFonts w:hint="eastAsia"/>
          <w:sz w:val="24"/>
          <w:lang w:val="en-US" w:eastAsia="zh-CN"/>
        </w:rPr>
        <w:t>4</w:t>
      </w:r>
    </w:p>
    <w:p>
      <w:pPr>
        <w:pStyle w:val="12"/>
        <w:adjustRightInd w:val="0"/>
        <w:snapToGrid w:val="0"/>
        <w:spacing w:line="440" w:lineRule="exact"/>
        <w:jc w:val="left"/>
      </w:pPr>
      <w:r>
        <w:rPr>
          <w:rFonts w:hint="eastAsia"/>
          <w:sz w:val="24"/>
        </w:rPr>
        <w:t>二、机构设置</w:t>
      </w:r>
      <w:r>
        <w:rPr>
          <w:rFonts w:hint="eastAsia"/>
          <w:sz w:val="24"/>
          <w:lang w:eastAsia="zh-CN"/>
        </w:rPr>
        <w:t>…………………………………………………………</w:t>
      </w:r>
      <w:r>
        <w:rPr>
          <w:rFonts w:hint="eastAsia"/>
          <w:sz w:val="24"/>
          <w:lang w:val="en-US" w:eastAsia="zh-CN"/>
        </w:rPr>
        <w:t>4</w:t>
      </w:r>
    </w:p>
    <w:p>
      <w:pPr>
        <w:pStyle w:val="11"/>
        <w:adjustRightInd w:val="0"/>
        <w:snapToGrid w:val="0"/>
        <w:spacing w:before="0" w:line="440" w:lineRule="exact"/>
        <w:jc w:val="left"/>
        <w:rPr>
          <w:sz w:val="24"/>
          <w:szCs w:val="24"/>
        </w:rPr>
      </w:pPr>
      <w:r>
        <w:rPr>
          <w:rFonts w:hint="eastAsia"/>
          <w:sz w:val="24"/>
        </w:rPr>
        <w:t>第二部分 2023年度单位决算情况说明</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sz w:val="24"/>
        </w:rPr>
        <w:t>一、收入支出决算总体情况说明</w:t>
      </w:r>
      <w:r>
        <w:rPr>
          <w:rFonts w:hint="eastAsia"/>
          <w:sz w:val="24"/>
          <w:lang w:eastAsia="zh-CN"/>
        </w:rPr>
        <w:t>……………………………………</w:t>
      </w:r>
      <w:r>
        <w:rPr>
          <w:rFonts w:hint="eastAsia"/>
          <w:sz w:val="24"/>
          <w:lang w:val="en-US" w:eastAsia="zh-CN"/>
        </w:rPr>
        <w:t>5</w:t>
      </w:r>
    </w:p>
    <w:p>
      <w:pPr>
        <w:pStyle w:val="12"/>
        <w:pageBreakBefore w:val="0"/>
        <w:kinsoku/>
        <w:wordWrap/>
        <w:overflowPunct/>
        <w:topLinePunct w:val="0"/>
        <w:bidi w:val="0"/>
        <w:adjustRightInd w:val="0"/>
        <w:snapToGrid w:val="0"/>
        <w:spacing w:line="440" w:lineRule="exact"/>
        <w:jc w:val="left"/>
        <w:textAlignment w:val="auto"/>
        <w:rPr>
          <w:rFonts w:hint="eastAsia"/>
          <w:sz w:val="24"/>
          <w:lang w:eastAsia="zh-CN"/>
        </w:rPr>
      </w:pPr>
      <w:r>
        <w:rPr>
          <w:rFonts w:hint="eastAsia"/>
          <w:sz w:val="24"/>
        </w:rPr>
        <w:t>二、收入决算情况说明</w:t>
      </w:r>
      <w:r>
        <w:rPr>
          <w:rFonts w:hint="eastAsia"/>
          <w:sz w:val="24"/>
          <w:lang w:eastAsia="zh-CN"/>
        </w:rPr>
        <w:t>………………………………………………</w:t>
      </w:r>
      <w:r>
        <w:rPr>
          <w:rFonts w:hint="eastAsia"/>
          <w:sz w:val="24"/>
          <w:lang w:val="en-US" w:eastAsia="zh-CN"/>
        </w:rPr>
        <w:t>5</w:t>
      </w:r>
    </w:p>
    <w:p>
      <w:pPr>
        <w:pStyle w:val="12"/>
        <w:pageBreakBefore w:val="0"/>
        <w:kinsoku/>
        <w:wordWrap/>
        <w:overflowPunct/>
        <w:topLinePunct w:val="0"/>
        <w:bidi w:val="0"/>
        <w:adjustRightInd w:val="0"/>
        <w:snapToGrid w:val="0"/>
        <w:spacing w:line="440" w:lineRule="exact"/>
        <w:jc w:val="left"/>
        <w:textAlignment w:val="auto"/>
        <w:rPr>
          <w:rFonts w:hint="eastAsia"/>
          <w:sz w:val="24"/>
          <w:lang w:eastAsia="zh-CN"/>
        </w:rPr>
      </w:pPr>
      <w:r>
        <w:rPr>
          <w:rFonts w:hint="eastAsia"/>
          <w:sz w:val="24"/>
          <w:lang w:eastAsia="zh-CN"/>
        </w:rPr>
        <w:t>三、支出决算情况说明………………………………………………</w:t>
      </w:r>
      <w:r>
        <w:rPr>
          <w:rFonts w:hint="eastAsia"/>
          <w:sz w:val="24"/>
          <w:lang w:val="en-US" w:eastAsia="zh-CN"/>
        </w:rPr>
        <w:t>6</w:t>
      </w:r>
    </w:p>
    <w:p>
      <w:pPr>
        <w:pStyle w:val="12"/>
        <w:pageBreakBefore w:val="0"/>
        <w:kinsoku/>
        <w:wordWrap/>
        <w:overflowPunct/>
        <w:topLinePunct w:val="0"/>
        <w:bidi w:val="0"/>
        <w:adjustRightInd w:val="0"/>
        <w:snapToGrid w:val="0"/>
        <w:spacing w:line="440" w:lineRule="exact"/>
        <w:jc w:val="left"/>
        <w:textAlignment w:val="auto"/>
        <w:rPr>
          <w:rFonts w:ascii="仿宋" w:hAnsi="仿宋" w:eastAsia="仿宋" w:cstheme="minorBidi"/>
          <w:sz w:val="24"/>
        </w:rPr>
      </w:pPr>
      <w:r>
        <w:rPr>
          <w:rFonts w:hint="eastAsia"/>
          <w:sz w:val="24"/>
        </w:rPr>
        <w:t>四、财政拨款收入支出决算总体情况说明</w:t>
      </w:r>
      <w:r>
        <w:rPr>
          <w:rFonts w:hint="eastAsia"/>
          <w:sz w:val="24"/>
          <w:lang w:eastAsia="zh-CN"/>
        </w:rPr>
        <w:t>…………………………</w:t>
      </w:r>
      <w:r>
        <w:rPr>
          <w:rFonts w:hint="eastAsia"/>
          <w:sz w:val="24"/>
          <w:lang w:val="en-US" w:eastAsia="zh-CN"/>
        </w:rPr>
        <w:t>7</w:t>
      </w:r>
    </w:p>
    <w:p>
      <w:pPr>
        <w:pStyle w:val="12"/>
        <w:pageBreakBefore w:val="0"/>
        <w:kinsoku/>
        <w:wordWrap/>
        <w:overflowPunct/>
        <w:topLinePunct w:val="0"/>
        <w:bidi w:val="0"/>
        <w:adjustRightInd w:val="0"/>
        <w:snapToGrid w:val="0"/>
        <w:spacing w:line="440" w:lineRule="exact"/>
        <w:jc w:val="left"/>
        <w:textAlignment w:val="auto"/>
        <w:rPr>
          <w:rFonts w:ascii="仿宋" w:hAnsi="仿宋" w:eastAsia="仿宋" w:cstheme="minorBidi"/>
          <w:sz w:val="24"/>
        </w:rPr>
      </w:pPr>
      <w:r>
        <w:rPr>
          <w:rFonts w:hint="eastAsia"/>
          <w:sz w:val="24"/>
        </w:rPr>
        <w:t>五、一般公共预算财政拨款支出决算情况说明</w:t>
      </w:r>
      <w:r>
        <w:rPr>
          <w:rFonts w:hint="eastAsia"/>
          <w:sz w:val="24"/>
          <w:lang w:eastAsia="zh-CN"/>
        </w:rPr>
        <w:t>……………………</w:t>
      </w:r>
      <w:r>
        <w:rPr>
          <w:rFonts w:hint="eastAsia"/>
          <w:sz w:val="24"/>
          <w:lang w:val="en-US" w:eastAsia="zh-CN"/>
        </w:rPr>
        <w:t>7</w:t>
      </w:r>
    </w:p>
    <w:p>
      <w:pPr>
        <w:pStyle w:val="12"/>
        <w:adjustRightInd w:val="0"/>
        <w:snapToGrid w:val="0"/>
        <w:spacing w:line="440" w:lineRule="exact"/>
        <w:jc w:val="left"/>
        <w:rPr>
          <w:rFonts w:hint="default"/>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10</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eastAsia="zh-CN"/>
        </w:rPr>
        <w:t>……………………</w:t>
      </w:r>
      <w:r>
        <w:rPr>
          <w:rFonts w:hint="eastAsia"/>
          <w:sz w:val="24"/>
          <w:lang w:val="en-US" w:eastAsia="zh-CN"/>
        </w:rPr>
        <w:t>10</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sz w:val="24"/>
          <w:lang w:val="en-US"/>
        </w:rPr>
      </w:pPr>
      <w:r>
        <w:rPr>
          <w:rFonts w:hint="eastAsia"/>
          <w:sz w:val="24"/>
        </w:rPr>
        <w:t>十、其他重要事项的情况说明</w:t>
      </w:r>
      <w:r>
        <w:rPr>
          <w:rFonts w:hint="eastAsia"/>
          <w:sz w:val="24"/>
          <w:lang w:eastAsia="zh-CN"/>
        </w:rPr>
        <w:t>………………………………………</w:t>
      </w:r>
      <w:r>
        <w:rPr>
          <w:rFonts w:hint="eastAsia"/>
          <w:sz w:val="24"/>
          <w:lang w:val="en-US" w:eastAsia="zh-CN"/>
        </w:rPr>
        <w:t>12</w:t>
      </w:r>
    </w:p>
    <w:p>
      <w:pPr>
        <w:pStyle w:val="12"/>
        <w:pageBreakBefore w:val="0"/>
        <w:kinsoku/>
        <w:wordWrap/>
        <w:overflowPunct/>
        <w:topLinePunct w:val="0"/>
        <w:bidi w:val="0"/>
        <w:adjustRightInd w:val="0"/>
        <w:snapToGrid w:val="0"/>
        <w:spacing w:line="440" w:lineRule="exact"/>
        <w:jc w:val="left"/>
        <w:textAlignment w:val="auto"/>
        <w:rPr>
          <w:rFonts w:hint="default" w:cstheme="minorBidi"/>
          <w:sz w:val="24"/>
          <w:szCs w:val="24"/>
          <w:lang w:val="en-US"/>
        </w:rPr>
      </w:pPr>
      <w:r>
        <w:rPr>
          <w:rFonts w:hint="eastAsia"/>
          <w:sz w:val="24"/>
        </w:rPr>
        <w:t>第三部分名词解释</w:t>
      </w:r>
      <w:r>
        <w:rPr>
          <w:rFonts w:hint="eastAsia"/>
          <w:sz w:val="24"/>
          <w:lang w:eastAsia="zh-CN"/>
        </w:rPr>
        <w:t>……………………………………………………</w:t>
      </w:r>
      <w:r>
        <w:rPr>
          <w:rFonts w:hint="eastAsia"/>
          <w:sz w:val="24"/>
          <w:lang w:val="en-US" w:eastAsia="zh-CN"/>
        </w:rPr>
        <w:t>14</w:t>
      </w:r>
    </w:p>
    <w:p>
      <w:pPr>
        <w:pStyle w:val="12"/>
        <w:pageBreakBefore w:val="0"/>
        <w:kinsoku/>
        <w:wordWrap/>
        <w:overflowPunct/>
        <w:topLinePunct w:val="0"/>
        <w:bidi w:val="0"/>
        <w:adjustRightInd w:val="0"/>
        <w:snapToGrid w:val="0"/>
        <w:spacing w:line="440" w:lineRule="exact"/>
        <w:jc w:val="left"/>
        <w:textAlignment w:val="auto"/>
        <w:rPr>
          <w:rFonts w:hint="default" w:cstheme="minorBidi"/>
          <w:sz w:val="24"/>
          <w:szCs w:val="24"/>
          <w:lang w:val="en-US"/>
        </w:rPr>
      </w:pPr>
      <w:r>
        <w:rPr>
          <w:rFonts w:hint="eastAsia"/>
          <w:sz w:val="24"/>
        </w:rPr>
        <w:t>第四部分附件</w:t>
      </w:r>
      <w:r>
        <w:rPr>
          <w:rFonts w:hint="eastAsia"/>
          <w:sz w:val="24"/>
          <w:lang w:eastAsia="zh-CN"/>
        </w:rPr>
        <w:t>…………………………………………………………</w:t>
      </w:r>
      <w:r>
        <w:rPr>
          <w:rFonts w:hint="eastAsia"/>
          <w:sz w:val="24"/>
          <w:lang w:val="en-US" w:eastAsia="zh-CN"/>
        </w:rPr>
        <w:t>17</w:t>
      </w:r>
    </w:p>
    <w:p>
      <w:pPr>
        <w:pStyle w:val="12"/>
        <w:pageBreakBefore w:val="0"/>
        <w:kinsoku/>
        <w:wordWrap/>
        <w:overflowPunct/>
        <w:topLinePunct w:val="0"/>
        <w:bidi w:val="0"/>
        <w:adjustRightInd w:val="0"/>
        <w:snapToGrid w:val="0"/>
        <w:spacing w:line="440" w:lineRule="exact"/>
        <w:jc w:val="left"/>
        <w:textAlignment w:val="auto"/>
        <w:rPr>
          <w:rFonts w:hint="default" w:cstheme="minorBidi"/>
          <w:sz w:val="24"/>
          <w:szCs w:val="24"/>
          <w:lang w:val="en-US"/>
        </w:rPr>
      </w:pPr>
      <w:r>
        <w:rPr>
          <w:rFonts w:hint="eastAsia"/>
          <w:sz w:val="24"/>
        </w:rPr>
        <w:t>第五部分附表</w:t>
      </w:r>
      <w:r>
        <w:rPr>
          <w:rFonts w:hint="eastAsia"/>
          <w:sz w:val="24"/>
          <w:lang w:eastAsia="zh-CN"/>
        </w:rPr>
        <w:t>…………………………………………………………</w:t>
      </w:r>
      <w:r>
        <w:rPr>
          <w:rFonts w:hint="eastAsia"/>
          <w:sz w:val="24"/>
          <w:lang w:val="en-US" w:eastAsia="zh-CN"/>
        </w:rPr>
        <w:t>18</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pPr>
        <w:pStyle w:val="26"/>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rPr>
        <w:t>遂宁市拘留所主要承担着船山区、河东新区、经济开发区、高新区、安居区、蓬溪县和市本级行政拘留和司法拘留任务。</w:t>
      </w:r>
    </w:p>
    <w:p>
      <w:pPr>
        <w:pStyle w:val="4"/>
        <w:rPr>
          <w:rFonts w:ascii="黑体" w:hAnsi="黑体" w:eastAsia="黑体"/>
          <w:b w:val="0"/>
        </w:rPr>
      </w:pPr>
      <w:r>
        <w:rPr>
          <w:rFonts w:hint="eastAsia" w:ascii="黑体" w:hAnsi="黑体" w:eastAsia="黑体"/>
          <w:b w:val="0"/>
        </w:rPr>
        <w:t>二、机构设置</w:t>
      </w:r>
    </w:p>
    <w:bookmarkEnd w:id="14"/>
    <w:bookmarkEnd w:id="15"/>
    <w:p>
      <w:pPr>
        <w:spacing w:line="600" w:lineRule="exact"/>
        <w:ind w:firstLine="640" w:firstLineChars="200"/>
        <w:rPr>
          <w:rFonts w:ascii="仿宋" w:hAnsi="仿宋" w:eastAsia="仿宋"/>
          <w:sz w:val="32"/>
          <w:szCs w:val="32"/>
        </w:rPr>
      </w:pPr>
      <w:r>
        <w:rPr>
          <w:rFonts w:hint="eastAsia" w:ascii="仿宋" w:hAnsi="仿宋" w:eastAsia="仿宋"/>
          <w:sz w:val="32"/>
          <w:szCs w:val="32"/>
        </w:rPr>
        <w:t>遂宁市拘留所是遂宁市公安局下属的正科职单位，是独立预算的二级单位，被拘留人员生活费、医疗费、衣被费、装备购置与消耗以及日常维修等经费由市财政预算全额保障，财务收支实行独立核算。</w:t>
      </w:r>
    </w:p>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6"/>
        <w:ind w:left="420"/>
      </w:pPr>
    </w:p>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634.63</w:t>
      </w:r>
      <w:r>
        <w:rPr>
          <w:rFonts w:hint="eastAsia" w:ascii="仿宋" w:hAnsi="仿宋" w:eastAsia="仿宋"/>
          <w:sz w:val="32"/>
          <w:szCs w:val="32"/>
        </w:rPr>
        <w:t>万元。与2022年度相比，收、支总计各增加44.12万元，增长7.47</w:t>
      </w:r>
      <w:r>
        <w:rPr>
          <w:rFonts w:ascii="仿宋" w:hAnsi="仿宋" w:eastAsia="仿宋"/>
          <w:sz w:val="32"/>
          <w:szCs w:val="32"/>
        </w:rPr>
        <w:t>%</w:t>
      </w:r>
      <w:r>
        <w:rPr>
          <w:rFonts w:hint="eastAsia" w:ascii="仿宋" w:hAnsi="仿宋" w:eastAsia="仿宋"/>
          <w:sz w:val="32"/>
          <w:szCs w:val="32"/>
        </w:rPr>
        <w:t>。主要变动原因是人员工资、社保费用增加，支付上年度应付未付相关费用。</w:t>
      </w:r>
    </w:p>
    <w:p>
      <w:pPr>
        <w:pStyle w:val="18"/>
      </w:pPr>
      <w:r>
        <w:drawing>
          <wp:inline distT="0" distB="0" distL="0" distR="0">
            <wp:extent cx="457200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634.63</w:t>
      </w:r>
      <w:r>
        <w:rPr>
          <w:rFonts w:hint="eastAsia" w:ascii="仿宋" w:hAnsi="仿宋" w:eastAsia="仿宋"/>
          <w:sz w:val="32"/>
          <w:szCs w:val="32"/>
        </w:rPr>
        <w:t>万元，其中：一般公共预算财政拨款收入</w:t>
      </w:r>
      <w:r>
        <w:rPr>
          <w:rFonts w:ascii="仿宋" w:hAnsi="仿宋" w:eastAsia="仿宋"/>
          <w:b/>
          <w:sz w:val="32"/>
          <w:szCs w:val="32"/>
        </w:rPr>
        <w:t>634.63</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0" w:firstLineChars="200"/>
        <w:outlineLvl w:val="1"/>
        <w:rPr>
          <w:rFonts w:ascii="仿宋" w:hAnsi="仿宋" w:eastAsia="仿宋"/>
          <w:sz w:val="32"/>
          <w:szCs w:val="32"/>
        </w:rPr>
      </w:pPr>
    </w:p>
    <w:p>
      <w:r>
        <w:drawing>
          <wp:inline distT="0" distB="0" distL="0" distR="0">
            <wp:extent cx="4022090" cy="1714500"/>
            <wp:effectExtent l="19050" t="0" r="16329"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634.63</w:t>
      </w:r>
      <w:r>
        <w:rPr>
          <w:rFonts w:hint="eastAsia" w:ascii="仿宋" w:hAnsi="仿宋" w:eastAsia="仿宋"/>
          <w:sz w:val="32"/>
          <w:szCs w:val="32"/>
        </w:rPr>
        <w:t>万元，其中：基本支出</w:t>
      </w:r>
      <w:r>
        <w:rPr>
          <w:rFonts w:ascii="仿宋" w:hAnsi="仿宋" w:eastAsia="仿宋"/>
          <w:b/>
          <w:sz w:val="32"/>
          <w:szCs w:val="32"/>
        </w:rPr>
        <w:t>483.91</w:t>
      </w:r>
      <w:r>
        <w:rPr>
          <w:rFonts w:hint="eastAsia" w:ascii="仿宋" w:hAnsi="仿宋" w:eastAsia="仿宋"/>
          <w:sz w:val="32"/>
          <w:szCs w:val="32"/>
        </w:rPr>
        <w:t>万元，占</w:t>
      </w:r>
      <w:r>
        <w:rPr>
          <w:rFonts w:ascii="仿宋" w:hAnsi="仿宋" w:eastAsia="仿宋"/>
          <w:b/>
          <w:sz w:val="32"/>
          <w:szCs w:val="32"/>
        </w:rPr>
        <w:t>76.25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150.72</w:t>
      </w:r>
      <w:r>
        <w:rPr>
          <w:rFonts w:hint="eastAsia" w:ascii="仿宋" w:hAnsi="仿宋" w:eastAsia="仿宋"/>
          <w:sz w:val="32"/>
          <w:szCs w:val="32"/>
        </w:rPr>
        <w:t>万元，占</w:t>
      </w:r>
      <w:r>
        <w:rPr>
          <w:rFonts w:ascii="仿宋" w:hAnsi="仿宋" w:eastAsia="仿宋"/>
          <w:b/>
          <w:sz w:val="32"/>
          <w:szCs w:val="32"/>
        </w:rPr>
        <w:t>23.74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r>
        <w:rPr>
          <w:rFonts w:hint="eastAsia"/>
        </w:rPr>
        <w:t xml:space="preserve">     </w:t>
      </w:r>
    </w:p>
    <w:p>
      <w:r>
        <w:rPr>
          <w:rFonts w:hint="eastAsia"/>
        </w:rPr>
        <w:t xml:space="preserve">        </w:t>
      </w:r>
      <w:r>
        <w:drawing>
          <wp:inline distT="0" distB="0" distL="0" distR="0">
            <wp:extent cx="4572000" cy="27432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634.63</w:t>
      </w:r>
      <w:r>
        <w:rPr>
          <w:rFonts w:hint="eastAsia" w:ascii="仿宋" w:hAnsi="仿宋" w:eastAsia="仿宋"/>
          <w:sz w:val="32"/>
          <w:szCs w:val="32"/>
        </w:rPr>
        <w:t>万元。与2022年度相比，财政拨款收、支总计各增加44.12万元，增长7.47</w:t>
      </w:r>
      <w:r>
        <w:rPr>
          <w:rFonts w:ascii="仿宋" w:hAnsi="仿宋" w:eastAsia="仿宋"/>
          <w:sz w:val="32"/>
          <w:szCs w:val="32"/>
        </w:rPr>
        <w:t>%</w:t>
      </w:r>
      <w:r>
        <w:rPr>
          <w:rFonts w:hint="eastAsia" w:ascii="仿宋" w:hAnsi="仿宋" w:eastAsia="仿宋"/>
          <w:sz w:val="32"/>
          <w:szCs w:val="32"/>
        </w:rPr>
        <w:t>。主要变动原因是人员工资、社保费用增加，支付上年度应付未付相关费用。</w:t>
      </w:r>
    </w:p>
    <w:p>
      <w:pPr>
        <w:spacing w:line="600" w:lineRule="exact"/>
        <w:rPr>
          <w:rFonts w:ascii="仿宋" w:hAnsi="仿宋" w:eastAsia="仿宋"/>
          <w:sz w:val="32"/>
          <w:szCs w:val="32"/>
        </w:rPr>
      </w:pPr>
    </w:p>
    <w:p>
      <w:r>
        <w:rPr>
          <w:rFonts w:hint="eastAsia"/>
        </w:rPr>
        <w:t xml:space="preserve">       </w:t>
      </w:r>
      <w:r>
        <w:drawing>
          <wp:inline distT="0" distB="0" distL="0" distR="0">
            <wp:extent cx="4572000" cy="27432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634.63</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。与2022年度相比，一般公共预算财政拨款支出增加44.12万元，增长7.47</w:t>
      </w:r>
      <w:r>
        <w:rPr>
          <w:rFonts w:ascii="仿宋" w:hAnsi="仿宋" w:eastAsia="仿宋"/>
          <w:sz w:val="32"/>
          <w:szCs w:val="32"/>
        </w:rPr>
        <w:t>%</w:t>
      </w:r>
      <w:r>
        <w:rPr>
          <w:rFonts w:hint="eastAsia" w:ascii="仿宋" w:hAnsi="仿宋" w:eastAsia="仿宋"/>
          <w:sz w:val="32"/>
          <w:szCs w:val="32"/>
        </w:rPr>
        <w:t>。主要变动原因是人员工资、社保费用增加，支付上年度应付未付相关费用。</w:t>
      </w:r>
    </w:p>
    <w:p>
      <w:r>
        <w:rPr>
          <w:rFonts w:hint="eastAsia"/>
        </w:rPr>
        <w:t xml:space="preserve">      </w:t>
      </w:r>
      <w:r>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634.63</w:t>
      </w:r>
      <w:r>
        <w:rPr>
          <w:rFonts w:hint="eastAsia" w:ascii="仿宋" w:hAnsi="仿宋" w:eastAsia="仿宋"/>
          <w:sz w:val="32"/>
          <w:szCs w:val="32"/>
        </w:rPr>
        <w:t>万元，主要用于以下方面</w:t>
      </w:r>
      <w:r>
        <w:rPr>
          <w:rFonts w:ascii="仿宋" w:hAnsi="仿宋" w:eastAsia="仿宋"/>
          <w:sz w:val="32"/>
          <w:szCs w:val="32"/>
        </w:rPr>
        <w:t>:</w:t>
      </w:r>
      <w:r>
        <w:rPr>
          <w:rFonts w:hint="eastAsia"/>
        </w:rPr>
        <w:t xml:space="preserve"> </w:t>
      </w:r>
      <w:r>
        <w:rPr>
          <w:rFonts w:hint="eastAsia" w:ascii="仿宋" w:hAnsi="仿宋" w:eastAsia="仿宋"/>
          <w:b/>
          <w:sz w:val="32"/>
          <w:szCs w:val="32"/>
        </w:rPr>
        <w:t>公共安全支出</w:t>
      </w:r>
      <w:r>
        <w:rPr>
          <w:rFonts w:hint="eastAsia" w:ascii="仿宋" w:hAnsi="仿宋" w:eastAsia="仿宋"/>
          <w:sz w:val="32"/>
          <w:szCs w:val="32"/>
        </w:rPr>
        <w:t>550.53万元，占</w:t>
      </w:r>
      <w:r>
        <w:rPr>
          <w:rFonts w:ascii="仿宋" w:hAnsi="仿宋" w:eastAsia="仿宋"/>
          <w:sz w:val="32"/>
          <w:szCs w:val="32"/>
        </w:rPr>
        <w:t>*</w:t>
      </w:r>
      <w:r>
        <w:rPr>
          <w:rFonts w:hint="eastAsia" w:ascii="仿宋" w:hAnsi="仿宋" w:eastAsia="仿宋"/>
          <w:sz w:val="32"/>
          <w:szCs w:val="32"/>
        </w:rPr>
        <w:t>86.75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41.03万元，占6.47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14.77万元，占2.33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28.3万元，占4.46</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r>
        <w:rPr>
          <w:rFonts w:hint="eastAsia"/>
        </w:rPr>
        <w:t xml:space="preserve">      </w:t>
      </w:r>
      <w:r>
        <w:drawing>
          <wp:inline distT="0" distB="0" distL="0" distR="0">
            <wp:extent cx="4572000" cy="27432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634.63</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3" w:firstLineChars="200"/>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公共安全支出（204）公安（02）行政运行（01）</w:t>
      </w:r>
      <w:r>
        <w:rPr>
          <w:rStyle w:val="16"/>
          <w:rFonts w:ascii="仿宋" w:hAnsi="仿宋" w:eastAsia="仿宋"/>
          <w:bCs/>
          <w:sz w:val="32"/>
          <w:szCs w:val="32"/>
        </w:rPr>
        <w:t>:</w:t>
      </w:r>
      <w:r>
        <w:rPr>
          <w:rStyle w:val="16"/>
          <w:rFonts w:hint="eastAsia" w:ascii="仿宋" w:hAnsi="仿宋" w:eastAsia="仿宋"/>
          <w:bCs/>
          <w:sz w:val="32"/>
          <w:szCs w:val="32"/>
        </w:rPr>
        <w:t>支出决算为399.81万元，完成预算100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公共安全支出（204）公安（02）一般行政管理事务（02）</w:t>
      </w:r>
      <w:r>
        <w:rPr>
          <w:rStyle w:val="16"/>
          <w:rFonts w:ascii="仿宋" w:hAnsi="仿宋" w:eastAsia="仿宋"/>
          <w:bCs/>
          <w:sz w:val="32"/>
          <w:szCs w:val="32"/>
        </w:rPr>
        <w:t>:</w:t>
      </w:r>
      <w:r>
        <w:rPr>
          <w:rStyle w:val="16"/>
          <w:rFonts w:hint="eastAsia" w:ascii="仿宋" w:hAnsi="仿宋" w:eastAsia="仿宋"/>
          <w:bCs/>
          <w:sz w:val="32"/>
          <w:szCs w:val="32"/>
        </w:rPr>
        <w:t>支出决算为150.72万元，完成预算100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 xml:space="preserve"> 社会保障和就业（208）行政事业单位养老支出（05）  行政单位离退休（01）</w:t>
      </w:r>
      <w:r>
        <w:rPr>
          <w:rStyle w:val="16"/>
          <w:rFonts w:ascii="仿宋" w:hAnsi="仿宋" w:eastAsia="仿宋"/>
          <w:bCs/>
          <w:sz w:val="32"/>
          <w:szCs w:val="32"/>
        </w:rPr>
        <w:t>:</w:t>
      </w:r>
      <w:r>
        <w:rPr>
          <w:rStyle w:val="16"/>
          <w:rFonts w:hint="eastAsia" w:ascii="仿宋" w:hAnsi="仿宋" w:eastAsia="仿宋"/>
          <w:bCs/>
          <w:sz w:val="32"/>
          <w:szCs w:val="32"/>
        </w:rPr>
        <w:t>支出决算为2.82万元，完成预算100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3" w:firstLineChars="200"/>
        <w:rPr>
          <w:rStyle w:val="16"/>
          <w:rFonts w:ascii="仿宋" w:hAnsi="仿宋" w:eastAsia="仿宋"/>
          <w:bCs/>
          <w:sz w:val="32"/>
          <w:szCs w:val="32"/>
        </w:rPr>
      </w:pPr>
      <w:r>
        <w:rPr>
          <w:rStyle w:val="16"/>
          <w:rFonts w:hint="eastAsia" w:ascii="仿宋" w:hAnsi="仿宋" w:eastAsia="仿宋"/>
          <w:bCs/>
          <w:sz w:val="32"/>
          <w:szCs w:val="32"/>
        </w:rPr>
        <w:t>4</w:t>
      </w:r>
      <w:r>
        <w:rPr>
          <w:rStyle w:val="16"/>
          <w:rFonts w:ascii="仿宋" w:hAnsi="仿宋" w:eastAsia="仿宋"/>
          <w:bCs/>
          <w:sz w:val="32"/>
          <w:szCs w:val="32"/>
        </w:rPr>
        <w:t xml:space="preserve">. </w:t>
      </w:r>
      <w:r>
        <w:rPr>
          <w:rStyle w:val="16"/>
          <w:rFonts w:hint="eastAsia" w:ascii="仿宋" w:hAnsi="仿宋" w:eastAsia="仿宋"/>
          <w:bCs/>
          <w:sz w:val="32"/>
          <w:szCs w:val="32"/>
        </w:rPr>
        <w:t>社会保障和就业（208）行政事业单位养老支出（05）  机关事业单位基本养老保险缴费支出（05）</w:t>
      </w:r>
      <w:r>
        <w:rPr>
          <w:rStyle w:val="16"/>
          <w:rFonts w:ascii="仿宋" w:hAnsi="仿宋" w:eastAsia="仿宋"/>
          <w:bCs/>
          <w:sz w:val="32"/>
          <w:szCs w:val="32"/>
        </w:rPr>
        <w:t>:</w:t>
      </w:r>
      <w:r>
        <w:rPr>
          <w:rStyle w:val="16"/>
          <w:rFonts w:hint="eastAsia" w:ascii="仿宋" w:hAnsi="仿宋" w:eastAsia="仿宋"/>
          <w:bCs/>
          <w:sz w:val="32"/>
          <w:szCs w:val="32"/>
        </w:rPr>
        <w:t>支出决算为38.2万元，完成预算100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5</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（210）行政事业单位医疗（11）  行政单位医疗（01）</w:t>
      </w:r>
      <w:r>
        <w:rPr>
          <w:rStyle w:val="16"/>
          <w:rFonts w:ascii="仿宋" w:hAnsi="仿宋" w:eastAsia="仿宋"/>
          <w:bCs/>
          <w:sz w:val="32"/>
          <w:szCs w:val="32"/>
        </w:rPr>
        <w:t>:</w:t>
      </w:r>
      <w:r>
        <w:rPr>
          <w:rStyle w:val="16"/>
          <w:rFonts w:hint="eastAsia" w:ascii="仿宋" w:hAnsi="仿宋" w:eastAsia="仿宋"/>
          <w:bCs/>
          <w:sz w:val="32"/>
          <w:szCs w:val="32"/>
        </w:rPr>
        <w:t>支出决算为14.77万元，完成预算100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（221）住房改革支出（02）住房公积金（01）</w:t>
      </w:r>
      <w:r>
        <w:rPr>
          <w:rStyle w:val="16"/>
          <w:rFonts w:ascii="仿宋" w:hAnsi="仿宋" w:eastAsia="仿宋"/>
          <w:bCs/>
          <w:sz w:val="32"/>
          <w:szCs w:val="32"/>
        </w:rPr>
        <w:t>:</w:t>
      </w:r>
      <w:r>
        <w:rPr>
          <w:rStyle w:val="16"/>
          <w:rFonts w:hint="eastAsia" w:ascii="仿宋" w:hAnsi="仿宋" w:eastAsia="仿宋"/>
          <w:bCs/>
          <w:sz w:val="32"/>
          <w:szCs w:val="32"/>
        </w:rPr>
        <w:t>支出决算为28.3万元，完成预算100</w:t>
      </w:r>
      <w:r>
        <w:rPr>
          <w:rStyle w:val="16"/>
          <w:rFonts w:ascii="仿宋" w:hAnsi="仿宋" w:eastAsia="仿宋"/>
          <w:bCs/>
          <w:sz w:val="32"/>
          <w:szCs w:val="32"/>
        </w:rPr>
        <w:t>%</w:t>
      </w:r>
      <w:r>
        <w:rPr>
          <w:rStyle w:val="16"/>
          <w:rFonts w:hint="eastAsia" w:ascii="仿宋" w:hAnsi="仿宋" w:eastAsia="仿宋"/>
          <w:bCs/>
          <w:sz w:val="32"/>
          <w:szCs w:val="32"/>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483.91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403.24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80.67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0.67</w:t>
      </w:r>
      <w:r>
        <w:rPr>
          <w:rFonts w:hint="eastAsia" w:ascii="仿宋" w:hAnsi="仿宋" w:eastAsia="仿宋"/>
          <w:sz w:val="32"/>
          <w:szCs w:val="32"/>
        </w:rPr>
        <w:t>万元，完成预算</w:t>
      </w:r>
      <w:r>
        <w:rPr>
          <w:rFonts w:ascii="仿宋" w:hAnsi="仿宋" w:eastAsia="仿宋"/>
          <w:b/>
          <w:sz w:val="32"/>
          <w:szCs w:val="32"/>
        </w:rPr>
        <w:t>53.68</w:t>
      </w:r>
      <w:r>
        <w:rPr>
          <w:rFonts w:ascii="仿宋" w:hAnsi="仿宋" w:eastAsia="仿宋"/>
          <w:sz w:val="32"/>
          <w:szCs w:val="32"/>
        </w:rPr>
        <w:t>%</w:t>
      </w:r>
      <w:r>
        <w:rPr>
          <w:rFonts w:hint="eastAsia" w:ascii="仿宋" w:hAnsi="仿宋" w:eastAsia="仿宋"/>
          <w:sz w:val="32"/>
          <w:szCs w:val="32"/>
        </w:rPr>
        <w:t>，较上年度减少0.87万元，下降56.49%。主要原因是当年公务用车维修维护费用较上年降低。</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0.43</w:t>
      </w:r>
      <w:r>
        <w:rPr>
          <w:rFonts w:hint="eastAsia" w:ascii="仿宋" w:hAnsi="仿宋" w:eastAsia="仿宋"/>
          <w:sz w:val="32"/>
          <w:szCs w:val="32"/>
        </w:rPr>
        <w:t>万元，占</w:t>
      </w:r>
      <w:r>
        <w:rPr>
          <w:rFonts w:ascii="仿宋" w:hAnsi="仿宋" w:eastAsia="仿宋"/>
          <w:b/>
          <w:sz w:val="32"/>
          <w:szCs w:val="32"/>
        </w:rPr>
        <w:t>64.24</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0.24</w:t>
      </w:r>
      <w:r>
        <w:rPr>
          <w:rFonts w:hint="eastAsia" w:ascii="仿宋" w:hAnsi="仿宋" w:eastAsia="仿宋"/>
          <w:sz w:val="32"/>
          <w:szCs w:val="32"/>
        </w:rPr>
        <w:t>万元，占</w:t>
      </w:r>
      <w:r>
        <w:rPr>
          <w:rFonts w:ascii="仿宋" w:hAnsi="仿宋" w:eastAsia="仿宋"/>
          <w:b/>
          <w:sz w:val="32"/>
          <w:szCs w:val="32"/>
        </w:rPr>
        <w:t>35.75</w:t>
      </w:r>
      <w:r>
        <w:rPr>
          <w:rFonts w:ascii="仿宋" w:hAnsi="仿宋" w:eastAsia="仿宋"/>
          <w:sz w:val="32"/>
          <w:szCs w:val="32"/>
        </w:rPr>
        <w:t>%</w:t>
      </w:r>
      <w:r>
        <w:rPr>
          <w:rFonts w:hint="eastAsia" w:ascii="仿宋" w:hAnsi="仿宋" w:eastAsia="仿宋"/>
          <w:sz w:val="32"/>
          <w:szCs w:val="32"/>
        </w:rPr>
        <w:t>。具体情况如下：</w:t>
      </w:r>
    </w:p>
    <w:p/>
    <w:p>
      <w:r>
        <w:rPr>
          <w:rFonts w:hint="eastAsia"/>
        </w:rPr>
        <w:t xml:space="preserve">        </w:t>
      </w:r>
      <w:r>
        <w:drawing>
          <wp:inline distT="0" distB="0" distL="0" distR="0">
            <wp:extent cx="4572000" cy="2743200"/>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0.43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公务用车购置及运行维护费支出决算比2022年度减少0.93万元，下降68.38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当年公务用车维修维护费用较上年降低</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万元。全年按规定更新购置公务用车0辆，其中：轿车0辆、金额0万元，越野车0辆、金额0万元，载客汽车0辆、金额0万元。截至2023年</w:t>
      </w:r>
      <w:r>
        <w:rPr>
          <w:rFonts w:ascii="仿宋_GB2312" w:eastAsia="仿宋_GB2312"/>
          <w:sz w:val="32"/>
          <w:szCs w:val="32"/>
        </w:rPr>
        <w:t>12</w:t>
      </w:r>
      <w:r>
        <w:rPr>
          <w:rFonts w:hint="eastAsia" w:ascii="仿宋_GB2312" w:eastAsia="仿宋_GB2312"/>
          <w:sz w:val="32"/>
          <w:szCs w:val="32"/>
        </w:rPr>
        <w:t>月31日，单位共有公务用车1辆，其中：轿车0辆、越野车0辆、载客汽车1辆。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0.43</w:t>
      </w:r>
      <w:r>
        <w:rPr>
          <w:rFonts w:hint="eastAsia" w:ascii="仿宋_GB2312" w:eastAsia="仿宋_GB2312"/>
          <w:sz w:val="32"/>
          <w:szCs w:val="32"/>
        </w:rPr>
        <w:t>万元。主要用于所需的公务用车燃料费、维修费、过路过桥费、保险费等支出。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0.24</w:t>
      </w:r>
      <w:r>
        <w:rPr>
          <w:rFonts w:hint="eastAsia" w:ascii="仿宋_GB2312" w:eastAsia="仿宋_GB2312"/>
          <w:sz w:val="32"/>
          <w:szCs w:val="32"/>
        </w:rPr>
        <w:t>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公务接待费支出决算比2022年度增加0.08万元，增长50</w:t>
      </w:r>
      <w:r>
        <w:rPr>
          <w:rFonts w:ascii="仿宋_GB2312" w:eastAsia="仿宋_GB2312"/>
          <w:sz w:val="32"/>
          <w:szCs w:val="32"/>
        </w:rPr>
        <w:t>%</w:t>
      </w:r>
      <w:r>
        <w:rPr>
          <w:rFonts w:hint="eastAsia" w:ascii="仿宋_GB2312" w:eastAsia="仿宋_GB2312"/>
          <w:sz w:val="32"/>
          <w:szCs w:val="32"/>
        </w:rPr>
        <w:t>。主要原因是当年接待事宜较上年增加，且支出基数变动比例较大。</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0.24</w:t>
      </w:r>
      <w:r>
        <w:rPr>
          <w:rFonts w:hint="eastAsia" w:ascii="仿宋_GB2312" w:eastAsia="仿宋_GB2312"/>
          <w:sz w:val="32"/>
          <w:szCs w:val="32"/>
        </w:rPr>
        <w:t>万元，主要用于执行公务、开展业务活动开支的用餐费等。</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pPr>
        <w:spacing w:line="600" w:lineRule="exact"/>
        <w:outlineLvl w:val="1"/>
        <w:rPr>
          <w:rFonts w:ascii="黑体" w:eastAsia="黑体"/>
          <w:sz w:val="32"/>
          <w:szCs w:val="32"/>
        </w:rPr>
      </w:pP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遂宁市拘留所</w:t>
      </w:r>
      <w:r>
        <w:rPr>
          <w:rFonts w:hint="eastAsia" w:ascii="仿宋_GB2312" w:eastAsia="仿宋_GB2312"/>
          <w:sz w:val="32"/>
          <w:szCs w:val="32"/>
        </w:rPr>
        <w:t>机关运行经费支出</w:t>
      </w:r>
      <w:r>
        <w:rPr>
          <w:rFonts w:ascii="仿宋" w:hAnsi="仿宋" w:eastAsia="仿宋"/>
          <w:b/>
          <w:sz w:val="32"/>
          <w:szCs w:val="32"/>
        </w:rPr>
        <w:t>80.67</w:t>
      </w:r>
      <w:r>
        <w:rPr>
          <w:rFonts w:hint="eastAsia" w:ascii="仿宋_GB2312" w:eastAsia="仿宋_GB2312"/>
          <w:sz w:val="32"/>
          <w:szCs w:val="32"/>
        </w:rPr>
        <w:t>万元，比2022年度减少0.4万元，下降0.49</w:t>
      </w:r>
      <w:r>
        <w:rPr>
          <w:rFonts w:ascii="仿宋_GB2312" w:eastAsia="仿宋_GB2312"/>
          <w:sz w:val="32"/>
          <w:szCs w:val="32"/>
        </w:rPr>
        <w:t>%</w:t>
      </w:r>
      <w:r>
        <w:rPr>
          <w:rFonts w:hint="eastAsia" w:ascii="仿宋_GB2312" w:eastAsia="仿宋_GB2312"/>
          <w:sz w:val="32"/>
          <w:szCs w:val="32"/>
        </w:rPr>
        <w:t>，变动幅度较小。</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遂宁市拘留所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w:t>
      </w:r>
      <w:bookmarkStart w:id="67" w:name="_GoBack"/>
      <w:bookmarkEnd w:id="67"/>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遂宁市拘留所</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辆，其中：主要领导干部用车0辆、机要通信用车0辆、应急保障用车0辆、其他用车1辆，其他用车主要是用于于应急巡逻。单价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widowControl/>
        <w:kinsoku/>
        <w:wordWrap/>
        <w:overflowPunct/>
        <w:topLinePunct w:val="0"/>
        <w:bidi w:val="0"/>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拘留人员伙食费、拘留人员医疗费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240" w:lineRule="auto"/>
        <w:ind w:left="0" w:leftChars="0"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240" w:lineRule="auto"/>
        <w:ind w:left="0" w:leftChars="0"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5"/>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9.公共安全支出（类）公安（款）行政运行（项），主要用于：人员基本工资、津贴补贴、绩效目标、福利费、办公费、手续费、差旅费、电费、邮电费等。</w:t>
      </w:r>
    </w:p>
    <w:p>
      <w:pPr>
        <w:spacing w:line="600" w:lineRule="exact"/>
        <w:ind w:firstLine="480" w:firstLineChars="150"/>
        <w:rPr>
          <w:rFonts w:ascii="仿宋_GB2312" w:eastAsia="仿宋_GB2312" w:cs="仿宋"/>
          <w:kern w:val="0"/>
          <w:sz w:val="32"/>
          <w:szCs w:val="32"/>
        </w:rPr>
      </w:pPr>
      <w:r>
        <w:rPr>
          <w:rFonts w:hint="eastAsia" w:ascii="仿宋_GB2312" w:eastAsia="仿宋_GB2312" w:cs="仿宋"/>
          <w:kern w:val="0"/>
          <w:sz w:val="32"/>
          <w:szCs w:val="32"/>
        </w:rPr>
        <w:t>10</w:t>
      </w:r>
      <w:r>
        <w:rPr>
          <w:rFonts w:ascii="仿宋_GB2312" w:eastAsia="仿宋_GB2312" w:cs="仿宋"/>
          <w:kern w:val="0"/>
          <w:sz w:val="32"/>
          <w:szCs w:val="32"/>
        </w:rPr>
        <w:t>.</w:t>
      </w:r>
      <w:r>
        <w:rPr>
          <w:rFonts w:hint="eastAsia" w:ascii="仿宋_GB2312" w:eastAsia="仿宋_GB2312" w:cs="仿宋"/>
          <w:kern w:val="0"/>
          <w:sz w:val="32"/>
          <w:szCs w:val="32"/>
        </w:rPr>
        <w:t xml:space="preserve"> 社会保障和就业支出（类）</w:t>
      </w:r>
      <w:r>
        <w:rPr>
          <w:rFonts w:ascii="仿宋_GB2312" w:eastAsia="仿宋_GB2312" w:cs="仿宋"/>
          <w:kern w:val="0"/>
          <w:sz w:val="32"/>
          <w:szCs w:val="32"/>
        </w:rPr>
        <w:t>行政事业单位养老支出</w:t>
      </w:r>
      <w:r>
        <w:rPr>
          <w:rFonts w:hint="eastAsia" w:ascii="仿宋_GB2312" w:eastAsia="仿宋_GB2312" w:cs="仿宋"/>
          <w:kern w:val="0"/>
          <w:sz w:val="32"/>
          <w:szCs w:val="32"/>
        </w:rPr>
        <w:t>（款）行政单位离退休（项）</w:t>
      </w:r>
      <w:r>
        <w:rPr>
          <w:rFonts w:ascii="仿宋_GB2312" w:eastAsia="仿宋_GB2312" w:cs="仿宋"/>
          <w:kern w:val="0"/>
          <w:sz w:val="32"/>
          <w:szCs w:val="32"/>
        </w:rPr>
        <w:t xml:space="preserve">: </w:t>
      </w:r>
      <w:r>
        <w:rPr>
          <w:rFonts w:hint="eastAsia" w:ascii="仿宋_GB2312" w:eastAsia="仿宋_GB2312" w:cs="仿宋"/>
          <w:kern w:val="0"/>
          <w:sz w:val="32"/>
          <w:szCs w:val="32"/>
        </w:rPr>
        <w:t>指单位行政人员离退休补助。</w:t>
      </w:r>
    </w:p>
    <w:p>
      <w:pPr>
        <w:pStyle w:val="25"/>
        <w:spacing w:line="576" w:lineRule="exact"/>
        <w:ind w:firstLine="640" w:firstLineChars="200"/>
        <w:rPr>
          <w:rFonts w:ascii="仿宋_GB2312" w:hAnsi="仿宋_GB2312" w:eastAsia="仿宋_GB2312" w:cs="仿宋_GB2312"/>
          <w:sz w:val="32"/>
          <w:szCs w:val="32"/>
        </w:rPr>
      </w:pPr>
    </w:p>
    <w:p>
      <w:pPr>
        <w:pStyle w:val="25"/>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11.公共安全支出（类）公安（款）一般行政管理事务（项），主要用于：拘留人员医疗费、拘留人员伙食费、设施设备维修维护费、辅警人员专项经费、设备设施购置费。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12.社会保障和就业支出（类）</w:t>
      </w:r>
      <w:r>
        <w:rPr>
          <w:rStyle w:val="16"/>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kern w:val="0"/>
          <w:sz w:val="32"/>
          <w:szCs w:val="32"/>
        </w:rPr>
        <w:t>（款）机关事业单位基本养老保险缴费支出（项），主要用于：机关事业单位人员基本养老保险缴费。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13.卫生健康支出（类）行政事业单位医疗（款）行政单位医疗（项），主要用于：基本医疗保险缴费、其他社会保障缴费。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14住房改革支出（款）住房公积金（项），主要用于：缴纳住房公积金。</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pPr>
        <w:pStyle w:val="13"/>
        <w:spacing w:line="560" w:lineRule="exact"/>
        <w:ind w:left="0" w:leftChars="0" w:firstLine="640"/>
        <w:rPr>
          <w:sz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hMTI1NjU2NDk1ZDQ4MmRhMjdjNDU1MjBhOGUxODgifQ=="/>
    <w:docVar w:name="KSO_WPS_MARK_KEY" w:val="1c48cefc-d5ae-49ea-a8a4-e0c7fab633c9"/>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4233"/>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35B6"/>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2A6E"/>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54649"/>
    <w:rsid w:val="005664BB"/>
    <w:rsid w:val="00566FFA"/>
    <w:rsid w:val="0057177B"/>
    <w:rsid w:val="0057481D"/>
    <w:rsid w:val="0058486E"/>
    <w:rsid w:val="0058573E"/>
    <w:rsid w:val="00585B33"/>
    <w:rsid w:val="0059014D"/>
    <w:rsid w:val="005B5C64"/>
    <w:rsid w:val="005B6E8A"/>
    <w:rsid w:val="005C5337"/>
    <w:rsid w:val="005C6BD0"/>
    <w:rsid w:val="005D1C8B"/>
    <w:rsid w:val="005D468D"/>
    <w:rsid w:val="005D5CED"/>
    <w:rsid w:val="005F10BC"/>
    <w:rsid w:val="005F1A4C"/>
    <w:rsid w:val="006039AF"/>
    <w:rsid w:val="00603E33"/>
    <w:rsid w:val="00605688"/>
    <w:rsid w:val="006070AF"/>
    <w:rsid w:val="00607E6C"/>
    <w:rsid w:val="006101B1"/>
    <w:rsid w:val="00614E44"/>
    <w:rsid w:val="0062270A"/>
    <w:rsid w:val="00622830"/>
    <w:rsid w:val="00623DA0"/>
    <w:rsid w:val="00630AEF"/>
    <w:rsid w:val="006325F8"/>
    <w:rsid w:val="00633463"/>
    <w:rsid w:val="00634C9A"/>
    <w:rsid w:val="006364F1"/>
    <w:rsid w:val="006440E4"/>
    <w:rsid w:val="00655FC5"/>
    <w:rsid w:val="0066343B"/>
    <w:rsid w:val="00664777"/>
    <w:rsid w:val="006728DB"/>
    <w:rsid w:val="006748A4"/>
    <w:rsid w:val="006816E0"/>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7DB6"/>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02F3"/>
    <w:rsid w:val="00B60F89"/>
    <w:rsid w:val="00B77EA6"/>
    <w:rsid w:val="00B81598"/>
    <w:rsid w:val="00B841F1"/>
    <w:rsid w:val="00B8488D"/>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3E438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ABB0C91"/>
    <w:rsid w:val="6BFFE1FB"/>
    <w:rsid w:val="6C4A05C8"/>
    <w:rsid w:val="6CB42FF7"/>
    <w:rsid w:val="6D3B1A89"/>
    <w:rsid w:val="6DB7D8A3"/>
    <w:rsid w:val="6EC78701"/>
    <w:rsid w:val="6F7A5481"/>
    <w:rsid w:val="6F993987"/>
    <w:rsid w:val="6FFE07A9"/>
    <w:rsid w:val="71BF4EC2"/>
    <w:rsid w:val="72734D90"/>
    <w:rsid w:val="73E75B71"/>
    <w:rsid w:val="7412278C"/>
    <w:rsid w:val="75DDCDA9"/>
    <w:rsid w:val="75FF44B1"/>
    <w:rsid w:val="77670518"/>
    <w:rsid w:val="777FA627"/>
    <w:rsid w:val="77DF1B5F"/>
    <w:rsid w:val="77EF2D9D"/>
    <w:rsid w:val="79005C35"/>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20309;&#24503;&#31077;\Desktop\&#20844;&#2432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拘留所!$A$3</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拘留所!$B$2:$C$2</c:f>
              <c:strCache>
                <c:ptCount val="2"/>
                <c:pt idx="0">
                  <c:v>收入</c:v>
                </c:pt>
                <c:pt idx="1">
                  <c:v>支出</c:v>
                </c:pt>
              </c:strCache>
            </c:strRef>
          </c:cat>
          <c:val>
            <c:numRef>
              <c:f>拘留所!$B$3:$C$3</c:f>
              <c:numCache>
                <c:formatCode>General</c:formatCode>
                <c:ptCount val="2"/>
                <c:pt idx="0">
                  <c:v>590.51</c:v>
                </c:pt>
                <c:pt idx="1">
                  <c:v>590.51</c:v>
                </c:pt>
              </c:numCache>
            </c:numRef>
          </c:val>
        </c:ser>
        <c:ser>
          <c:idx val="1"/>
          <c:order val="1"/>
          <c:tx>
            <c:strRef>
              <c:f>拘留所!$A$4</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拘留所!$B$2:$C$2</c:f>
              <c:strCache>
                <c:ptCount val="2"/>
                <c:pt idx="0">
                  <c:v>收入</c:v>
                </c:pt>
                <c:pt idx="1">
                  <c:v>支出</c:v>
                </c:pt>
              </c:strCache>
            </c:strRef>
          </c:cat>
          <c:val>
            <c:numRef>
              <c:f>拘留所!$B$4:$C$4</c:f>
              <c:numCache>
                <c:formatCode>#,##0.00</c:formatCode>
                <c:ptCount val="2"/>
                <c:pt idx="0">
                  <c:v>634.63</c:v>
                </c:pt>
                <c:pt idx="1">
                  <c:v>634.63</c:v>
                </c:pt>
              </c:numCache>
            </c:numRef>
          </c:val>
        </c:ser>
        <c:dLbls>
          <c:showLegendKey val="0"/>
          <c:showVal val="1"/>
          <c:showCatName val="0"/>
          <c:showSerName val="0"/>
          <c:showPercent val="0"/>
          <c:showBubbleSize val="0"/>
        </c:dLbls>
        <c:gapWidth val="150"/>
        <c:axId val="95114368"/>
        <c:axId val="95115904"/>
      </c:barChart>
      <c:catAx>
        <c:axId val="951143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15904"/>
        <c:crosses val="autoZero"/>
        <c:auto val="1"/>
        <c:lblAlgn val="ctr"/>
        <c:lblOffset val="100"/>
        <c:noMultiLvlLbl val="0"/>
      </c:catAx>
      <c:valAx>
        <c:axId val="95115904"/>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14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91881014873142"/>
          <c:y val="0.101851851851852"/>
          <c:w val="0.53888888888889"/>
          <c:h val="0.898148148148148"/>
        </c:manualLayout>
      </c:layout>
      <c:pieChart>
        <c:varyColors val="1"/>
        <c:ser>
          <c:idx val="0"/>
          <c:order val="0"/>
          <c:explosion val="0"/>
          <c:dPt>
            <c:idx val="0"/>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拘留所!$A$31</c:f>
              <c:strCache>
                <c:ptCount val="1"/>
                <c:pt idx="0">
                  <c:v>一般公共预算财政拨款收入</c:v>
                </c:pt>
              </c:strCache>
            </c:strRef>
          </c:cat>
          <c:val>
            <c:numRef>
              <c:f>拘留所!$B$31</c:f>
              <c:numCache>
                <c:formatCode>#,##0.00</c:formatCode>
                <c:ptCount val="1"/>
                <c:pt idx="0">
                  <c:v>634.63</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13931977252844"/>
          <c:y val="0.159733887430738"/>
          <c:w val="0.324956911636047"/>
          <c:h val="0.83793963254593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拘留所!$A$43:$A$44</c:f>
              <c:strCache>
                <c:ptCount val="2"/>
                <c:pt idx="0">
                  <c:v>基本支出</c:v>
                </c:pt>
                <c:pt idx="1">
                  <c:v>项目支出</c:v>
                </c:pt>
              </c:strCache>
            </c:strRef>
          </c:cat>
          <c:val>
            <c:numRef>
              <c:f>拘留所!$B$43:$B$44</c:f>
              <c:numCache>
                <c:formatCode>General</c:formatCode>
                <c:ptCount val="2"/>
                <c:pt idx="0">
                  <c:v>483.91</c:v>
                </c:pt>
                <c:pt idx="1">
                  <c:v>150.72</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拘留所!$A$65</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拘留所!$B$64:$C$64</c:f>
              <c:strCache>
                <c:ptCount val="2"/>
                <c:pt idx="0">
                  <c:v>财政拨款收入</c:v>
                </c:pt>
                <c:pt idx="1">
                  <c:v>财政拨款支出</c:v>
                </c:pt>
              </c:strCache>
            </c:strRef>
          </c:cat>
          <c:val>
            <c:numRef>
              <c:f>拘留所!$B$65:$C$65</c:f>
              <c:numCache>
                <c:formatCode>General</c:formatCode>
                <c:ptCount val="2"/>
                <c:pt idx="0">
                  <c:v>590.51</c:v>
                </c:pt>
                <c:pt idx="1">
                  <c:v>590.51</c:v>
                </c:pt>
              </c:numCache>
            </c:numRef>
          </c:val>
        </c:ser>
        <c:ser>
          <c:idx val="1"/>
          <c:order val="1"/>
          <c:tx>
            <c:strRef>
              <c:f>拘留所!$A$66</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拘留所!$B$64:$C$64</c:f>
              <c:strCache>
                <c:ptCount val="2"/>
                <c:pt idx="0">
                  <c:v>财政拨款收入</c:v>
                </c:pt>
                <c:pt idx="1">
                  <c:v>财政拨款支出</c:v>
                </c:pt>
              </c:strCache>
            </c:strRef>
          </c:cat>
          <c:val>
            <c:numRef>
              <c:f>拘留所!$B$66:$C$66</c:f>
              <c:numCache>
                <c:formatCode>#,##0.00</c:formatCode>
                <c:ptCount val="2"/>
                <c:pt idx="0">
                  <c:v>634.63</c:v>
                </c:pt>
                <c:pt idx="1">
                  <c:v>634.63</c:v>
                </c:pt>
              </c:numCache>
            </c:numRef>
          </c:val>
        </c:ser>
        <c:dLbls>
          <c:showLegendKey val="0"/>
          <c:showVal val="1"/>
          <c:showCatName val="0"/>
          <c:showSerName val="0"/>
          <c:showPercent val="0"/>
          <c:showBubbleSize val="0"/>
        </c:dLbls>
        <c:gapWidth val="150"/>
        <c:axId val="95476352"/>
        <c:axId val="95486336"/>
      </c:barChart>
      <c:catAx>
        <c:axId val="95476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486336"/>
        <c:crosses val="autoZero"/>
        <c:auto val="1"/>
        <c:lblAlgn val="ctr"/>
        <c:lblOffset val="100"/>
        <c:noMultiLvlLbl val="0"/>
      </c:catAx>
      <c:valAx>
        <c:axId val="95486336"/>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476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拘留所!$B$83</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拘留所!$A$84:$A$85</c:f>
              <c:strCache>
                <c:ptCount val="2"/>
                <c:pt idx="0">
                  <c:v>2022年</c:v>
                </c:pt>
                <c:pt idx="1">
                  <c:v>2023年</c:v>
                </c:pt>
              </c:strCache>
            </c:strRef>
          </c:cat>
          <c:val>
            <c:numRef>
              <c:f>拘留所!$B$84:$B$85</c:f>
              <c:numCache>
                <c:formatCode>General</c:formatCode>
                <c:ptCount val="2"/>
                <c:pt idx="0">
                  <c:v>590.51</c:v>
                </c:pt>
                <c:pt idx="1" c:formatCode="#,##0.00">
                  <c:v>634.63</c:v>
                </c:pt>
              </c:numCache>
            </c:numRef>
          </c:val>
        </c:ser>
        <c:dLbls>
          <c:showLegendKey val="0"/>
          <c:showVal val="1"/>
          <c:showCatName val="0"/>
          <c:showSerName val="0"/>
          <c:showPercent val="0"/>
          <c:showBubbleSize val="0"/>
        </c:dLbls>
        <c:gapWidth val="150"/>
        <c:axId val="95506432"/>
        <c:axId val="95507968"/>
      </c:barChart>
      <c:catAx>
        <c:axId val="955064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507968"/>
        <c:crosses val="autoZero"/>
        <c:auto val="1"/>
        <c:lblAlgn val="ctr"/>
        <c:lblOffset val="100"/>
        <c:noMultiLvlLbl val="0"/>
      </c:catAx>
      <c:valAx>
        <c:axId val="95507968"/>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5064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58547681539808"/>
          <c:y val="0.101851851851852"/>
          <c:w val="0.53888888888889"/>
          <c:h val="0.898148148148148"/>
        </c:manualLayout>
      </c:layout>
      <c:pieChart>
        <c:varyColors val="1"/>
        <c:ser>
          <c:idx val="0"/>
          <c:order val="0"/>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拘留所!$A$105:$A$108</c:f>
              <c:strCache>
                <c:ptCount val="4"/>
                <c:pt idx="0">
                  <c:v>社会保障和就业支出</c:v>
                </c:pt>
                <c:pt idx="1">
                  <c:v>卫生健康支出</c:v>
                </c:pt>
                <c:pt idx="2">
                  <c:v>公共安全支出</c:v>
                </c:pt>
                <c:pt idx="3">
                  <c:v>住房保障支出</c:v>
                </c:pt>
              </c:strCache>
            </c:strRef>
          </c:cat>
          <c:val>
            <c:numRef>
              <c:f>拘留所!$B$105:$B$108</c:f>
              <c:numCache>
                <c:formatCode>General</c:formatCode>
                <c:ptCount val="4"/>
                <c:pt idx="0">
                  <c:v>41.03</c:v>
                </c:pt>
                <c:pt idx="1">
                  <c:v>14.77</c:v>
                </c:pt>
                <c:pt idx="2">
                  <c:v>550.53</c:v>
                </c:pt>
                <c:pt idx="3">
                  <c:v>28.3</c:v>
                </c:pt>
              </c:numCache>
            </c:numRef>
          </c:val>
        </c:ser>
        <c:ser>
          <c:idx val="1"/>
          <c:order val="1"/>
          <c:explosion val="0"/>
          <c:dPt>
            <c:idx val="0"/>
            <c:bubble3D val="0"/>
          </c:dPt>
          <c:dPt>
            <c:idx val="1"/>
            <c:bubble3D val="0"/>
          </c:dPt>
          <c:dPt>
            <c:idx val="2"/>
            <c:bubble3D val="0"/>
          </c:dPt>
          <c:dPt>
            <c:idx val="3"/>
            <c:bubble3D val="0"/>
          </c:dPt>
          <c:dLbls>
            <c:delete val="1"/>
          </c:dLbls>
          <c:cat>
            <c:strRef>
              <c:f>拘留所!$A$105:$A$108</c:f>
              <c:strCache>
                <c:ptCount val="4"/>
                <c:pt idx="0">
                  <c:v>社会保障和就业支出</c:v>
                </c:pt>
                <c:pt idx="1">
                  <c:v>卫生健康支出</c:v>
                </c:pt>
                <c:pt idx="2">
                  <c:v>公共安全支出</c:v>
                </c:pt>
                <c:pt idx="3">
                  <c:v>住房保障支出</c:v>
                </c:pt>
              </c:strCache>
            </c:strRef>
          </c:cat>
          <c:val>
            <c:numRef>
              <c:f>拘留所!$C$105:$C$108</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5214348206477"/>
          <c:y val="0.0370370370370371"/>
          <c:w val="0.53888888888889"/>
          <c:h val="0.898148148148148"/>
        </c:manualLayout>
      </c:layout>
      <c:pieChart>
        <c:varyColors val="1"/>
        <c:ser>
          <c:idx val="0"/>
          <c:order val="0"/>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拘留所!$A$120:$A$122</c:f>
              <c:strCache>
                <c:ptCount val="3"/>
                <c:pt idx="0">
                  <c:v>因公出国（境）经费支出</c:v>
                </c:pt>
                <c:pt idx="1">
                  <c:v>公务用车购置及运行维护费支出</c:v>
                </c:pt>
                <c:pt idx="2">
                  <c:v>公务接待费</c:v>
                </c:pt>
              </c:strCache>
            </c:strRef>
          </c:cat>
          <c:val>
            <c:numRef>
              <c:f>拘留所!$B$120:$B$122</c:f>
              <c:numCache>
                <c:formatCode>General</c:formatCode>
                <c:ptCount val="3"/>
                <c:pt idx="0">
                  <c:v>0</c:v>
                </c:pt>
                <c:pt idx="1">
                  <c:v>0.43</c:v>
                </c:pt>
                <c:pt idx="2">
                  <c:v>0.24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4790</Words>
  <Characters>5219</Characters>
  <Lines>41</Lines>
  <Paragraphs>11</Paragraphs>
  <TotalTime>10</TotalTime>
  <ScaleCrop>false</ScaleCrop>
  <LinksUpToDate>false</LinksUpToDate>
  <CharactersWithSpaces>5278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2024-08-20T07:00:34Z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B64483B1D33943C9819E8FBCE9EA17D8_12</vt:lpwstr>
  </property>
</Properties>
</file>